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bCs/>
          <w:kern w:val="0"/>
          <w:sz w:val="48"/>
          <w:szCs w:val="48"/>
        </w:rPr>
      </w:pPr>
      <w:bookmarkStart w:id="0" w:name="_Toc9873267"/>
      <w:bookmarkStart w:id="1" w:name="_Toc520883806"/>
      <w:bookmarkStart w:id="2" w:name="_Toc490332974"/>
    </w:p>
    <w:p>
      <w:pPr>
        <w:jc w:val="center"/>
        <w:rPr>
          <w:rFonts w:ascii="Times New Roman" w:hAnsi="Times New Roman"/>
          <w:b/>
          <w:bCs/>
          <w:kern w:val="0"/>
          <w:sz w:val="48"/>
          <w:szCs w:val="48"/>
        </w:rPr>
      </w:pPr>
    </w:p>
    <w:p>
      <w:pPr>
        <w:jc w:val="center"/>
        <w:rPr>
          <w:rFonts w:ascii="Times New Roman" w:hAnsi="Times New Roman"/>
          <w:b/>
          <w:bCs/>
          <w:kern w:val="0"/>
          <w:sz w:val="48"/>
          <w:szCs w:val="48"/>
        </w:rPr>
      </w:pPr>
    </w:p>
    <w:p>
      <w:pPr>
        <w:jc w:val="center"/>
        <w:rPr>
          <w:rFonts w:ascii="Times New Roman" w:hAnsi="Times New Roman"/>
          <w:b/>
          <w:bCs/>
          <w:kern w:val="0"/>
          <w:sz w:val="48"/>
          <w:szCs w:val="48"/>
        </w:rPr>
      </w:pPr>
    </w:p>
    <w:p>
      <w:pPr>
        <w:jc w:val="center"/>
        <w:rPr>
          <w:rFonts w:ascii="Times New Roman" w:hAnsi="Times New Roman"/>
          <w:b/>
          <w:bCs/>
          <w:kern w:val="0"/>
          <w:sz w:val="48"/>
          <w:szCs w:val="48"/>
        </w:rPr>
      </w:pPr>
      <w:r>
        <w:rPr>
          <w:rFonts w:ascii="Times New Roman" w:hAnsi="Times New Roman"/>
          <w:b/>
          <w:bCs/>
          <w:kern w:val="0"/>
          <w:sz w:val="48"/>
          <w:szCs w:val="48"/>
        </w:rPr>
        <w:t>成都旺江农牧科技有限公司</w:t>
      </w:r>
    </w:p>
    <w:p>
      <w:pPr>
        <w:jc w:val="center"/>
        <w:rPr>
          <w:rFonts w:ascii="Times New Roman" w:hAnsi="Times New Roman"/>
          <w:b/>
          <w:bCs/>
          <w:kern w:val="0"/>
          <w:sz w:val="48"/>
          <w:szCs w:val="48"/>
        </w:rPr>
      </w:pPr>
      <w:r>
        <w:rPr>
          <w:rFonts w:ascii="Times New Roman" w:hAnsi="Times New Roman"/>
          <w:b/>
          <w:bCs/>
          <w:kern w:val="0"/>
          <w:sz w:val="48"/>
          <w:szCs w:val="48"/>
        </w:rPr>
        <w:t>旺江农牧冉义现代化生猪养殖基地二期建设项目</w:t>
      </w:r>
    </w:p>
    <w:p>
      <w:pPr>
        <w:jc w:val="center"/>
        <w:rPr>
          <w:rFonts w:ascii="Times New Roman" w:hAnsi="Times New Roman" w:eastAsia="华文楷体"/>
          <w:b/>
          <w:kern w:val="0"/>
          <w:sz w:val="72"/>
          <w:szCs w:val="72"/>
        </w:rPr>
      </w:pPr>
      <w:r>
        <w:rPr>
          <w:rFonts w:ascii="Times New Roman" w:hAnsi="Times New Roman" w:eastAsia="华文楷体"/>
          <w:b/>
          <w:kern w:val="0"/>
          <w:sz w:val="72"/>
          <w:szCs w:val="72"/>
        </w:rPr>
        <w:t>环境影响报告书</w:t>
      </w:r>
    </w:p>
    <w:p>
      <w:pPr>
        <w:jc w:val="center"/>
        <w:rPr>
          <w:rFonts w:ascii="Times New Roman" w:hAnsi="Times New Roman" w:eastAsia="黑体"/>
          <w:sz w:val="30"/>
          <w:szCs w:val="30"/>
        </w:rPr>
      </w:pPr>
      <w:r>
        <w:rPr>
          <w:rFonts w:ascii="Times New Roman" w:hAnsi="Times New Roman" w:eastAsia="黑体"/>
          <w:sz w:val="30"/>
          <w:szCs w:val="30"/>
        </w:rPr>
        <w:t>（公示本）</w:t>
      </w:r>
    </w:p>
    <w:p>
      <w:pPr>
        <w:spacing w:line="480" w:lineRule="auto"/>
        <w:jc w:val="center"/>
        <w:rPr>
          <w:rFonts w:ascii="Times New Roman" w:hAnsi="Times New Roman" w:eastAsia="华文楷体"/>
          <w:b/>
          <w:kern w:val="0"/>
          <w:sz w:val="10"/>
          <w:szCs w:val="10"/>
        </w:rPr>
      </w:pPr>
    </w:p>
    <w:p>
      <w:pPr>
        <w:spacing w:line="480" w:lineRule="auto"/>
        <w:jc w:val="center"/>
        <w:rPr>
          <w:rFonts w:ascii="Times New Roman" w:hAnsi="Times New Roman"/>
        </w:rPr>
      </w:pPr>
    </w:p>
    <w:p>
      <w:pPr>
        <w:spacing w:line="480" w:lineRule="auto"/>
        <w:jc w:val="center"/>
        <w:rPr>
          <w:rFonts w:ascii="Times New Roman" w:hAnsi="Times New Roman"/>
        </w:rPr>
      </w:pPr>
    </w:p>
    <w:p>
      <w:pPr>
        <w:spacing w:line="480" w:lineRule="auto"/>
        <w:jc w:val="center"/>
        <w:rPr>
          <w:rFonts w:ascii="Times New Roman" w:hAnsi="Times New Roman"/>
        </w:rPr>
      </w:pPr>
    </w:p>
    <w:p>
      <w:pPr>
        <w:spacing w:line="480" w:lineRule="auto"/>
        <w:jc w:val="center"/>
        <w:rPr>
          <w:rFonts w:ascii="Times New Roman" w:hAnsi="Times New Roman"/>
        </w:rPr>
      </w:pPr>
    </w:p>
    <w:p>
      <w:pPr>
        <w:spacing w:line="480" w:lineRule="auto"/>
        <w:jc w:val="center"/>
        <w:rPr>
          <w:rFonts w:ascii="Times New Roman" w:hAnsi="Times New Roman"/>
        </w:rPr>
      </w:pPr>
    </w:p>
    <w:p>
      <w:pPr>
        <w:spacing w:line="480" w:lineRule="auto"/>
        <w:jc w:val="center"/>
        <w:rPr>
          <w:rFonts w:ascii="Times New Roman" w:hAnsi="Times New Roman"/>
        </w:rPr>
      </w:pPr>
    </w:p>
    <w:p>
      <w:pPr>
        <w:spacing w:line="480" w:lineRule="auto"/>
        <w:jc w:val="center"/>
        <w:rPr>
          <w:rFonts w:ascii="Times New Roman" w:hAnsi="Times New Roman"/>
        </w:rPr>
      </w:pPr>
    </w:p>
    <w:p>
      <w:pPr>
        <w:jc w:val="center"/>
        <w:rPr>
          <w:rFonts w:ascii="Times New Roman" w:hAnsi="Times New Roman"/>
        </w:rPr>
      </w:pPr>
    </w:p>
    <w:p>
      <w:pPr>
        <w:ind w:firstLine="1200" w:firstLineChars="400"/>
        <w:jc w:val="center"/>
        <w:rPr>
          <w:rFonts w:ascii="Times New Roman" w:hAnsi="Times New Roman" w:eastAsia="黑体"/>
          <w:sz w:val="30"/>
          <w:szCs w:val="30"/>
        </w:rPr>
      </w:pPr>
      <w:r>
        <w:rPr>
          <w:rFonts w:ascii="Times New Roman" w:hAnsi="Times New Roman" w:eastAsia="黑体"/>
          <w:sz w:val="30"/>
          <w:szCs w:val="30"/>
        </w:rPr>
        <w:t>建设单位：成都旺江农牧科技有限公司</w:t>
      </w:r>
    </w:p>
    <w:p>
      <w:pPr>
        <w:ind w:firstLine="1200" w:firstLineChars="400"/>
        <w:jc w:val="center"/>
        <w:rPr>
          <w:rFonts w:ascii="Times New Roman" w:hAnsi="Times New Roman" w:eastAsia="黑体"/>
          <w:sz w:val="30"/>
          <w:szCs w:val="30"/>
        </w:rPr>
      </w:pPr>
      <w:r>
        <w:rPr>
          <w:rFonts w:ascii="Times New Roman" w:hAnsi="Times New Roman" w:eastAsia="黑体"/>
          <w:sz w:val="30"/>
          <w:szCs w:val="30"/>
        </w:rPr>
        <w:t>评价单位：永清环保股份有限公司</w:t>
      </w:r>
    </w:p>
    <w:p>
      <w:pPr>
        <w:jc w:val="center"/>
        <w:rPr>
          <w:rFonts w:ascii="Times New Roman" w:hAnsi="Times New Roman" w:eastAsia="黑体"/>
          <w:sz w:val="30"/>
          <w:szCs w:val="30"/>
        </w:rPr>
      </w:pPr>
      <w:r>
        <w:rPr>
          <w:rFonts w:ascii="Times New Roman" w:hAnsi="Times New Roman" w:eastAsia="黑体"/>
          <w:sz w:val="30"/>
          <w:szCs w:val="30"/>
        </w:rPr>
        <w:t>2019年5月</w:t>
      </w:r>
      <w:r>
        <w:rPr>
          <w:rFonts w:ascii="Times New Roman" w:hAnsi="Times New Roman" w:eastAsia="黑体"/>
          <w:sz w:val="30"/>
          <w:szCs w:val="30"/>
        </w:rPr>
        <w:br w:type="page"/>
      </w:r>
    </w:p>
    <w:p>
      <w:pPr>
        <w:pStyle w:val="101"/>
        <w:spacing w:before="780" w:after="780"/>
        <w:rPr>
          <w:rFonts w:ascii="Times New Roman" w:hAnsi="Times New Roman"/>
        </w:rPr>
        <w:sectPr>
          <w:footerReference r:id="rId3" w:type="default"/>
          <w:pgSz w:w="11906" w:h="16838"/>
          <w:pgMar w:top="1440" w:right="1800" w:bottom="1440" w:left="1800" w:header="851" w:footer="992" w:gutter="0"/>
          <w:pgNumType w:fmt="upperRoman"/>
          <w:cols w:space="425" w:num="1"/>
          <w:docGrid w:type="lines" w:linePitch="312" w:charSpace="0"/>
        </w:sectPr>
      </w:pPr>
    </w:p>
    <w:p>
      <w:pPr>
        <w:pStyle w:val="101"/>
        <w:spacing w:before="780" w:after="780"/>
        <w:rPr>
          <w:rFonts w:ascii="Times New Roman" w:hAnsi="Times New Roman"/>
        </w:rPr>
      </w:pPr>
      <w:r>
        <w:rPr>
          <w:rFonts w:ascii="Times New Roman" w:hAnsi="Times New Roman"/>
        </w:rPr>
        <w:t>目  录</w:t>
      </w:r>
      <w:bookmarkEnd w:id="0"/>
    </w:p>
    <w:sdt>
      <w:sdtPr>
        <w:rPr>
          <w:rFonts w:ascii="Times New Roman" w:hAnsi="Times New Roman"/>
          <w:b w:val="0"/>
          <w:bCs w:val="0"/>
          <w:color w:val="auto"/>
          <w:kern w:val="2"/>
          <w:szCs w:val="22"/>
          <w:lang w:val="zh-CN"/>
        </w:rPr>
        <w:id w:val="1564668562"/>
        <w:docPartObj>
          <w:docPartGallery w:val="Table of Contents"/>
          <w:docPartUnique/>
        </w:docPartObj>
      </w:sdtPr>
      <w:sdtEndPr>
        <w:rPr>
          <w:rFonts w:ascii="Times New Roman" w:hAnsi="Times New Roman"/>
          <w:b w:val="0"/>
          <w:bCs w:val="0"/>
          <w:color w:val="auto"/>
          <w:kern w:val="2"/>
          <w:szCs w:val="22"/>
          <w:lang w:val="zh-CN"/>
        </w:rPr>
      </w:sdtEndPr>
      <w:sdtContent>
        <w:p>
          <w:pPr>
            <w:pStyle w:val="128"/>
            <w:rPr>
              <w:rFonts w:ascii="Times New Roman" w:hAnsi="Times New Roman"/>
              <w:bCs w:val="0"/>
              <w:caps/>
              <w:color w:val="auto"/>
              <w:sz w:val="24"/>
              <w:szCs w:val="24"/>
            </w:rPr>
          </w:pPr>
          <w:r>
            <w:rPr>
              <w:rFonts w:ascii="Times New Roman" w:hAnsi="Times New Roman" w:eastAsiaTheme="minorEastAsia"/>
              <w:b w:val="0"/>
              <w:caps/>
              <w:color w:val="auto"/>
              <w:sz w:val="21"/>
              <w:szCs w:val="21"/>
            </w:rPr>
            <w:fldChar w:fldCharType="begin"/>
          </w:r>
          <w:r>
            <w:rPr>
              <w:rFonts w:ascii="Times New Roman" w:hAnsi="Times New Roman"/>
              <w:color w:val="auto"/>
            </w:rPr>
            <w:instrText xml:space="preserve"> TOC \o "1-3" \h \z \u </w:instrText>
          </w:r>
          <w:r>
            <w:rPr>
              <w:rFonts w:ascii="Times New Roman" w:hAnsi="Times New Roman" w:eastAsiaTheme="minorEastAsia"/>
              <w:b w:val="0"/>
              <w:caps/>
              <w:color w:val="auto"/>
              <w:sz w:val="21"/>
              <w:szCs w:val="21"/>
            </w:rPr>
            <w:fldChar w:fldCharType="separate"/>
          </w:r>
        </w:p>
        <w:p>
          <w:pPr>
            <w:pStyle w:val="54"/>
            <w:tabs>
              <w:tab w:val="right" w:leader="dot" w:pos="8296"/>
            </w:tabs>
            <w:jc w:val="both"/>
            <w:rPr>
              <w:bCs w:val="0"/>
              <w:caps w:val="0"/>
              <w:sz w:val="24"/>
              <w:szCs w:val="24"/>
            </w:rPr>
          </w:pPr>
          <w:r>
            <w:fldChar w:fldCharType="begin"/>
          </w:r>
          <w:r>
            <w:instrText xml:space="preserve"> HYPERLINK \l "_Toc9873268" </w:instrText>
          </w:r>
          <w:r>
            <w:fldChar w:fldCharType="separate"/>
          </w:r>
          <w:r>
            <w:rPr>
              <w:rStyle w:val="86"/>
              <w:color w:val="auto"/>
              <w:sz w:val="24"/>
              <w:szCs w:val="24"/>
            </w:rPr>
            <w:t>前　言</w:t>
          </w:r>
          <w:r>
            <w:rPr>
              <w:sz w:val="24"/>
              <w:szCs w:val="24"/>
            </w:rPr>
            <w:tab/>
          </w:r>
          <w:r>
            <w:rPr>
              <w:sz w:val="24"/>
              <w:szCs w:val="24"/>
            </w:rPr>
            <w:fldChar w:fldCharType="begin"/>
          </w:r>
          <w:r>
            <w:rPr>
              <w:sz w:val="24"/>
              <w:szCs w:val="24"/>
            </w:rPr>
            <w:instrText xml:space="preserve"> PAGEREF _Toc9873268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54"/>
            <w:tabs>
              <w:tab w:val="right" w:leader="dot" w:pos="8296"/>
            </w:tabs>
            <w:rPr>
              <w:bCs w:val="0"/>
              <w:caps w:val="0"/>
              <w:sz w:val="24"/>
              <w:szCs w:val="24"/>
            </w:rPr>
          </w:pPr>
          <w:r>
            <w:fldChar w:fldCharType="begin"/>
          </w:r>
          <w:r>
            <w:instrText xml:space="preserve"> HYPERLINK \l "_Toc9873275" </w:instrText>
          </w:r>
          <w:r>
            <w:fldChar w:fldCharType="separate"/>
          </w:r>
          <w:r>
            <w:rPr>
              <w:rStyle w:val="86"/>
              <w:color w:val="auto"/>
              <w:sz w:val="24"/>
              <w:szCs w:val="24"/>
            </w:rPr>
            <w:t>第一章  总  则</w:t>
          </w:r>
          <w:r>
            <w:rPr>
              <w:sz w:val="24"/>
              <w:szCs w:val="24"/>
            </w:rPr>
            <w:tab/>
          </w:r>
          <w:r>
            <w:rPr>
              <w:sz w:val="24"/>
              <w:szCs w:val="24"/>
            </w:rPr>
            <w:fldChar w:fldCharType="begin"/>
          </w:r>
          <w:r>
            <w:rPr>
              <w:sz w:val="24"/>
              <w:szCs w:val="24"/>
            </w:rPr>
            <w:instrText xml:space="preserve"> PAGEREF _Toc9873275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"_Toc9873276" </w:instrText>
          </w:r>
          <w:r>
            <w:fldChar w:fldCharType="separate"/>
          </w:r>
          <w:r>
            <w:rPr>
              <w:rStyle w:val="86"/>
              <w:rFonts w:cs="Times New Roman"/>
              <w:bCs/>
              <w:color w:val="auto"/>
              <w:kern w:val="28"/>
              <w:szCs w:val="24"/>
            </w:rPr>
            <w:t>1.1  评价目的和原则</w:t>
          </w:r>
          <w:r>
            <w:rPr>
              <w:rFonts w:cs="Times New Roman"/>
              <w:szCs w:val="24"/>
            </w:rPr>
            <w:tab/>
          </w:r>
          <w:r>
            <w:rPr>
              <w:rFonts w:cs="Times New Roman"/>
              <w:szCs w:val="24"/>
            </w:rPr>
            <w:fldChar w:fldCharType="begin"/>
          </w:r>
          <w:r>
            <w:rPr>
              <w:rFonts w:cs="Times New Roman"/>
              <w:szCs w:val="24"/>
            </w:rPr>
            <w:instrText xml:space="preserve"> PAGEREF _Toc9873276 \h </w:instrText>
          </w:r>
          <w:r>
            <w:rPr>
              <w:rFonts w:cs="Times New Roman"/>
              <w:szCs w:val="24"/>
            </w:rPr>
            <w:fldChar w:fldCharType="separate"/>
          </w:r>
          <w:r>
            <w:rPr>
              <w:rFonts w:cs="Times New Roman"/>
              <w:szCs w:val="24"/>
            </w:rPr>
            <w:t>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"_Toc9873279" </w:instrText>
          </w:r>
          <w:r>
            <w:fldChar w:fldCharType="separate"/>
          </w:r>
          <w:r>
            <w:rPr>
              <w:rStyle w:val="86"/>
              <w:rFonts w:cs="Times New Roman"/>
              <w:bCs/>
              <w:color w:val="auto"/>
              <w:kern w:val="28"/>
              <w:szCs w:val="24"/>
            </w:rPr>
            <w:t>1.2  编制依据</w:t>
          </w:r>
          <w:r>
            <w:rPr>
              <w:rFonts w:cs="Times New Roman"/>
              <w:szCs w:val="24"/>
            </w:rPr>
            <w:tab/>
          </w:r>
          <w:r>
            <w:rPr>
              <w:rFonts w:cs="Times New Roman"/>
              <w:szCs w:val="24"/>
            </w:rPr>
            <w:fldChar w:fldCharType="begin"/>
          </w:r>
          <w:r>
            <w:rPr>
              <w:rFonts w:cs="Times New Roman"/>
              <w:szCs w:val="24"/>
            </w:rPr>
            <w:instrText xml:space="preserve"> PAGEREF _Toc9873279 \h </w:instrText>
          </w:r>
          <w:r>
            <w:rPr>
              <w:rFonts w:cs="Times New Roman"/>
              <w:szCs w:val="24"/>
            </w:rPr>
            <w:fldChar w:fldCharType="separate"/>
          </w:r>
          <w:r>
            <w:rPr>
              <w:rFonts w:cs="Times New Roman"/>
              <w:szCs w:val="24"/>
            </w:rPr>
            <w:t>5</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"_Toc9873284" </w:instrText>
          </w:r>
          <w:r>
            <w:fldChar w:fldCharType="separate"/>
          </w:r>
          <w:r>
            <w:rPr>
              <w:rStyle w:val="86"/>
              <w:rFonts w:cs="Times New Roman"/>
              <w:bCs/>
              <w:color w:val="auto"/>
              <w:kern w:val="28"/>
              <w:szCs w:val="24"/>
            </w:rPr>
            <w:t>1.3  产业政策及规划符合性</w:t>
          </w:r>
          <w:r>
            <w:rPr>
              <w:rFonts w:cs="Times New Roman"/>
              <w:szCs w:val="24"/>
            </w:rPr>
            <w:tab/>
          </w:r>
          <w:r>
            <w:rPr>
              <w:rFonts w:cs="Times New Roman"/>
              <w:szCs w:val="24"/>
            </w:rPr>
            <w:fldChar w:fldCharType="begin"/>
          </w:r>
          <w:r>
            <w:rPr>
              <w:rFonts w:cs="Times New Roman"/>
              <w:szCs w:val="24"/>
            </w:rPr>
            <w:instrText xml:space="preserve"> PAGEREF _Toc9873284 \h </w:instrText>
          </w:r>
          <w:r>
            <w:rPr>
              <w:rFonts w:cs="Times New Roman"/>
              <w:szCs w:val="24"/>
            </w:rPr>
            <w:fldChar w:fldCharType="separate"/>
          </w:r>
          <w:r>
            <w:rPr>
              <w:rFonts w:cs="Times New Roman"/>
              <w:szCs w:val="24"/>
            </w:rPr>
            <w:t>7</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"_Toc9873289" </w:instrText>
          </w:r>
          <w:r>
            <w:fldChar w:fldCharType="separate"/>
          </w:r>
          <w:r>
            <w:rPr>
              <w:rStyle w:val="86"/>
              <w:rFonts w:cs="Times New Roman"/>
              <w:bCs/>
              <w:color w:val="auto"/>
              <w:kern w:val="28"/>
              <w:szCs w:val="24"/>
            </w:rPr>
            <w:t>1.4  项目选址环境合理性分析</w:t>
          </w:r>
          <w:r>
            <w:rPr>
              <w:rFonts w:cs="Times New Roman"/>
              <w:szCs w:val="24"/>
            </w:rPr>
            <w:tab/>
          </w:r>
          <w:r>
            <w:rPr>
              <w:rFonts w:cs="Times New Roman"/>
              <w:szCs w:val="24"/>
            </w:rPr>
            <w:fldChar w:fldCharType="begin"/>
          </w:r>
          <w:r>
            <w:rPr>
              <w:rFonts w:cs="Times New Roman"/>
              <w:szCs w:val="24"/>
            </w:rPr>
            <w:instrText xml:space="preserve"> PAGEREF _Toc9873289 \h </w:instrText>
          </w:r>
          <w:r>
            <w:rPr>
              <w:rFonts w:cs="Times New Roman"/>
              <w:szCs w:val="24"/>
            </w:rPr>
            <w:fldChar w:fldCharType="separate"/>
          </w:r>
          <w:r>
            <w:rPr>
              <w:rFonts w:cs="Times New Roman"/>
              <w:szCs w:val="24"/>
            </w:rPr>
            <w:t>16</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"_Toc9873290" </w:instrText>
          </w:r>
          <w:r>
            <w:fldChar w:fldCharType="separate"/>
          </w:r>
          <w:r>
            <w:rPr>
              <w:rStyle w:val="86"/>
              <w:rFonts w:cs="Times New Roman"/>
              <w:bCs/>
              <w:color w:val="auto"/>
              <w:kern w:val="28"/>
              <w:szCs w:val="24"/>
            </w:rPr>
            <w:t>1.5  评价因子</w:t>
          </w:r>
          <w:r>
            <w:rPr>
              <w:rFonts w:cs="Times New Roman"/>
              <w:szCs w:val="24"/>
            </w:rPr>
            <w:tab/>
          </w:r>
          <w:r>
            <w:rPr>
              <w:rFonts w:cs="Times New Roman"/>
              <w:szCs w:val="24"/>
            </w:rPr>
            <w:fldChar w:fldCharType="begin"/>
          </w:r>
          <w:r>
            <w:rPr>
              <w:rFonts w:cs="Times New Roman"/>
              <w:szCs w:val="24"/>
            </w:rPr>
            <w:instrText xml:space="preserve"> PAGEREF _Toc9873290 \h </w:instrText>
          </w:r>
          <w:r>
            <w:rPr>
              <w:rFonts w:cs="Times New Roman"/>
              <w:szCs w:val="24"/>
            </w:rPr>
            <w:fldChar w:fldCharType="separate"/>
          </w:r>
          <w:r>
            <w:rPr>
              <w:rFonts w:cs="Times New Roman"/>
              <w:szCs w:val="24"/>
            </w:rPr>
            <w:t>18</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"_Toc9873291" </w:instrText>
          </w:r>
          <w:r>
            <w:fldChar w:fldCharType="separate"/>
          </w:r>
          <w:r>
            <w:rPr>
              <w:rStyle w:val="86"/>
              <w:rFonts w:cs="Times New Roman"/>
              <w:color w:val="auto"/>
              <w:szCs w:val="24"/>
            </w:rPr>
            <w:t>1.6　环境功能区划及污染控制目标</w:t>
          </w:r>
          <w:r>
            <w:rPr>
              <w:rFonts w:cs="Times New Roman"/>
              <w:szCs w:val="24"/>
            </w:rPr>
            <w:tab/>
          </w:r>
          <w:r>
            <w:rPr>
              <w:rFonts w:cs="Times New Roman"/>
              <w:szCs w:val="24"/>
            </w:rPr>
            <w:fldChar w:fldCharType="begin"/>
          </w:r>
          <w:r>
            <w:rPr>
              <w:rFonts w:cs="Times New Roman"/>
              <w:szCs w:val="24"/>
            </w:rPr>
            <w:instrText xml:space="preserve"> PAGEREF _Toc9873291 \h </w:instrText>
          </w:r>
          <w:r>
            <w:rPr>
              <w:rFonts w:cs="Times New Roman"/>
              <w:szCs w:val="24"/>
            </w:rPr>
            <w:fldChar w:fldCharType="separate"/>
          </w:r>
          <w:r>
            <w:rPr>
              <w:rFonts w:cs="Times New Roman"/>
              <w:szCs w:val="24"/>
            </w:rPr>
            <w:t>19</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"_Toc9873294" </w:instrText>
          </w:r>
          <w:r>
            <w:fldChar w:fldCharType="separate"/>
          </w:r>
          <w:r>
            <w:rPr>
              <w:rStyle w:val="86"/>
              <w:rFonts w:cs="Times New Roman"/>
              <w:color w:val="auto"/>
              <w:szCs w:val="24"/>
            </w:rPr>
            <w:t>1.7 评价标准</w:t>
          </w:r>
          <w:r>
            <w:rPr>
              <w:rFonts w:cs="Times New Roman"/>
              <w:szCs w:val="24"/>
            </w:rPr>
            <w:tab/>
          </w:r>
          <w:r>
            <w:rPr>
              <w:rFonts w:cs="Times New Roman"/>
              <w:szCs w:val="24"/>
            </w:rPr>
            <w:fldChar w:fldCharType="begin"/>
          </w:r>
          <w:r>
            <w:rPr>
              <w:rFonts w:cs="Times New Roman"/>
              <w:szCs w:val="24"/>
            </w:rPr>
            <w:instrText xml:space="preserve"> PAGEREF _Toc9873294 \h </w:instrText>
          </w:r>
          <w:r>
            <w:rPr>
              <w:rFonts w:cs="Times New Roman"/>
              <w:szCs w:val="24"/>
            </w:rPr>
            <w:fldChar w:fldCharType="separate"/>
          </w:r>
          <w:r>
            <w:rPr>
              <w:rFonts w:cs="Times New Roman"/>
              <w:szCs w:val="24"/>
            </w:rPr>
            <w:t>19</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"_Toc9873297" </w:instrText>
          </w:r>
          <w:r>
            <w:fldChar w:fldCharType="separate"/>
          </w:r>
          <w:r>
            <w:rPr>
              <w:rStyle w:val="86"/>
              <w:rFonts w:cs="Times New Roman"/>
              <w:color w:val="auto"/>
              <w:szCs w:val="24"/>
            </w:rPr>
            <w:t>1.8　评价等级及评价范围</w:t>
          </w:r>
          <w:r>
            <w:rPr>
              <w:rFonts w:cs="Times New Roman"/>
              <w:szCs w:val="24"/>
            </w:rPr>
            <w:tab/>
          </w:r>
          <w:r>
            <w:rPr>
              <w:rFonts w:cs="Times New Roman"/>
              <w:szCs w:val="24"/>
            </w:rPr>
            <w:fldChar w:fldCharType="begin"/>
          </w:r>
          <w:r>
            <w:rPr>
              <w:rFonts w:cs="Times New Roman"/>
              <w:szCs w:val="24"/>
            </w:rPr>
            <w:instrText xml:space="preserve"> PAGEREF _Toc9873297 \h </w:instrText>
          </w:r>
          <w:r>
            <w:rPr>
              <w:rFonts w:cs="Times New Roman"/>
              <w:szCs w:val="24"/>
            </w:rPr>
            <w:fldChar w:fldCharType="separate"/>
          </w:r>
          <w:r>
            <w:rPr>
              <w:rFonts w:cs="Times New Roman"/>
              <w:szCs w:val="24"/>
            </w:rPr>
            <w:t>24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"_Toc9873300" </w:instrText>
          </w:r>
          <w:r>
            <w:fldChar w:fldCharType="separate"/>
          </w:r>
          <w:r>
            <w:rPr>
              <w:rStyle w:val="86"/>
              <w:rFonts w:cs="Times New Roman"/>
              <w:color w:val="auto"/>
              <w:szCs w:val="24"/>
            </w:rPr>
            <w:t>1.9　外环境关系及环境保护目标</w:t>
          </w:r>
          <w:r>
            <w:rPr>
              <w:rFonts w:cs="Times New Roman"/>
              <w:szCs w:val="24"/>
            </w:rPr>
            <w:tab/>
          </w:r>
          <w:r>
            <w:rPr>
              <w:rFonts w:cs="Times New Roman"/>
              <w:szCs w:val="24"/>
            </w:rPr>
            <w:fldChar w:fldCharType="begin"/>
          </w:r>
          <w:r>
            <w:rPr>
              <w:rFonts w:cs="Times New Roman"/>
              <w:szCs w:val="24"/>
            </w:rPr>
            <w:instrText xml:space="preserve"> PAGEREF _Toc9873300 \h </w:instrText>
          </w:r>
          <w:r>
            <w:rPr>
              <w:rFonts w:cs="Times New Roman"/>
              <w:szCs w:val="24"/>
            </w:rPr>
            <w:fldChar w:fldCharType="separate"/>
          </w:r>
          <w:r>
            <w:rPr>
              <w:rFonts w:cs="Times New Roman"/>
              <w:szCs w:val="24"/>
            </w:rPr>
            <w:t>31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"_Toc9873303" </w:instrText>
          </w:r>
          <w:r>
            <w:fldChar w:fldCharType="separate"/>
          </w:r>
          <w:r>
            <w:rPr>
              <w:rStyle w:val="86"/>
              <w:rFonts w:cs="Times New Roman"/>
              <w:color w:val="auto"/>
              <w:szCs w:val="24"/>
            </w:rPr>
            <w:t>1.10　评价时段及评价重点</w:t>
          </w:r>
          <w:r>
            <w:rPr>
              <w:rFonts w:cs="Times New Roman"/>
              <w:szCs w:val="24"/>
            </w:rPr>
            <w:tab/>
          </w:r>
          <w:r>
            <w:rPr>
              <w:rFonts w:cs="Times New Roman"/>
              <w:szCs w:val="24"/>
            </w:rPr>
            <w:fldChar w:fldCharType="begin"/>
          </w:r>
          <w:r>
            <w:rPr>
              <w:rFonts w:cs="Times New Roman"/>
              <w:szCs w:val="24"/>
            </w:rPr>
            <w:instrText xml:space="preserve"> PAGEREF _Toc9873303 \h </w:instrText>
          </w:r>
          <w:r>
            <w:rPr>
              <w:rFonts w:cs="Times New Roman"/>
              <w:szCs w:val="24"/>
            </w:rPr>
            <w:fldChar w:fldCharType="separate"/>
          </w:r>
          <w:r>
            <w:rPr>
              <w:rFonts w:cs="Times New Roman"/>
              <w:szCs w:val="24"/>
            </w:rPr>
            <w:t>32</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"_Toc9873306" </w:instrText>
          </w:r>
          <w:r>
            <w:fldChar w:fldCharType="separate"/>
          </w:r>
          <w:r>
            <w:rPr>
              <w:rStyle w:val="86"/>
              <w:rFonts w:cs="Times New Roman"/>
              <w:color w:val="auto"/>
              <w:szCs w:val="24"/>
            </w:rPr>
            <w:t>1.11　评价工作程序</w:t>
          </w:r>
          <w:r>
            <w:rPr>
              <w:rFonts w:cs="Times New Roman"/>
              <w:szCs w:val="24"/>
            </w:rPr>
            <w:tab/>
          </w:r>
          <w:r>
            <w:rPr>
              <w:rFonts w:cs="Times New Roman"/>
              <w:szCs w:val="24"/>
            </w:rPr>
            <w:fldChar w:fldCharType="begin"/>
          </w:r>
          <w:r>
            <w:rPr>
              <w:rFonts w:cs="Times New Roman"/>
              <w:szCs w:val="24"/>
            </w:rPr>
            <w:instrText xml:space="preserve"> PAGEREF _Toc9873306 \h </w:instrText>
          </w:r>
          <w:r>
            <w:rPr>
              <w:rFonts w:cs="Times New Roman"/>
              <w:szCs w:val="24"/>
            </w:rPr>
            <w:fldChar w:fldCharType="separate"/>
          </w:r>
          <w:r>
            <w:rPr>
              <w:rFonts w:cs="Times New Roman"/>
              <w:szCs w:val="24"/>
            </w:rPr>
            <w:t>33</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"_Toc9873307" </w:instrText>
          </w:r>
          <w:r>
            <w:fldChar w:fldCharType="separate"/>
          </w:r>
          <w:r>
            <w:rPr>
              <w:rStyle w:val="86"/>
              <w:color w:val="auto"/>
              <w:sz w:val="24"/>
              <w:szCs w:val="24"/>
            </w:rPr>
            <w:t>第二章  建设项目概况及工程分析</w:t>
          </w:r>
          <w:r>
            <w:rPr>
              <w:sz w:val="24"/>
              <w:szCs w:val="24"/>
            </w:rPr>
            <w:tab/>
          </w:r>
          <w:r>
            <w:rPr>
              <w:sz w:val="24"/>
              <w:szCs w:val="24"/>
            </w:rPr>
            <w:fldChar w:fldCharType="begin"/>
          </w:r>
          <w:r>
            <w:rPr>
              <w:sz w:val="24"/>
              <w:szCs w:val="24"/>
            </w:rPr>
            <w:instrText xml:space="preserve"> PAGEREF _Toc9873307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"_Toc9873308" </w:instrText>
          </w:r>
          <w:r>
            <w:fldChar w:fldCharType="separate"/>
          </w:r>
          <w:r>
            <w:rPr>
              <w:rStyle w:val="86"/>
              <w:rFonts w:cs="Times New Roman"/>
              <w:bCs/>
              <w:color w:val="auto"/>
              <w:kern w:val="28"/>
              <w:szCs w:val="24"/>
            </w:rPr>
            <w:t>2.1　现有工程概况</w:t>
          </w:r>
          <w:r>
            <w:rPr>
              <w:rFonts w:cs="Times New Roman"/>
              <w:szCs w:val="24"/>
            </w:rPr>
            <w:tab/>
          </w:r>
          <w:r>
            <w:rPr>
              <w:rFonts w:cs="Times New Roman"/>
              <w:szCs w:val="24"/>
            </w:rPr>
            <w:fldChar w:fldCharType="begin"/>
          </w:r>
          <w:r>
            <w:rPr>
              <w:rFonts w:cs="Times New Roman"/>
              <w:szCs w:val="24"/>
            </w:rPr>
            <w:instrText xml:space="preserve"> PAGEREF _Toc9873308 \h </w:instrText>
          </w:r>
          <w:r>
            <w:rPr>
              <w:rFonts w:cs="Times New Roman"/>
              <w:szCs w:val="24"/>
            </w:rPr>
            <w:fldChar w:fldCharType="separate"/>
          </w:r>
          <w:r>
            <w:rPr>
              <w:rFonts w:cs="Times New Roman"/>
              <w:szCs w:val="24"/>
            </w:rPr>
            <w:t>34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"_Toc9873317" </w:instrText>
          </w:r>
          <w:r>
            <w:fldChar w:fldCharType="separate"/>
          </w:r>
          <w:r>
            <w:rPr>
              <w:rStyle w:val="86"/>
              <w:rFonts w:cs="Times New Roman"/>
              <w:bCs/>
              <w:color w:val="auto"/>
              <w:kern w:val="28"/>
              <w:szCs w:val="24"/>
            </w:rPr>
            <w:t>2.2　建设项目概况</w:t>
          </w:r>
          <w:r>
            <w:rPr>
              <w:rFonts w:cs="Times New Roman"/>
              <w:szCs w:val="24"/>
            </w:rPr>
            <w:tab/>
          </w:r>
          <w:r>
            <w:rPr>
              <w:rFonts w:cs="Times New Roman"/>
              <w:szCs w:val="24"/>
            </w:rPr>
            <w:fldChar w:fldCharType="begin"/>
          </w:r>
          <w:r>
            <w:rPr>
              <w:rFonts w:cs="Times New Roman"/>
              <w:szCs w:val="24"/>
            </w:rPr>
            <w:instrText xml:space="preserve"> PAGEREF _Toc9873317 \h </w:instrText>
          </w:r>
          <w:r>
            <w:rPr>
              <w:rFonts w:cs="Times New Roman"/>
              <w:szCs w:val="24"/>
            </w:rPr>
            <w:fldChar w:fldCharType="separate"/>
          </w:r>
          <w:r>
            <w:rPr>
              <w:rFonts w:cs="Times New Roman"/>
              <w:szCs w:val="24"/>
            </w:rPr>
            <w:t>49</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"_Toc9873328" </w:instrText>
          </w:r>
          <w:r>
            <w:fldChar w:fldCharType="separate"/>
          </w:r>
          <w:r>
            <w:rPr>
              <w:rStyle w:val="86"/>
              <w:rFonts w:cs="Times New Roman"/>
              <w:bCs/>
              <w:color w:val="auto"/>
              <w:kern w:val="28"/>
              <w:szCs w:val="24"/>
            </w:rPr>
            <w:t>2.3  生产工艺</w:t>
          </w:r>
          <w:r>
            <w:rPr>
              <w:rFonts w:cs="Times New Roman"/>
              <w:szCs w:val="24"/>
            </w:rPr>
            <w:tab/>
          </w:r>
          <w:r>
            <w:rPr>
              <w:rFonts w:cs="Times New Roman"/>
              <w:szCs w:val="24"/>
            </w:rPr>
            <w:fldChar w:fldCharType="begin"/>
          </w:r>
          <w:r>
            <w:rPr>
              <w:rFonts w:cs="Times New Roman"/>
              <w:szCs w:val="24"/>
            </w:rPr>
            <w:instrText xml:space="preserve"> PAGEREF _Toc9873328 \h </w:instrText>
          </w:r>
          <w:r>
            <w:rPr>
              <w:rFonts w:cs="Times New Roman"/>
              <w:szCs w:val="24"/>
            </w:rPr>
            <w:fldChar w:fldCharType="separate"/>
          </w:r>
          <w:r>
            <w:rPr>
              <w:rFonts w:cs="Times New Roman"/>
              <w:szCs w:val="24"/>
            </w:rPr>
            <w:t>58</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"_Toc9873332" </w:instrText>
          </w:r>
          <w:r>
            <w:fldChar w:fldCharType="separate"/>
          </w:r>
          <w:r>
            <w:rPr>
              <w:rStyle w:val="86"/>
              <w:rFonts w:cs="Times New Roman"/>
              <w:bCs/>
              <w:color w:val="auto"/>
              <w:kern w:val="28"/>
              <w:szCs w:val="24"/>
            </w:rPr>
            <w:t>2.4　污染源分析</w:t>
          </w:r>
          <w:r>
            <w:rPr>
              <w:rFonts w:cs="Times New Roman"/>
              <w:szCs w:val="24"/>
            </w:rPr>
            <w:tab/>
          </w:r>
          <w:r>
            <w:rPr>
              <w:rFonts w:cs="Times New Roman"/>
              <w:szCs w:val="24"/>
            </w:rPr>
            <w:fldChar w:fldCharType="begin"/>
          </w:r>
          <w:r>
            <w:rPr>
              <w:rFonts w:cs="Times New Roman"/>
              <w:szCs w:val="24"/>
            </w:rPr>
            <w:instrText xml:space="preserve"> PAGEREF _Toc9873332 \h </w:instrText>
          </w:r>
          <w:r>
            <w:rPr>
              <w:rFonts w:cs="Times New Roman"/>
              <w:szCs w:val="24"/>
            </w:rPr>
            <w:fldChar w:fldCharType="separate"/>
          </w:r>
          <w:r>
            <w:rPr>
              <w:rFonts w:cs="Times New Roman"/>
              <w:szCs w:val="24"/>
            </w:rPr>
            <w:t>61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"_Toc9873338" </w:instrText>
          </w:r>
          <w:r>
            <w:fldChar w:fldCharType="separate"/>
          </w:r>
          <w:r>
            <w:rPr>
              <w:rStyle w:val="86"/>
              <w:rFonts w:cs="Times New Roman"/>
              <w:bCs/>
              <w:color w:val="auto"/>
              <w:kern w:val="28"/>
              <w:szCs w:val="24"/>
            </w:rPr>
            <w:t>2.5　扩建前后三本账</w:t>
          </w:r>
          <w:r>
            <w:rPr>
              <w:rFonts w:cs="Times New Roman"/>
              <w:szCs w:val="24"/>
            </w:rPr>
            <w:tab/>
          </w:r>
          <w:r>
            <w:rPr>
              <w:rFonts w:cs="Times New Roman"/>
              <w:szCs w:val="24"/>
            </w:rPr>
            <w:fldChar w:fldCharType="begin"/>
          </w:r>
          <w:r>
            <w:rPr>
              <w:rFonts w:cs="Times New Roman"/>
              <w:szCs w:val="24"/>
            </w:rPr>
            <w:instrText xml:space="preserve"> PAGEREF _Toc9873338 \h </w:instrText>
          </w:r>
          <w:r>
            <w:rPr>
              <w:rFonts w:cs="Times New Roman"/>
              <w:szCs w:val="24"/>
            </w:rPr>
            <w:fldChar w:fldCharType="separate"/>
          </w:r>
          <w:r>
            <w:rPr>
              <w:rFonts w:cs="Times New Roman"/>
              <w:szCs w:val="24"/>
            </w:rPr>
            <w:t>71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"_Toc9873339" </w:instrText>
          </w:r>
          <w:r>
            <w:fldChar w:fldCharType="separate"/>
          </w:r>
          <w:r>
            <w:rPr>
              <w:rStyle w:val="86"/>
              <w:rFonts w:cs="Times New Roman"/>
              <w:bCs/>
              <w:color w:val="auto"/>
              <w:kern w:val="28"/>
              <w:szCs w:val="24"/>
            </w:rPr>
            <w:t>2.6  总量控制</w:t>
          </w:r>
          <w:r>
            <w:rPr>
              <w:rFonts w:cs="Times New Roman"/>
              <w:szCs w:val="24"/>
            </w:rPr>
            <w:tab/>
          </w:r>
          <w:r>
            <w:rPr>
              <w:rFonts w:cs="Times New Roman"/>
              <w:szCs w:val="24"/>
            </w:rPr>
            <w:fldChar w:fldCharType="begin"/>
          </w:r>
          <w:r>
            <w:rPr>
              <w:rFonts w:cs="Times New Roman"/>
              <w:szCs w:val="24"/>
            </w:rPr>
            <w:instrText xml:space="preserve"> PAGEREF _Toc9873339 \h </w:instrText>
          </w:r>
          <w:r>
            <w:rPr>
              <w:rFonts w:cs="Times New Roman"/>
              <w:szCs w:val="24"/>
            </w:rPr>
            <w:fldChar w:fldCharType="separate"/>
          </w:r>
          <w:r>
            <w:rPr>
              <w:rFonts w:cs="Times New Roman"/>
              <w:szCs w:val="24"/>
            </w:rPr>
            <w:t>72</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"_Toc9873340" </w:instrText>
          </w:r>
          <w:r>
            <w:fldChar w:fldCharType="separate"/>
          </w:r>
          <w:r>
            <w:rPr>
              <w:rStyle w:val="86"/>
              <w:color w:val="auto"/>
              <w:sz w:val="24"/>
              <w:szCs w:val="24"/>
            </w:rPr>
            <w:t>第三章  环境现状调查与评价</w:t>
          </w:r>
          <w:r>
            <w:rPr>
              <w:sz w:val="24"/>
              <w:szCs w:val="24"/>
            </w:rPr>
            <w:tab/>
          </w:r>
          <w:r>
            <w:rPr>
              <w:sz w:val="24"/>
              <w:szCs w:val="24"/>
            </w:rPr>
            <w:fldChar w:fldCharType="begin"/>
          </w:r>
          <w:r>
            <w:rPr>
              <w:sz w:val="24"/>
              <w:szCs w:val="24"/>
            </w:rPr>
            <w:instrText xml:space="preserve"> PAGEREF _Toc9873340 \h </w:instrText>
          </w:r>
          <w:r>
            <w:rPr>
              <w:sz w:val="24"/>
              <w:szCs w:val="24"/>
            </w:rPr>
            <w:fldChar w:fldCharType="separate"/>
          </w:r>
          <w:r>
            <w:rPr>
              <w:sz w:val="24"/>
              <w:szCs w:val="24"/>
            </w:rPr>
            <w:t>73</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"_Toc9873341" </w:instrText>
          </w:r>
          <w:r>
            <w:fldChar w:fldCharType="separate"/>
          </w:r>
          <w:r>
            <w:rPr>
              <w:rStyle w:val="86"/>
              <w:rFonts w:cs="Times New Roman"/>
              <w:bCs/>
              <w:color w:val="auto"/>
              <w:kern w:val="28"/>
              <w:szCs w:val="24"/>
            </w:rPr>
            <w:t>3.1　自然环境概况</w:t>
          </w:r>
          <w:r>
            <w:rPr>
              <w:rFonts w:cs="Times New Roman"/>
              <w:szCs w:val="24"/>
            </w:rPr>
            <w:tab/>
          </w:r>
          <w:r>
            <w:rPr>
              <w:rFonts w:cs="Times New Roman"/>
              <w:szCs w:val="24"/>
            </w:rPr>
            <w:fldChar w:fldCharType="begin"/>
          </w:r>
          <w:r>
            <w:rPr>
              <w:rFonts w:cs="Times New Roman"/>
              <w:szCs w:val="24"/>
            </w:rPr>
            <w:instrText xml:space="preserve"> PAGEREF _Toc9873341 \h </w:instrText>
          </w:r>
          <w:r>
            <w:rPr>
              <w:rFonts w:cs="Times New Roman"/>
              <w:szCs w:val="24"/>
            </w:rPr>
            <w:fldChar w:fldCharType="separate"/>
          </w:r>
          <w:r>
            <w:rPr>
              <w:rFonts w:cs="Times New Roman"/>
              <w:szCs w:val="24"/>
            </w:rPr>
            <w:t>73</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"_Toc9873347" </w:instrText>
          </w:r>
          <w:r>
            <w:fldChar w:fldCharType="separate"/>
          </w:r>
          <w:r>
            <w:rPr>
              <w:rStyle w:val="86"/>
              <w:rFonts w:cs="Times New Roman"/>
              <w:bCs/>
              <w:color w:val="auto"/>
              <w:kern w:val="28"/>
              <w:szCs w:val="24"/>
            </w:rPr>
            <w:t>3.2 《冉义镇万亩高标准农田新型社区规划》简介</w:t>
          </w:r>
          <w:r>
            <w:rPr>
              <w:rFonts w:cs="Times New Roman"/>
              <w:szCs w:val="24"/>
            </w:rPr>
            <w:tab/>
          </w:r>
          <w:r>
            <w:rPr>
              <w:rFonts w:cs="Times New Roman"/>
              <w:szCs w:val="24"/>
            </w:rPr>
            <w:fldChar w:fldCharType="begin"/>
          </w:r>
          <w:r>
            <w:rPr>
              <w:rFonts w:cs="Times New Roman"/>
              <w:szCs w:val="24"/>
            </w:rPr>
            <w:instrText xml:space="preserve"> PAGEREF _Toc9873347 \h </w:instrText>
          </w:r>
          <w:r>
            <w:rPr>
              <w:rFonts w:cs="Times New Roman"/>
              <w:szCs w:val="24"/>
            </w:rPr>
            <w:fldChar w:fldCharType="separate"/>
          </w:r>
          <w:r>
            <w:rPr>
              <w:rFonts w:cs="Times New Roman"/>
              <w:szCs w:val="24"/>
            </w:rPr>
            <w:t>75</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"_Toc9873348" </w:instrText>
          </w:r>
          <w:r>
            <w:fldChar w:fldCharType="separate"/>
          </w:r>
          <w:r>
            <w:rPr>
              <w:rStyle w:val="86"/>
              <w:rFonts w:cs="Times New Roman"/>
              <w:bCs/>
              <w:color w:val="auto"/>
              <w:kern w:val="28"/>
              <w:szCs w:val="24"/>
            </w:rPr>
            <w:t>3.3  环境质量现状调查与评价</w:t>
          </w:r>
          <w:r>
            <w:rPr>
              <w:rFonts w:cs="Times New Roman"/>
              <w:szCs w:val="24"/>
            </w:rPr>
            <w:tab/>
          </w:r>
          <w:r>
            <w:rPr>
              <w:rFonts w:cs="Times New Roman"/>
              <w:szCs w:val="24"/>
            </w:rPr>
            <w:fldChar w:fldCharType="begin"/>
          </w:r>
          <w:r>
            <w:rPr>
              <w:rFonts w:cs="Times New Roman"/>
              <w:szCs w:val="24"/>
            </w:rPr>
            <w:instrText xml:space="preserve"> PAGEREF _Toc9873348 \h </w:instrText>
          </w:r>
          <w:r>
            <w:rPr>
              <w:rFonts w:cs="Times New Roman"/>
              <w:szCs w:val="24"/>
            </w:rPr>
            <w:fldChar w:fldCharType="separate"/>
          </w:r>
          <w:r>
            <w:rPr>
              <w:rFonts w:cs="Times New Roman"/>
              <w:szCs w:val="24"/>
            </w:rPr>
            <w:t>75</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"_Toc9873354" </w:instrText>
          </w:r>
          <w:r>
            <w:fldChar w:fldCharType="separate"/>
          </w:r>
          <w:r>
            <w:rPr>
              <w:rStyle w:val="86"/>
              <w:color w:val="auto"/>
              <w:sz w:val="24"/>
              <w:szCs w:val="24"/>
            </w:rPr>
            <w:t>第四章  施工期环境影响预测与评价</w:t>
          </w:r>
          <w:r>
            <w:rPr>
              <w:sz w:val="24"/>
              <w:szCs w:val="24"/>
            </w:rPr>
            <w:tab/>
          </w:r>
          <w:r>
            <w:rPr>
              <w:sz w:val="24"/>
              <w:szCs w:val="24"/>
            </w:rPr>
            <w:fldChar w:fldCharType="begin"/>
          </w:r>
          <w:r>
            <w:rPr>
              <w:sz w:val="24"/>
              <w:szCs w:val="24"/>
            </w:rPr>
            <w:instrText xml:space="preserve"> PAGEREF _Toc9873354 \h </w:instrText>
          </w:r>
          <w:r>
            <w:rPr>
              <w:sz w:val="24"/>
              <w:szCs w:val="24"/>
            </w:rPr>
            <w:fldChar w:fldCharType="separate"/>
          </w:r>
          <w:r>
            <w:rPr>
              <w:sz w:val="24"/>
              <w:szCs w:val="24"/>
            </w:rPr>
            <w:t>85</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"_Toc9873355" </w:instrText>
          </w:r>
          <w:r>
            <w:fldChar w:fldCharType="separate"/>
          </w:r>
          <w:r>
            <w:rPr>
              <w:rStyle w:val="86"/>
              <w:rFonts w:cs="Times New Roman"/>
              <w:bCs/>
              <w:color w:val="auto"/>
              <w:kern w:val="28"/>
              <w:szCs w:val="24"/>
            </w:rPr>
            <w:t>4.1 施工期声环境影响分析</w:t>
          </w:r>
          <w:r>
            <w:rPr>
              <w:rFonts w:cs="Times New Roman"/>
              <w:szCs w:val="24"/>
            </w:rPr>
            <w:tab/>
          </w:r>
          <w:r>
            <w:rPr>
              <w:rFonts w:cs="Times New Roman"/>
              <w:szCs w:val="24"/>
            </w:rPr>
            <w:fldChar w:fldCharType="begin"/>
          </w:r>
          <w:r>
            <w:rPr>
              <w:rFonts w:cs="Times New Roman"/>
              <w:szCs w:val="24"/>
            </w:rPr>
            <w:instrText xml:space="preserve"> PAGEREF _Toc9873355 \h </w:instrText>
          </w:r>
          <w:r>
            <w:rPr>
              <w:rFonts w:cs="Times New Roman"/>
              <w:szCs w:val="24"/>
            </w:rPr>
            <w:fldChar w:fldCharType="separate"/>
          </w:r>
          <w:r>
            <w:rPr>
              <w:rFonts w:cs="Times New Roman"/>
              <w:szCs w:val="24"/>
            </w:rPr>
            <w:t>85</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"_Toc9873359" </w:instrText>
          </w:r>
          <w:r>
            <w:fldChar w:fldCharType="separate"/>
          </w:r>
          <w:r>
            <w:rPr>
              <w:rStyle w:val="86"/>
              <w:rFonts w:cs="Times New Roman"/>
              <w:bCs/>
              <w:color w:val="auto"/>
              <w:kern w:val="28"/>
              <w:szCs w:val="24"/>
            </w:rPr>
            <w:t>4.2 施工期大气影响分析</w:t>
          </w:r>
          <w:r>
            <w:rPr>
              <w:rFonts w:cs="Times New Roman"/>
              <w:szCs w:val="24"/>
            </w:rPr>
            <w:tab/>
          </w:r>
          <w:r>
            <w:rPr>
              <w:rFonts w:cs="Times New Roman"/>
              <w:szCs w:val="24"/>
            </w:rPr>
            <w:fldChar w:fldCharType="begin"/>
          </w:r>
          <w:r>
            <w:rPr>
              <w:rFonts w:cs="Times New Roman"/>
              <w:szCs w:val="24"/>
            </w:rPr>
            <w:instrText xml:space="preserve"> PAGEREF _Toc9873359 \h </w:instrText>
          </w:r>
          <w:r>
            <w:rPr>
              <w:rFonts w:cs="Times New Roman"/>
              <w:szCs w:val="24"/>
            </w:rPr>
            <w:fldChar w:fldCharType="separate"/>
          </w:r>
          <w:r>
            <w:rPr>
              <w:rFonts w:cs="Times New Roman"/>
              <w:szCs w:val="24"/>
            </w:rPr>
            <w:t>87</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"_Toc9873362" </w:instrText>
          </w:r>
          <w:r>
            <w:fldChar w:fldCharType="separate"/>
          </w:r>
          <w:r>
            <w:rPr>
              <w:rStyle w:val="86"/>
              <w:rFonts w:cs="Times New Roman"/>
              <w:bCs/>
              <w:color w:val="auto"/>
              <w:kern w:val="28"/>
              <w:szCs w:val="24"/>
            </w:rPr>
            <w:t>4.3 施工期废水影响分析</w:t>
          </w:r>
          <w:r>
            <w:rPr>
              <w:rFonts w:cs="Times New Roman"/>
              <w:szCs w:val="24"/>
            </w:rPr>
            <w:tab/>
          </w:r>
          <w:r>
            <w:rPr>
              <w:rFonts w:cs="Times New Roman"/>
              <w:szCs w:val="24"/>
            </w:rPr>
            <w:fldChar w:fldCharType="begin"/>
          </w:r>
          <w:r>
            <w:rPr>
              <w:rFonts w:cs="Times New Roman"/>
              <w:szCs w:val="24"/>
            </w:rPr>
            <w:instrText xml:space="preserve"> PAGEREF _Toc9873362 \h </w:instrText>
          </w:r>
          <w:r>
            <w:rPr>
              <w:rFonts w:cs="Times New Roman"/>
              <w:szCs w:val="24"/>
            </w:rPr>
            <w:fldChar w:fldCharType="separate"/>
          </w:r>
          <w:r>
            <w:rPr>
              <w:rFonts w:cs="Times New Roman"/>
              <w:szCs w:val="24"/>
            </w:rPr>
            <w:t>89</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"_Toc9873365" </w:instrText>
          </w:r>
          <w:r>
            <w:fldChar w:fldCharType="separate"/>
          </w:r>
          <w:r>
            <w:rPr>
              <w:rStyle w:val="86"/>
              <w:rFonts w:cs="Times New Roman"/>
              <w:bCs/>
              <w:color w:val="auto"/>
              <w:kern w:val="28"/>
              <w:szCs w:val="24"/>
            </w:rPr>
            <w:t>4.4 施工期固废影响分析</w:t>
          </w:r>
          <w:r>
            <w:rPr>
              <w:rFonts w:cs="Times New Roman"/>
              <w:szCs w:val="24"/>
            </w:rPr>
            <w:tab/>
          </w:r>
          <w:r>
            <w:rPr>
              <w:rFonts w:cs="Times New Roman"/>
              <w:szCs w:val="24"/>
            </w:rPr>
            <w:fldChar w:fldCharType="begin"/>
          </w:r>
          <w:r>
            <w:rPr>
              <w:rFonts w:cs="Times New Roman"/>
              <w:szCs w:val="24"/>
            </w:rPr>
            <w:instrText xml:space="preserve"> PAGEREF _Toc9873365 \h </w:instrText>
          </w:r>
          <w:r>
            <w:rPr>
              <w:rFonts w:cs="Times New Roman"/>
              <w:szCs w:val="24"/>
            </w:rPr>
            <w:fldChar w:fldCharType="separate"/>
          </w:r>
          <w:r>
            <w:rPr>
              <w:rFonts w:cs="Times New Roman"/>
              <w:szCs w:val="24"/>
            </w:rPr>
            <w:t>90</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"_Toc9873366" </w:instrText>
          </w:r>
          <w:r>
            <w:fldChar w:fldCharType="separate"/>
          </w:r>
          <w:r>
            <w:rPr>
              <w:rStyle w:val="86"/>
              <w:rFonts w:cs="Times New Roman"/>
              <w:bCs/>
              <w:color w:val="auto"/>
              <w:kern w:val="28"/>
              <w:szCs w:val="24"/>
            </w:rPr>
            <w:t>4.5 施工期对水土流失的影响</w:t>
          </w:r>
          <w:r>
            <w:rPr>
              <w:rFonts w:cs="Times New Roman"/>
              <w:szCs w:val="24"/>
            </w:rPr>
            <w:tab/>
          </w:r>
          <w:r>
            <w:rPr>
              <w:rFonts w:cs="Times New Roman"/>
              <w:szCs w:val="24"/>
            </w:rPr>
            <w:fldChar w:fldCharType="begin"/>
          </w:r>
          <w:r>
            <w:rPr>
              <w:rFonts w:cs="Times New Roman"/>
              <w:szCs w:val="24"/>
            </w:rPr>
            <w:instrText xml:space="preserve"> PAGEREF _Toc9873366 \h </w:instrText>
          </w:r>
          <w:r>
            <w:rPr>
              <w:rFonts w:cs="Times New Roman"/>
              <w:szCs w:val="24"/>
            </w:rPr>
            <w:fldChar w:fldCharType="separate"/>
          </w:r>
          <w:r>
            <w:rPr>
              <w:rFonts w:cs="Times New Roman"/>
              <w:szCs w:val="24"/>
            </w:rPr>
            <w:t>91</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"_Toc9873367" </w:instrText>
          </w:r>
          <w:r>
            <w:fldChar w:fldCharType="separate"/>
          </w:r>
          <w:r>
            <w:rPr>
              <w:rStyle w:val="86"/>
              <w:color w:val="auto"/>
              <w:sz w:val="24"/>
              <w:szCs w:val="24"/>
            </w:rPr>
            <w:t>第五章  营运期环境影响预测与评价</w:t>
          </w:r>
          <w:r>
            <w:rPr>
              <w:sz w:val="24"/>
              <w:szCs w:val="24"/>
            </w:rPr>
            <w:tab/>
          </w:r>
          <w:r>
            <w:rPr>
              <w:sz w:val="24"/>
              <w:szCs w:val="24"/>
            </w:rPr>
            <w:fldChar w:fldCharType="begin"/>
          </w:r>
          <w:r>
            <w:rPr>
              <w:sz w:val="24"/>
              <w:szCs w:val="24"/>
            </w:rPr>
            <w:instrText xml:space="preserve"> PAGEREF _Toc9873367 \h </w:instrText>
          </w:r>
          <w:r>
            <w:rPr>
              <w:sz w:val="24"/>
              <w:szCs w:val="24"/>
            </w:rPr>
            <w:fldChar w:fldCharType="separate"/>
          </w:r>
          <w:r>
            <w:rPr>
              <w:sz w:val="24"/>
              <w:szCs w:val="24"/>
            </w:rPr>
            <w:t>92</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"_Toc9873368" </w:instrText>
          </w:r>
          <w:r>
            <w:fldChar w:fldCharType="separate"/>
          </w:r>
          <w:r>
            <w:rPr>
              <w:rStyle w:val="86"/>
              <w:rFonts w:cs="Times New Roman"/>
              <w:bCs/>
              <w:color w:val="auto"/>
              <w:kern w:val="28"/>
              <w:szCs w:val="24"/>
            </w:rPr>
            <w:t>5.1  大气环境影响分析</w:t>
          </w:r>
          <w:r>
            <w:rPr>
              <w:rFonts w:cs="Times New Roman"/>
              <w:szCs w:val="24"/>
            </w:rPr>
            <w:tab/>
          </w:r>
          <w:r>
            <w:rPr>
              <w:rFonts w:cs="Times New Roman"/>
              <w:szCs w:val="24"/>
            </w:rPr>
            <w:fldChar w:fldCharType="begin"/>
          </w:r>
          <w:r>
            <w:rPr>
              <w:rFonts w:cs="Times New Roman"/>
              <w:szCs w:val="24"/>
            </w:rPr>
            <w:instrText xml:space="preserve"> PAGEREF _Toc9873368 \h </w:instrText>
          </w:r>
          <w:r>
            <w:rPr>
              <w:rFonts w:cs="Times New Roman"/>
              <w:szCs w:val="24"/>
            </w:rPr>
            <w:fldChar w:fldCharType="separate"/>
          </w:r>
          <w:r>
            <w:rPr>
              <w:rFonts w:cs="Times New Roman"/>
              <w:szCs w:val="24"/>
            </w:rPr>
            <w:t>92</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"_Toc9873374" </w:instrText>
          </w:r>
          <w:r>
            <w:fldChar w:fldCharType="separate"/>
          </w:r>
          <w:r>
            <w:rPr>
              <w:rStyle w:val="86"/>
              <w:rFonts w:cs="Times New Roman"/>
              <w:bCs/>
              <w:color w:val="auto"/>
              <w:kern w:val="28"/>
              <w:szCs w:val="24"/>
            </w:rPr>
            <w:t>5.2 声环境影响预测与评价</w:t>
          </w:r>
          <w:r>
            <w:rPr>
              <w:rFonts w:cs="Times New Roman"/>
              <w:szCs w:val="24"/>
            </w:rPr>
            <w:tab/>
          </w:r>
          <w:r>
            <w:rPr>
              <w:rFonts w:cs="Times New Roman"/>
              <w:szCs w:val="24"/>
            </w:rPr>
            <w:fldChar w:fldCharType="begin"/>
          </w:r>
          <w:r>
            <w:rPr>
              <w:rFonts w:cs="Times New Roman"/>
              <w:szCs w:val="24"/>
            </w:rPr>
            <w:instrText xml:space="preserve"> PAGEREF _Toc9873374 \h </w:instrText>
          </w:r>
          <w:r>
            <w:rPr>
              <w:rFonts w:cs="Times New Roman"/>
              <w:szCs w:val="24"/>
            </w:rPr>
            <w:fldChar w:fldCharType="separate"/>
          </w:r>
          <w:r>
            <w:rPr>
              <w:rFonts w:cs="Times New Roman"/>
              <w:szCs w:val="24"/>
            </w:rPr>
            <w:t>97</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"_Toc9873380" </w:instrText>
          </w:r>
          <w:r>
            <w:fldChar w:fldCharType="separate"/>
          </w:r>
          <w:r>
            <w:rPr>
              <w:rStyle w:val="86"/>
              <w:rFonts w:cs="Times New Roman"/>
              <w:bCs/>
              <w:color w:val="auto"/>
              <w:kern w:val="28"/>
              <w:szCs w:val="24"/>
            </w:rPr>
            <w:t>5.3  废水对地表水影响预测评价</w:t>
          </w:r>
          <w:r>
            <w:rPr>
              <w:rFonts w:cs="Times New Roman"/>
              <w:szCs w:val="24"/>
            </w:rPr>
            <w:tab/>
          </w:r>
          <w:r>
            <w:rPr>
              <w:rFonts w:cs="Times New Roman"/>
              <w:szCs w:val="24"/>
            </w:rPr>
            <w:fldChar w:fldCharType="begin"/>
          </w:r>
          <w:r>
            <w:rPr>
              <w:rFonts w:cs="Times New Roman"/>
              <w:szCs w:val="24"/>
            </w:rPr>
            <w:instrText xml:space="preserve"> PAGEREF _Toc9873380 \h </w:instrText>
          </w:r>
          <w:r>
            <w:rPr>
              <w:rFonts w:cs="Times New Roman"/>
              <w:szCs w:val="24"/>
            </w:rPr>
            <w:fldChar w:fldCharType="separate"/>
          </w:r>
          <w:r>
            <w:rPr>
              <w:rFonts w:cs="Times New Roman"/>
              <w:szCs w:val="24"/>
            </w:rPr>
            <w:t>99</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"_Toc9873381" </w:instrText>
          </w:r>
          <w:r>
            <w:fldChar w:fldCharType="separate"/>
          </w:r>
          <w:r>
            <w:rPr>
              <w:rStyle w:val="86"/>
              <w:rFonts w:cs="Times New Roman"/>
              <w:bCs/>
              <w:color w:val="auto"/>
              <w:kern w:val="28"/>
              <w:szCs w:val="24"/>
            </w:rPr>
            <w:t>5.4 地下水影响分析</w:t>
          </w:r>
          <w:r>
            <w:rPr>
              <w:rFonts w:cs="Times New Roman"/>
              <w:szCs w:val="24"/>
            </w:rPr>
            <w:tab/>
          </w:r>
          <w:r>
            <w:rPr>
              <w:rFonts w:cs="Times New Roman"/>
              <w:szCs w:val="24"/>
            </w:rPr>
            <w:fldChar w:fldCharType="begin"/>
          </w:r>
          <w:r>
            <w:rPr>
              <w:rFonts w:cs="Times New Roman"/>
              <w:szCs w:val="24"/>
            </w:rPr>
            <w:instrText xml:space="preserve"> PAGEREF _Toc9873381 \h </w:instrText>
          </w:r>
          <w:r>
            <w:rPr>
              <w:rFonts w:cs="Times New Roman"/>
              <w:szCs w:val="24"/>
            </w:rPr>
            <w:fldChar w:fldCharType="separate"/>
          </w:r>
          <w:r>
            <w:rPr>
              <w:rFonts w:cs="Times New Roman"/>
              <w:szCs w:val="24"/>
            </w:rPr>
            <w:t>100</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"_Toc9873382" </w:instrText>
          </w:r>
          <w:r>
            <w:fldChar w:fldCharType="separate"/>
          </w:r>
          <w:r>
            <w:rPr>
              <w:rStyle w:val="86"/>
              <w:rFonts w:cs="Times New Roman"/>
              <w:bCs/>
              <w:color w:val="auto"/>
              <w:kern w:val="28"/>
              <w:szCs w:val="24"/>
            </w:rPr>
            <w:t>5.5 固体废物环境影响分析</w:t>
          </w:r>
          <w:r>
            <w:rPr>
              <w:rFonts w:cs="Times New Roman"/>
              <w:szCs w:val="24"/>
            </w:rPr>
            <w:tab/>
          </w:r>
          <w:r>
            <w:rPr>
              <w:rFonts w:cs="Times New Roman"/>
              <w:szCs w:val="24"/>
            </w:rPr>
            <w:fldChar w:fldCharType="begin"/>
          </w:r>
          <w:r>
            <w:rPr>
              <w:rFonts w:cs="Times New Roman"/>
              <w:szCs w:val="24"/>
            </w:rPr>
            <w:instrText xml:space="preserve"> PAGEREF _Toc9873382 \h </w:instrText>
          </w:r>
          <w:r>
            <w:rPr>
              <w:rFonts w:cs="Times New Roman"/>
              <w:szCs w:val="24"/>
            </w:rPr>
            <w:fldChar w:fldCharType="separate"/>
          </w:r>
          <w:r>
            <w:rPr>
              <w:rFonts w:cs="Times New Roman"/>
              <w:szCs w:val="24"/>
            </w:rPr>
            <w:t>101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"_Toc9873383" </w:instrText>
          </w:r>
          <w:r>
            <w:fldChar w:fldCharType="separate"/>
          </w:r>
          <w:r>
            <w:rPr>
              <w:rStyle w:val="86"/>
              <w:rFonts w:cs="Times New Roman"/>
              <w:bCs/>
              <w:color w:val="auto"/>
              <w:kern w:val="28"/>
              <w:szCs w:val="24"/>
            </w:rPr>
            <w:t>5.6 本项目产生废物作为农肥施用对土壤的影响分析</w:t>
          </w:r>
          <w:r>
            <w:rPr>
              <w:rFonts w:cs="Times New Roman"/>
              <w:szCs w:val="24"/>
            </w:rPr>
            <w:tab/>
          </w:r>
          <w:r>
            <w:rPr>
              <w:rFonts w:cs="Times New Roman"/>
              <w:szCs w:val="24"/>
            </w:rPr>
            <w:fldChar w:fldCharType="begin"/>
          </w:r>
          <w:r>
            <w:rPr>
              <w:rFonts w:cs="Times New Roman"/>
              <w:szCs w:val="24"/>
            </w:rPr>
            <w:instrText xml:space="preserve"> PAGEREF _Toc9873383 \h </w:instrText>
          </w:r>
          <w:r>
            <w:rPr>
              <w:rFonts w:cs="Times New Roman"/>
              <w:szCs w:val="24"/>
            </w:rPr>
            <w:fldChar w:fldCharType="separate"/>
          </w:r>
          <w:r>
            <w:rPr>
              <w:rFonts w:cs="Times New Roman"/>
              <w:szCs w:val="24"/>
            </w:rPr>
            <w:t>101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"_Toc9873385" </w:instrText>
          </w:r>
          <w:r>
            <w:fldChar w:fldCharType="separate"/>
          </w:r>
          <w:r>
            <w:rPr>
              <w:rStyle w:val="86"/>
              <w:rFonts w:cs="Times New Roman"/>
              <w:bCs/>
              <w:color w:val="auto"/>
              <w:kern w:val="28"/>
              <w:szCs w:val="24"/>
            </w:rPr>
            <w:t>5.7  本项目所在地土地承载力分析</w:t>
          </w:r>
          <w:r>
            <w:rPr>
              <w:rFonts w:cs="Times New Roman"/>
              <w:szCs w:val="24"/>
            </w:rPr>
            <w:tab/>
          </w:r>
          <w:r>
            <w:rPr>
              <w:rFonts w:cs="Times New Roman"/>
              <w:szCs w:val="24"/>
            </w:rPr>
            <w:fldChar w:fldCharType="begin"/>
          </w:r>
          <w:r>
            <w:rPr>
              <w:rFonts w:cs="Times New Roman"/>
              <w:szCs w:val="24"/>
            </w:rPr>
            <w:instrText xml:space="preserve"> PAGEREF _Toc9873385 \h </w:instrText>
          </w:r>
          <w:r>
            <w:rPr>
              <w:rFonts w:cs="Times New Roman"/>
              <w:szCs w:val="24"/>
            </w:rPr>
            <w:fldChar w:fldCharType="separate"/>
          </w:r>
          <w:r>
            <w:rPr>
              <w:rFonts w:cs="Times New Roman"/>
              <w:szCs w:val="24"/>
            </w:rPr>
            <w:t>103</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"_Toc9873389" </w:instrText>
          </w:r>
          <w:r>
            <w:fldChar w:fldCharType="separate"/>
          </w:r>
          <w:r>
            <w:rPr>
              <w:rStyle w:val="86"/>
              <w:color w:val="auto"/>
              <w:sz w:val="24"/>
              <w:szCs w:val="24"/>
            </w:rPr>
            <w:t>第六章  环境风险评价</w:t>
          </w:r>
          <w:r>
            <w:rPr>
              <w:sz w:val="24"/>
              <w:szCs w:val="24"/>
            </w:rPr>
            <w:tab/>
          </w:r>
          <w:r>
            <w:rPr>
              <w:sz w:val="24"/>
              <w:szCs w:val="24"/>
            </w:rPr>
            <w:fldChar w:fldCharType="begin"/>
          </w:r>
          <w:r>
            <w:rPr>
              <w:sz w:val="24"/>
              <w:szCs w:val="24"/>
            </w:rPr>
            <w:instrText xml:space="preserve"> PAGEREF _Toc9873389 \h </w:instrText>
          </w:r>
          <w:r>
            <w:rPr>
              <w:sz w:val="24"/>
              <w:szCs w:val="24"/>
            </w:rPr>
            <w:fldChar w:fldCharType="separate"/>
          </w:r>
          <w:r>
            <w:rPr>
              <w:sz w:val="24"/>
              <w:szCs w:val="24"/>
            </w:rPr>
            <w:t>106</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"_Toc9873390" </w:instrText>
          </w:r>
          <w:r>
            <w:fldChar w:fldCharType="separate"/>
          </w:r>
          <w:r>
            <w:rPr>
              <w:rStyle w:val="86"/>
              <w:rFonts w:cs="Times New Roman"/>
              <w:bCs/>
              <w:color w:val="auto"/>
              <w:kern w:val="28"/>
              <w:szCs w:val="24"/>
            </w:rPr>
            <w:t>6.1 风险评价目的</w:t>
          </w:r>
          <w:r>
            <w:rPr>
              <w:rFonts w:cs="Times New Roman"/>
              <w:szCs w:val="24"/>
            </w:rPr>
            <w:tab/>
          </w:r>
          <w:r>
            <w:rPr>
              <w:rFonts w:cs="Times New Roman"/>
              <w:szCs w:val="24"/>
            </w:rPr>
            <w:fldChar w:fldCharType="begin"/>
          </w:r>
          <w:r>
            <w:rPr>
              <w:rFonts w:cs="Times New Roman"/>
              <w:szCs w:val="24"/>
            </w:rPr>
            <w:instrText xml:space="preserve"> PAGEREF _Toc9873390 \h </w:instrText>
          </w:r>
          <w:r>
            <w:rPr>
              <w:rFonts w:cs="Times New Roman"/>
              <w:szCs w:val="24"/>
            </w:rPr>
            <w:fldChar w:fldCharType="separate"/>
          </w:r>
          <w:r>
            <w:rPr>
              <w:rFonts w:cs="Times New Roman"/>
              <w:szCs w:val="24"/>
            </w:rPr>
            <w:t>106</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"_Toc9873391" </w:instrText>
          </w:r>
          <w:r>
            <w:fldChar w:fldCharType="separate"/>
          </w:r>
          <w:r>
            <w:rPr>
              <w:rStyle w:val="86"/>
              <w:rFonts w:cs="Times New Roman"/>
              <w:bCs/>
              <w:color w:val="auto"/>
              <w:kern w:val="28"/>
              <w:szCs w:val="24"/>
            </w:rPr>
            <w:t>6.2 风险调查</w:t>
          </w:r>
          <w:r>
            <w:rPr>
              <w:rFonts w:cs="Times New Roman"/>
              <w:szCs w:val="24"/>
            </w:rPr>
            <w:tab/>
          </w:r>
          <w:r>
            <w:rPr>
              <w:rFonts w:cs="Times New Roman"/>
              <w:szCs w:val="24"/>
            </w:rPr>
            <w:fldChar w:fldCharType="begin"/>
          </w:r>
          <w:r>
            <w:rPr>
              <w:rFonts w:cs="Times New Roman"/>
              <w:szCs w:val="24"/>
            </w:rPr>
            <w:instrText xml:space="preserve"> PAGEREF _Toc9873391 \h </w:instrText>
          </w:r>
          <w:r>
            <w:rPr>
              <w:rFonts w:cs="Times New Roman"/>
              <w:szCs w:val="24"/>
            </w:rPr>
            <w:fldChar w:fldCharType="separate"/>
          </w:r>
          <w:r>
            <w:rPr>
              <w:rFonts w:cs="Times New Roman"/>
              <w:szCs w:val="24"/>
            </w:rPr>
            <w:t>106</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"_Toc9873392" </w:instrText>
          </w:r>
          <w:r>
            <w:fldChar w:fldCharType="separate"/>
          </w:r>
          <w:r>
            <w:rPr>
              <w:rStyle w:val="86"/>
              <w:rFonts w:cs="Times New Roman"/>
              <w:bCs/>
              <w:color w:val="auto"/>
              <w:kern w:val="28"/>
              <w:szCs w:val="24"/>
            </w:rPr>
            <w:t>6.3 评价等级</w:t>
          </w:r>
          <w:r>
            <w:rPr>
              <w:rFonts w:cs="Times New Roman"/>
              <w:szCs w:val="24"/>
            </w:rPr>
            <w:tab/>
          </w:r>
          <w:r>
            <w:rPr>
              <w:rFonts w:cs="Times New Roman"/>
              <w:szCs w:val="24"/>
            </w:rPr>
            <w:fldChar w:fldCharType="begin"/>
          </w:r>
          <w:r>
            <w:rPr>
              <w:rFonts w:cs="Times New Roman"/>
              <w:szCs w:val="24"/>
            </w:rPr>
            <w:instrText xml:space="preserve"> PAGEREF _Toc9873392 \h </w:instrText>
          </w:r>
          <w:r>
            <w:rPr>
              <w:rFonts w:cs="Times New Roman"/>
              <w:szCs w:val="24"/>
            </w:rPr>
            <w:fldChar w:fldCharType="separate"/>
          </w:r>
          <w:r>
            <w:rPr>
              <w:rFonts w:cs="Times New Roman"/>
              <w:szCs w:val="24"/>
            </w:rPr>
            <w:t>107</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"_Toc9873395" </w:instrText>
          </w:r>
          <w:r>
            <w:fldChar w:fldCharType="separate"/>
          </w:r>
          <w:r>
            <w:rPr>
              <w:rStyle w:val="86"/>
              <w:rFonts w:cs="Times New Roman"/>
              <w:bCs/>
              <w:color w:val="auto"/>
              <w:kern w:val="28"/>
              <w:szCs w:val="24"/>
            </w:rPr>
            <w:t>6.4　风险识别</w:t>
          </w:r>
          <w:r>
            <w:rPr>
              <w:rFonts w:cs="Times New Roman"/>
              <w:szCs w:val="24"/>
            </w:rPr>
            <w:tab/>
          </w:r>
          <w:r>
            <w:rPr>
              <w:rFonts w:cs="Times New Roman"/>
              <w:szCs w:val="24"/>
            </w:rPr>
            <w:fldChar w:fldCharType="begin"/>
          </w:r>
          <w:r>
            <w:rPr>
              <w:rFonts w:cs="Times New Roman"/>
              <w:szCs w:val="24"/>
            </w:rPr>
            <w:instrText xml:space="preserve"> PAGEREF _Toc9873395 \h </w:instrText>
          </w:r>
          <w:r>
            <w:rPr>
              <w:rFonts w:cs="Times New Roman"/>
              <w:szCs w:val="24"/>
            </w:rPr>
            <w:fldChar w:fldCharType="separate"/>
          </w:r>
          <w:r>
            <w:rPr>
              <w:rFonts w:cs="Times New Roman"/>
              <w:szCs w:val="24"/>
            </w:rPr>
            <w:t>109</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"_Toc9873399" </w:instrText>
          </w:r>
          <w:r>
            <w:fldChar w:fldCharType="separate"/>
          </w:r>
          <w:r>
            <w:rPr>
              <w:rStyle w:val="86"/>
              <w:rFonts w:cs="Times New Roman"/>
              <w:bCs/>
              <w:color w:val="auto"/>
              <w:kern w:val="28"/>
              <w:szCs w:val="24"/>
            </w:rPr>
            <w:t>6.5　环境风险事故影响分析</w:t>
          </w:r>
          <w:r>
            <w:rPr>
              <w:rFonts w:cs="Times New Roman"/>
              <w:szCs w:val="24"/>
            </w:rPr>
            <w:tab/>
          </w:r>
          <w:r>
            <w:rPr>
              <w:rFonts w:cs="Times New Roman"/>
              <w:szCs w:val="24"/>
            </w:rPr>
            <w:fldChar w:fldCharType="begin"/>
          </w:r>
          <w:r>
            <w:rPr>
              <w:rFonts w:cs="Times New Roman"/>
              <w:szCs w:val="24"/>
            </w:rPr>
            <w:instrText xml:space="preserve"> PAGEREF _Toc9873399 \h </w:instrText>
          </w:r>
          <w:r>
            <w:rPr>
              <w:rFonts w:cs="Times New Roman"/>
              <w:szCs w:val="24"/>
            </w:rPr>
            <w:fldChar w:fldCharType="separate"/>
          </w:r>
          <w:r>
            <w:rPr>
              <w:rFonts w:cs="Times New Roman"/>
              <w:szCs w:val="24"/>
            </w:rPr>
            <w:t>110</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"_Toc9873403" </w:instrText>
          </w:r>
          <w:r>
            <w:fldChar w:fldCharType="separate"/>
          </w:r>
          <w:r>
            <w:rPr>
              <w:rStyle w:val="86"/>
              <w:rFonts w:cs="Times New Roman"/>
              <w:bCs/>
              <w:color w:val="auto"/>
              <w:kern w:val="28"/>
              <w:szCs w:val="24"/>
            </w:rPr>
            <w:t>6.6　风险防范措施</w:t>
          </w:r>
          <w:r>
            <w:rPr>
              <w:rFonts w:cs="Times New Roman"/>
              <w:szCs w:val="24"/>
            </w:rPr>
            <w:tab/>
          </w:r>
          <w:r>
            <w:rPr>
              <w:rFonts w:cs="Times New Roman"/>
              <w:szCs w:val="24"/>
            </w:rPr>
            <w:fldChar w:fldCharType="begin"/>
          </w:r>
          <w:r>
            <w:rPr>
              <w:rFonts w:cs="Times New Roman"/>
              <w:szCs w:val="24"/>
            </w:rPr>
            <w:instrText xml:space="preserve"> PAGEREF _Toc9873403 \h </w:instrText>
          </w:r>
          <w:r>
            <w:rPr>
              <w:rFonts w:cs="Times New Roman"/>
              <w:szCs w:val="24"/>
            </w:rPr>
            <w:fldChar w:fldCharType="separate"/>
          </w:r>
          <w:r>
            <w:rPr>
              <w:rFonts w:cs="Times New Roman"/>
              <w:szCs w:val="24"/>
            </w:rPr>
            <w:t>112</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"_Toc9873406" </w:instrText>
          </w:r>
          <w:r>
            <w:fldChar w:fldCharType="separate"/>
          </w:r>
          <w:r>
            <w:rPr>
              <w:rStyle w:val="86"/>
              <w:rFonts w:cs="Times New Roman"/>
              <w:bCs/>
              <w:color w:val="auto"/>
              <w:kern w:val="28"/>
              <w:szCs w:val="24"/>
            </w:rPr>
            <w:t>6.7　应急预案及应急措施</w:t>
          </w:r>
          <w:r>
            <w:rPr>
              <w:rFonts w:cs="Times New Roman"/>
              <w:szCs w:val="24"/>
            </w:rPr>
            <w:tab/>
          </w:r>
          <w:r>
            <w:rPr>
              <w:rFonts w:cs="Times New Roman"/>
              <w:szCs w:val="24"/>
            </w:rPr>
            <w:fldChar w:fldCharType="begin"/>
          </w:r>
          <w:r>
            <w:rPr>
              <w:rFonts w:cs="Times New Roman"/>
              <w:szCs w:val="24"/>
            </w:rPr>
            <w:instrText xml:space="preserve"> PAGEREF _Toc9873406 \h </w:instrText>
          </w:r>
          <w:r>
            <w:rPr>
              <w:rFonts w:cs="Times New Roman"/>
              <w:szCs w:val="24"/>
            </w:rPr>
            <w:fldChar w:fldCharType="separate"/>
          </w:r>
          <w:r>
            <w:rPr>
              <w:rFonts w:cs="Times New Roman"/>
              <w:szCs w:val="24"/>
            </w:rPr>
            <w:t>114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"_Toc9873411" </w:instrText>
          </w:r>
          <w:r>
            <w:fldChar w:fldCharType="separate"/>
          </w:r>
          <w:r>
            <w:rPr>
              <w:rStyle w:val="86"/>
              <w:rFonts w:cs="Times New Roman"/>
              <w:bCs/>
              <w:color w:val="auto"/>
              <w:kern w:val="28"/>
              <w:szCs w:val="24"/>
            </w:rPr>
            <w:t>6.8　环境风险评价结论</w:t>
          </w:r>
          <w:r>
            <w:rPr>
              <w:rFonts w:cs="Times New Roman"/>
              <w:szCs w:val="24"/>
            </w:rPr>
            <w:tab/>
          </w:r>
          <w:r>
            <w:rPr>
              <w:rFonts w:cs="Times New Roman"/>
              <w:szCs w:val="24"/>
            </w:rPr>
            <w:fldChar w:fldCharType="begin"/>
          </w:r>
          <w:r>
            <w:rPr>
              <w:rFonts w:cs="Times New Roman"/>
              <w:szCs w:val="24"/>
            </w:rPr>
            <w:instrText xml:space="preserve"> PAGEREF _Toc9873411 \h </w:instrText>
          </w:r>
          <w:r>
            <w:rPr>
              <w:rFonts w:cs="Times New Roman"/>
              <w:szCs w:val="24"/>
            </w:rPr>
            <w:fldChar w:fldCharType="separate"/>
          </w:r>
          <w:r>
            <w:rPr>
              <w:rFonts w:cs="Times New Roman"/>
              <w:szCs w:val="24"/>
            </w:rPr>
            <w:t>118</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"_Toc9873412" </w:instrText>
          </w:r>
          <w:r>
            <w:fldChar w:fldCharType="separate"/>
          </w:r>
          <w:r>
            <w:rPr>
              <w:rStyle w:val="86"/>
              <w:color w:val="auto"/>
              <w:sz w:val="24"/>
              <w:szCs w:val="24"/>
            </w:rPr>
            <w:t>第七章  清洁生产与总量控制</w:t>
          </w:r>
          <w:r>
            <w:rPr>
              <w:sz w:val="24"/>
              <w:szCs w:val="24"/>
            </w:rPr>
            <w:tab/>
          </w:r>
          <w:r>
            <w:rPr>
              <w:sz w:val="24"/>
              <w:szCs w:val="24"/>
            </w:rPr>
            <w:fldChar w:fldCharType="begin"/>
          </w:r>
          <w:r>
            <w:rPr>
              <w:sz w:val="24"/>
              <w:szCs w:val="24"/>
            </w:rPr>
            <w:instrText xml:space="preserve"> PAGEREF _Toc9873412 \h </w:instrText>
          </w:r>
          <w:r>
            <w:rPr>
              <w:sz w:val="24"/>
              <w:szCs w:val="24"/>
            </w:rPr>
            <w:fldChar w:fldCharType="separate"/>
          </w:r>
          <w:r>
            <w:rPr>
              <w:sz w:val="24"/>
              <w:szCs w:val="24"/>
            </w:rPr>
            <w:t>120</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"_Toc9873413" </w:instrText>
          </w:r>
          <w:r>
            <w:fldChar w:fldCharType="separate"/>
          </w:r>
          <w:r>
            <w:rPr>
              <w:rStyle w:val="86"/>
              <w:rFonts w:cs="Times New Roman"/>
              <w:bCs/>
              <w:color w:val="auto"/>
              <w:kern w:val="28"/>
              <w:szCs w:val="24"/>
            </w:rPr>
            <w:t>7.1　清洁生产</w:t>
          </w:r>
          <w:r>
            <w:rPr>
              <w:rFonts w:cs="Times New Roman"/>
              <w:szCs w:val="24"/>
            </w:rPr>
            <w:tab/>
          </w:r>
          <w:r>
            <w:rPr>
              <w:rFonts w:cs="Times New Roman"/>
              <w:szCs w:val="24"/>
            </w:rPr>
            <w:fldChar w:fldCharType="begin"/>
          </w:r>
          <w:r>
            <w:rPr>
              <w:rFonts w:cs="Times New Roman"/>
              <w:szCs w:val="24"/>
            </w:rPr>
            <w:instrText xml:space="preserve"> PAGEREF _Toc9873413 \h </w:instrText>
          </w:r>
          <w:r>
            <w:rPr>
              <w:rFonts w:cs="Times New Roman"/>
              <w:szCs w:val="24"/>
            </w:rPr>
            <w:fldChar w:fldCharType="separate"/>
          </w:r>
          <w:r>
            <w:rPr>
              <w:rFonts w:cs="Times New Roman"/>
              <w:szCs w:val="24"/>
            </w:rPr>
            <w:t>120</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"_Toc9873416" </w:instrText>
          </w:r>
          <w:r>
            <w:fldChar w:fldCharType="separate"/>
          </w:r>
          <w:r>
            <w:rPr>
              <w:rStyle w:val="86"/>
              <w:rFonts w:cs="Times New Roman"/>
              <w:bCs/>
              <w:color w:val="auto"/>
              <w:kern w:val="28"/>
              <w:szCs w:val="24"/>
            </w:rPr>
            <w:t>7.2　总量控制</w:t>
          </w:r>
          <w:r>
            <w:rPr>
              <w:rFonts w:cs="Times New Roman"/>
              <w:szCs w:val="24"/>
            </w:rPr>
            <w:tab/>
          </w:r>
          <w:r>
            <w:rPr>
              <w:rFonts w:cs="Times New Roman"/>
              <w:szCs w:val="24"/>
            </w:rPr>
            <w:fldChar w:fldCharType="begin"/>
          </w:r>
          <w:r>
            <w:rPr>
              <w:rFonts w:cs="Times New Roman"/>
              <w:szCs w:val="24"/>
            </w:rPr>
            <w:instrText xml:space="preserve"> PAGEREF _Toc9873416 \h </w:instrText>
          </w:r>
          <w:r>
            <w:rPr>
              <w:rFonts w:cs="Times New Roman"/>
              <w:szCs w:val="24"/>
            </w:rPr>
            <w:fldChar w:fldCharType="separate"/>
          </w:r>
          <w:r>
            <w:rPr>
              <w:rFonts w:cs="Times New Roman"/>
              <w:szCs w:val="24"/>
            </w:rPr>
            <w:t>123</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"_Toc9873417" </w:instrText>
          </w:r>
          <w:r>
            <w:fldChar w:fldCharType="separate"/>
          </w:r>
          <w:r>
            <w:rPr>
              <w:rStyle w:val="86"/>
              <w:color w:val="auto"/>
              <w:sz w:val="24"/>
              <w:szCs w:val="24"/>
            </w:rPr>
            <w:t>第八章  污染防治措施可行性论证</w:t>
          </w:r>
          <w:r>
            <w:rPr>
              <w:sz w:val="24"/>
              <w:szCs w:val="24"/>
            </w:rPr>
            <w:tab/>
          </w:r>
          <w:r>
            <w:rPr>
              <w:sz w:val="24"/>
              <w:szCs w:val="24"/>
            </w:rPr>
            <w:fldChar w:fldCharType="begin"/>
          </w:r>
          <w:r>
            <w:rPr>
              <w:sz w:val="24"/>
              <w:szCs w:val="24"/>
            </w:rPr>
            <w:instrText xml:space="preserve"> PAGEREF _Toc9873417 \h </w:instrText>
          </w:r>
          <w:r>
            <w:rPr>
              <w:sz w:val="24"/>
              <w:szCs w:val="24"/>
            </w:rPr>
            <w:fldChar w:fldCharType="separate"/>
          </w:r>
          <w:r>
            <w:rPr>
              <w:sz w:val="24"/>
              <w:szCs w:val="24"/>
            </w:rPr>
            <w:t>125</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"_Toc9873418" </w:instrText>
          </w:r>
          <w:r>
            <w:fldChar w:fldCharType="separate"/>
          </w:r>
          <w:r>
            <w:rPr>
              <w:rStyle w:val="86"/>
              <w:rFonts w:cs="Times New Roman"/>
              <w:bCs/>
              <w:color w:val="auto"/>
              <w:kern w:val="28"/>
              <w:szCs w:val="24"/>
            </w:rPr>
            <w:t>8.1  施工期环境保护措施</w:t>
          </w:r>
          <w:r>
            <w:rPr>
              <w:rFonts w:cs="Times New Roman"/>
              <w:szCs w:val="24"/>
            </w:rPr>
            <w:tab/>
          </w:r>
          <w:r>
            <w:rPr>
              <w:rFonts w:cs="Times New Roman"/>
              <w:szCs w:val="24"/>
            </w:rPr>
            <w:fldChar w:fldCharType="begin"/>
          </w:r>
          <w:r>
            <w:rPr>
              <w:rFonts w:cs="Times New Roman"/>
              <w:szCs w:val="24"/>
            </w:rPr>
            <w:instrText xml:space="preserve"> PAGEREF _Toc9873418 \h </w:instrText>
          </w:r>
          <w:r>
            <w:rPr>
              <w:rFonts w:cs="Times New Roman"/>
              <w:szCs w:val="24"/>
            </w:rPr>
            <w:fldChar w:fldCharType="separate"/>
          </w:r>
          <w:r>
            <w:rPr>
              <w:rFonts w:cs="Times New Roman"/>
              <w:szCs w:val="24"/>
            </w:rPr>
            <w:t>125</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"_Toc9873424" </w:instrText>
          </w:r>
          <w:r>
            <w:fldChar w:fldCharType="separate"/>
          </w:r>
          <w:r>
            <w:rPr>
              <w:rStyle w:val="86"/>
              <w:rFonts w:cs="Times New Roman"/>
              <w:bCs/>
              <w:color w:val="auto"/>
              <w:kern w:val="28"/>
              <w:szCs w:val="24"/>
            </w:rPr>
            <w:t>8.2  营运期污染防治措施及可行性论证</w:t>
          </w:r>
          <w:r>
            <w:rPr>
              <w:rFonts w:cs="Times New Roman"/>
              <w:szCs w:val="24"/>
            </w:rPr>
            <w:tab/>
          </w:r>
          <w:r>
            <w:rPr>
              <w:rFonts w:cs="Times New Roman"/>
              <w:szCs w:val="24"/>
            </w:rPr>
            <w:fldChar w:fldCharType="begin"/>
          </w:r>
          <w:r>
            <w:rPr>
              <w:rFonts w:cs="Times New Roman"/>
              <w:szCs w:val="24"/>
            </w:rPr>
            <w:instrText xml:space="preserve"> PAGEREF _Toc9873424 \h </w:instrText>
          </w:r>
          <w:r>
            <w:rPr>
              <w:rFonts w:cs="Times New Roman"/>
              <w:szCs w:val="24"/>
            </w:rPr>
            <w:fldChar w:fldCharType="separate"/>
          </w:r>
          <w:r>
            <w:rPr>
              <w:rFonts w:cs="Times New Roman"/>
              <w:szCs w:val="24"/>
            </w:rPr>
            <w:t>131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"_Toc9873431" </w:instrText>
          </w:r>
          <w:r>
            <w:fldChar w:fldCharType="separate"/>
          </w:r>
          <w:r>
            <w:rPr>
              <w:rStyle w:val="86"/>
              <w:rFonts w:cs="Times New Roman"/>
              <w:bCs/>
              <w:color w:val="auto"/>
              <w:kern w:val="28"/>
              <w:szCs w:val="24"/>
            </w:rPr>
            <w:t>8.3  环保投资</w:t>
          </w:r>
          <w:r>
            <w:rPr>
              <w:rFonts w:cs="Times New Roman"/>
              <w:szCs w:val="24"/>
            </w:rPr>
            <w:tab/>
          </w:r>
          <w:r>
            <w:rPr>
              <w:rFonts w:cs="Times New Roman"/>
              <w:szCs w:val="24"/>
            </w:rPr>
            <w:fldChar w:fldCharType="begin"/>
          </w:r>
          <w:r>
            <w:rPr>
              <w:rFonts w:cs="Times New Roman"/>
              <w:szCs w:val="24"/>
            </w:rPr>
            <w:instrText xml:space="preserve"> PAGEREF _Toc9873431 \h </w:instrText>
          </w:r>
          <w:r>
            <w:rPr>
              <w:rFonts w:cs="Times New Roman"/>
              <w:szCs w:val="24"/>
            </w:rPr>
            <w:fldChar w:fldCharType="separate"/>
          </w:r>
          <w:r>
            <w:rPr>
              <w:rFonts w:cs="Times New Roman"/>
              <w:szCs w:val="24"/>
            </w:rPr>
            <w:t>141</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"_Toc9873432" </w:instrText>
          </w:r>
          <w:r>
            <w:fldChar w:fldCharType="separate"/>
          </w:r>
          <w:r>
            <w:rPr>
              <w:rStyle w:val="86"/>
              <w:color w:val="auto"/>
              <w:sz w:val="24"/>
              <w:szCs w:val="24"/>
            </w:rPr>
            <w:t>第九章  环境影响经济损益分析</w:t>
          </w:r>
          <w:r>
            <w:rPr>
              <w:sz w:val="24"/>
              <w:szCs w:val="24"/>
            </w:rPr>
            <w:tab/>
          </w:r>
          <w:r>
            <w:rPr>
              <w:sz w:val="24"/>
              <w:szCs w:val="24"/>
            </w:rPr>
            <w:fldChar w:fldCharType="begin"/>
          </w:r>
          <w:r>
            <w:rPr>
              <w:sz w:val="24"/>
              <w:szCs w:val="24"/>
            </w:rPr>
            <w:instrText xml:space="preserve"> PAGEREF _Toc9873432 \h </w:instrText>
          </w:r>
          <w:r>
            <w:rPr>
              <w:sz w:val="24"/>
              <w:szCs w:val="24"/>
            </w:rPr>
            <w:fldChar w:fldCharType="separate"/>
          </w:r>
          <w:r>
            <w:rPr>
              <w:sz w:val="24"/>
              <w:szCs w:val="24"/>
            </w:rPr>
            <w:t>143</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"_Toc9873433" </w:instrText>
          </w:r>
          <w:r>
            <w:fldChar w:fldCharType="separate"/>
          </w:r>
          <w:r>
            <w:rPr>
              <w:rStyle w:val="86"/>
              <w:rFonts w:cs="Times New Roman"/>
              <w:bCs/>
              <w:color w:val="auto"/>
              <w:kern w:val="28"/>
              <w:szCs w:val="24"/>
            </w:rPr>
            <w:t>9.1 环境影响经济损益分析的目的和重点</w:t>
          </w:r>
          <w:r>
            <w:rPr>
              <w:rFonts w:cs="Times New Roman"/>
              <w:szCs w:val="24"/>
            </w:rPr>
            <w:tab/>
          </w:r>
          <w:r>
            <w:rPr>
              <w:rFonts w:cs="Times New Roman"/>
              <w:szCs w:val="24"/>
            </w:rPr>
            <w:fldChar w:fldCharType="begin"/>
          </w:r>
          <w:r>
            <w:rPr>
              <w:rFonts w:cs="Times New Roman"/>
              <w:szCs w:val="24"/>
            </w:rPr>
            <w:instrText xml:space="preserve"> PAGEREF _Toc9873433 \h </w:instrText>
          </w:r>
          <w:r>
            <w:rPr>
              <w:rFonts w:cs="Times New Roman"/>
              <w:szCs w:val="24"/>
            </w:rPr>
            <w:fldChar w:fldCharType="separate"/>
          </w:r>
          <w:r>
            <w:rPr>
              <w:rFonts w:cs="Times New Roman"/>
              <w:szCs w:val="24"/>
            </w:rPr>
            <w:t>143</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"_Toc9873436" </w:instrText>
          </w:r>
          <w:r>
            <w:fldChar w:fldCharType="separate"/>
          </w:r>
          <w:r>
            <w:rPr>
              <w:rStyle w:val="86"/>
              <w:rFonts w:cs="Times New Roman"/>
              <w:bCs/>
              <w:color w:val="auto"/>
              <w:kern w:val="28"/>
              <w:szCs w:val="24"/>
            </w:rPr>
            <w:t>9.2 建设项目经济效益</w:t>
          </w:r>
          <w:r>
            <w:rPr>
              <w:rFonts w:cs="Times New Roman"/>
              <w:szCs w:val="24"/>
            </w:rPr>
            <w:tab/>
          </w:r>
          <w:r>
            <w:rPr>
              <w:rFonts w:cs="Times New Roman"/>
              <w:szCs w:val="24"/>
            </w:rPr>
            <w:fldChar w:fldCharType="begin"/>
          </w:r>
          <w:r>
            <w:rPr>
              <w:rFonts w:cs="Times New Roman"/>
              <w:szCs w:val="24"/>
            </w:rPr>
            <w:instrText xml:space="preserve"> PAGEREF _Toc9873436 \h </w:instrText>
          </w:r>
          <w:r>
            <w:rPr>
              <w:rFonts w:cs="Times New Roman"/>
              <w:szCs w:val="24"/>
            </w:rPr>
            <w:fldChar w:fldCharType="separate"/>
          </w:r>
          <w:r>
            <w:rPr>
              <w:rFonts w:cs="Times New Roman"/>
              <w:szCs w:val="24"/>
            </w:rPr>
            <w:t>143</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"_Toc9873437" </w:instrText>
          </w:r>
          <w:r>
            <w:fldChar w:fldCharType="separate"/>
          </w:r>
          <w:r>
            <w:rPr>
              <w:rStyle w:val="86"/>
              <w:rFonts w:cs="Times New Roman"/>
              <w:bCs/>
              <w:color w:val="auto"/>
              <w:kern w:val="28"/>
              <w:szCs w:val="24"/>
            </w:rPr>
            <w:t>9.3 建设项目社会效益</w:t>
          </w:r>
          <w:r>
            <w:rPr>
              <w:rFonts w:cs="Times New Roman"/>
              <w:szCs w:val="24"/>
            </w:rPr>
            <w:tab/>
          </w:r>
          <w:r>
            <w:rPr>
              <w:rFonts w:cs="Times New Roman"/>
              <w:szCs w:val="24"/>
            </w:rPr>
            <w:fldChar w:fldCharType="begin"/>
          </w:r>
          <w:r>
            <w:rPr>
              <w:rFonts w:cs="Times New Roman"/>
              <w:szCs w:val="24"/>
            </w:rPr>
            <w:instrText xml:space="preserve"> PAGEREF _Toc9873437 \h </w:instrText>
          </w:r>
          <w:r>
            <w:rPr>
              <w:rFonts w:cs="Times New Roman"/>
              <w:szCs w:val="24"/>
            </w:rPr>
            <w:fldChar w:fldCharType="separate"/>
          </w:r>
          <w:r>
            <w:rPr>
              <w:rFonts w:cs="Times New Roman"/>
              <w:szCs w:val="24"/>
            </w:rPr>
            <w:t>143</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"_Toc9873438" </w:instrText>
          </w:r>
          <w:r>
            <w:fldChar w:fldCharType="separate"/>
          </w:r>
          <w:r>
            <w:rPr>
              <w:rStyle w:val="86"/>
              <w:rFonts w:cs="Times New Roman"/>
              <w:bCs/>
              <w:color w:val="auto"/>
              <w:kern w:val="28"/>
              <w:szCs w:val="24"/>
            </w:rPr>
            <w:t>9.4 建设项目环境影响经济损益分析</w:t>
          </w:r>
          <w:r>
            <w:rPr>
              <w:rFonts w:cs="Times New Roman"/>
              <w:szCs w:val="24"/>
            </w:rPr>
            <w:tab/>
          </w:r>
          <w:r>
            <w:rPr>
              <w:rFonts w:cs="Times New Roman"/>
              <w:szCs w:val="24"/>
            </w:rPr>
            <w:fldChar w:fldCharType="begin"/>
          </w:r>
          <w:r>
            <w:rPr>
              <w:rFonts w:cs="Times New Roman"/>
              <w:szCs w:val="24"/>
            </w:rPr>
            <w:instrText xml:space="preserve"> PAGEREF _Toc9873438 \h </w:instrText>
          </w:r>
          <w:r>
            <w:rPr>
              <w:rFonts w:cs="Times New Roman"/>
              <w:szCs w:val="24"/>
            </w:rPr>
            <w:fldChar w:fldCharType="separate"/>
          </w:r>
          <w:r>
            <w:rPr>
              <w:rFonts w:cs="Times New Roman"/>
              <w:szCs w:val="24"/>
            </w:rPr>
            <w:t>143</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"_Toc9873442" </w:instrText>
          </w:r>
          <w:r>
            <w:fldChar w:fldCharType="separate"/>
          </w:r>
          <w:r>
            <w:rPr>
              <w:rStyle w:val="86"/>
              <w:color w:val="auto"/>
              <w:sz w:val="24"/>
              <w:szCs w:val="24"/>
            </w:rPr>
            <w:t>第十章  环境管理与监测计划</w:t>
          </w:r>
          <w:r>
            <w:rPr>
              <w:sz w:val="24"/>
              <w:szCs w:val="24"/>
            </w:rPr>
            <w:tab/>
          </w:r>
          <w:r>
            <w:rPr>
              <w:sz w:val="24"/>
              <w:szCs w:val="24"/>
            </w:rPr>
            <w:fldChar w:fldCharType="begin"/>
          </w:r>
          <w:r>
            <w:rPr>
              <w:sz w:val="24"/>
              <w:szCs w:val="24"/>
            </w:rPr>
            <w:instrText xml:space="preserve"> PAGEREF _Toc9873442 \h </w:instrText>
          </w:r>
          <w:r>
            <w:rPr>
              <w:sz w:val="24"/>
              <w:szCs w:val="24"/>
            </w:rPr>
            <w:fldChar w:fldCharType="separate"/>
          </w:r>
          <w:r>
            <w:rPr>
              <w:sz w:val="24"/>
              <w:szCs w:val="24"/>
            </w:rPr>
            <w:t>146</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"_Toc9873443" </w:instrText>
          </w:r>
          <w:r>
            <w:fldChar w:fldCharType="separate"/>
          </w:r>
          <w:r>
            <w:rPr>
              <w:rStyle w:val="86"/>
              <w:rFonts w:cs="Times New Roman"/>
              <w:bCs/>
              <w:color w:val="auto"/>
              <w:kern w:val="28"/>
              <w:szCs w:val="24"/>
            </w:rPr>
            <w:t>10.1 环境管理</w:t>
          </w:r>
          <w:r>
            <w:rPr>
              <w:rFonts w:cs="Times New Roman"/>
              <w:szCs w:val="24"/>
            </w:rPr>
            <w:tab/>
          </w:r>
          <w:r>
            <w:rPr>
              <w:rFonts w:cs="Times New Roman"/>
              <w:szCs w:val="24"/>
            </w:rPr>
            <w:fldChar w:fldCharType="begin"/>
          </w:r>
          <w:r>
            <w:rPr>
              <w:rFonts w:cs="Times New Roman"/>
              <w:szCs w:val="24"/>
            </w:rPr>
            <w:instrText xml:space="preserve"> PAGEREF _Toc9873443 \h </w:instrText>
          </w:r>
          <w:r>
            <w:rPr>
              <w:rFonts w:cs="Times New Roman"/>
              <w:szCs w:val="24"/>
            </w:rPr>
            <w:fldChar w:fldCharType="separate"/>
          </w:r>
          <w:r>
            <w:rPr>
              <w:rFonts w:cs="Times New Roman"/>
              <w:szCs w:val="24"/>
            </w:rPr>
            <w:t>146</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"_Toc9873444" </w:instrText>
          </w:r>
          <w:r>
            <w:fldChar w:fldCharType="separate"/>
          </w:r>
          <w:r>
            <w:rPr>
              <w:rStyle w:val="86"/>
              <w:rFonts w:cs="Times New Roman"/>
              <w:bCs/>
              <w:color w:val="auto"/>
              <w:kern w:val="28"/>
              <w:szCs w:val="24"/>
            </w:rPr>
            <w:t>10.2 环境管理计划</w:t>
          </w:r>
          <w:r>
            <w:rPr>
              <w:rFonts w:cs="Times New Roman"/>
              <w:szCs w:val="24"/>
            </w:rPr>
            <w:tab/>
          </w:r>
          <w:r>
            <w:rPr>
              <w:rFonts w:cs="Times New Roman"/>
              <w:szCs w:val="24"/>
            </w:rPr>
            <w:fldChar w:fldCharType="begin"/>
          </w:r>
          <w:r>
            <w:rPr>
              <w:rFonts w:cs="Times New Roman"/>
              <w:szCs w:val="24"/>
            </w:rPr>
            <w:instrText xml:space="preserve"> PAGEREF _Toc9873444 \h </w:instrText>
          </w:r>
          <w:r>
            <w:rPr>
              <w:rFonts w:cs="Times New Roman"/>
              <w:szCs w:val="24"/>
            </w:rPr>
            <w:fldChar w:fldCharType="separate"/>
          </w:r>
          <w:r>
            <w:rPr>
              <w:rFonts w:cs="Times New Roman"/>
              <w:szCs w:val="24"/>
            </w:rPr>
            <w:t>146</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"_Toc9873445" </w:instrText>
          </w:r>
          <w:r>
            <w:fldChar w:fldCharType="separate"/>
          </w:r>
          <w:r>
            <w:rPr>
              <w:rStyle w:val="86"/>
              <w:rFonts w:cs="Times New Roman"/>
              <w:bCs/>
              <w:color w:val="auto"/>
              <w:kern w:val="28"/>
              <w:szCs w:val="24"/>
            </w:rPr>
            <w:t>10.3 环境监测计划</w:t>
          </w:r>
          <w:r>
            <w:rPr>
              <w:rFonts w:cs="Times New Roman"/>
              <w:szCs w:val="24"/>
            </w:rPr>
            <w:tab/>
          </w:r>
          <w:r>
            <w:rPr>
              <w:rFonts w:cs="Times New Roman"/>
              <w:szCs w:val="24"/>
            </w:rPr>
            <w:fldChar w:fldCharType="begin"/>
          </w:r>
          <w:r>
            <w:rPr>
              <w:rFonts w:cs="Times New Roman"/>
              <w:szCs w:val="24"/>
            </w:rPr>
            <w:instrText xml:space="preserve"> PAGEREF _Toc9873445 \h </w:instrText>
          </w:r>
          <w:r>
            <w:rPr>
              <w:rFonts w:cs="Times New Roman"/>
              <w:szCs w:val="24"/>
            </w:rPr>
            <w:fldChar w:fldCharType="separate"/>
          </w:r>
          <w:r>
            <w:rPr>
              <w:rFonts w:cs="Times New Roman"/>
              <w:szCs w:val="24"/>
            </w:rPr>
            <w:t>147</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"_Toc9873446" </w:instrText>
          </w:r>
          <w:r>
            <w:fldChar w:fldCharType="separate"/>
          </w:r>
          <w:r>
            <w:rPr>
              <w:rStyle w:val="86"/>
              <w:rFonts w:cs="Times New Roman"/>
              <w:bCs/>
              <w:color w:val="auto"/>
              <w:kern w:val="28"/>
              <w:szCs w:val="24"/>
            </w:rPr>
            <w:t>10.4 环保设施验收内容</w:t>
          </w:r>
          <w:r>
            <w:rPr>
              <w:rFonts w:cs="Times New Roman"/>
              <w:szCs w:val="24"/>
            </w:rPr>
            <w:tab/>
          </w:r>
          <w:r>
            <w:rPr>
              <w:rFonts w:cs="Times New Roman"/>
              <w:szCs w:val="24"/>
            </w:rPr>
            <w:fldChar w:fldCharType="begin"/>
          </w:r>
          <w:r>
            <w:rPr>
              <w:rFonts w:cs="Times New Roman"/>
              <w:szCs w:val="24"/>
            </w:rPr>
            <w:instrText xml:space="preserve"> PAGEREF _Toc9873446 \h </w:instrText>
          </w:r>
          <w:r>
            <w:rPr>
              <w:rFonts w:cs="Times New Roman"/>
              <w:szCs w:val="24"/>
            </w:rPr>
            <w:fldChar w:fldCharType="separate"/>
          </w:r>
          <w:r>
            <w:rPr>
              <w:rFonts w:cs="Times New Roman"/>
              <w:szCs w:val="24"/>
            </w:rPr>
            <w:t>148</w:t>
          </w:r>
          <w:r>
            <w:rPr>
              <w:rFonts w:cs="Times New Roman"/>
              <w:szCs w:val="24"/>
            </w:rPr>
            <w:fldChar w:fldCharType="end"/>
          </w:r>
          <w:r>
            <w:rPr>
              <w:rFonts w:cs="Times New Roman"/>
              <w:szCs w:val="24"/>
            </w:rPr>
            <w:fldChar w:fldCharType="end"/>
          </w:r>
        </w:p>
        <w:p>
          <w:pPr>
            <w:pStyle w:val="54"/>
            <w:tabs>
              <w:tab w:val="right" w:leader="dot" w:pos="8296"/>
            </w:tabs>
            <w:rPr>
              <w:bCs w:val="0"/>
              <w:caps w:val="0"/>
              <w:sz w:val="24"/>
              <w:szCs w:val="24"/>
            </w:rPr>
          </w:pPr>
          <w:r>
            <w:fldChar w:fldCharType="begin"/>
          </w:r>
          <w:r>
            <w:instrText xml:space="preserve"> HYPERLINK \l "_Toc9873447" </w:instrText>
          </w:r>
          <w:r>
            <w:fldChar w:fldCharType="separate"/>
          </w:r>
          <w:r>
            <w:rPr>
              <w:rStyle w:val="86"/>
              <w:color w:val="auto"/>
              <w:sz w:val="24"/>
              <w:szCs w:val="24"/>
            </w:rPr>
            <w:t>第十一章  环境影响评价结论</w:t>
          </w:r>
          <w:r>
            <w:rPr>
              <w:sz w:val="24"/>
              <w:szCs w:val="24"/>
            </w:rPr>
            <w:tab/>
          </w:r>
          <w:r>
            <w:rPr>
              <w:sz w:val="24"/>
              <w:szCs w:val="24"/>
            </w:rPr>
            <w:fldChar w:fldCharType="begin"/>
          </w:r>
          <w:r>
            <w:rPr>
              <w:sz w:val="24"/>
              <w:szCs w:val="24"/>
            </w:rPr>
            <w:instrText xml:space="preserve"> PAGEREF _Toc9873447 \h </w:instrText>
          </w:r>
          <w:r>
            <w:rPr>
              <w:sz w:val="24"/>
              <w:szCs w:val="24"/>
            </w:rPr>
            <w:fldChar w:fldCharType="separate"/>
          </w:r>
          <w:r>
            <w:rPr>
              <w:sz w:val="24"/>
              <w:szCs w:val="24"/>
            </w:rPr>
            <w:t>151</w:t>
          </w:r>
          <w:r>
            <w:rPr>
              <w:sz w:val="24"/>
              <w:szCs w:val="24"/>
            </w:rPr>
            <w:fldChar w:fldCharType="end"/>
          </w:r>
          <w:r>
            <w:rPr>
              <w:sz w:val="24"/>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"_Toc9873448" </w:instrText>
          </w:r>
          <w:r>
            <w:fldChar w:fldCharType="separate"/>
          </w:r>
          <w:r>
            <w:rPr>
              <w:rStyle w:val="86"/>
              <w:rFonts w:cs="Times New Roman"/>
              <w:bCs/>
              <w:color w:val="auto"/>
              <w:kern w:val="28"/>
              <w:szCs w:val="24"/>
            </w:rPr>
            <w:t>11.1 项目概况</w:t>
          </w:r>
          <w:r>
            <w:rPr>
              <w:rFonts w:cs="Times New Roman"/>
              <w:szCs w:val="24"/>
            </w:rPr>
            <w:tab/>
          </w:r>
          <w:r>
            <w:rPr>
              <w:rFonts w:cs="Times New Roman"/>
              <w:szCs w:val="24"/>
            </w:rPr>
            <w:fldChar w:fldCharType="begin"/>
          </w:r>
          <w:r>
            <w:rPr>
              <w:rFonts w:cs="Times New Roman"/>
              <w:szCs w:val="24"/>
            </w:rPr>
            <w:instrText xml:space="preserve"> PAGEREF _Toc9873448 \h </w:instrText>
          </w:r>
          <w:r>
            <w:rPr>
              <w:rFonts w:cs="Times New Roman"/>
              <w:szCs w:val="24"/>
            </w:rPr>
            <w:fldChar w:fldCharType="separate"/>
          </w:r>
          <w:r>
            <w:rPr>
              <w:rFonts w:cs="Times New Roman"/>
              <w:szCs w:val="24"/>
            </w:rPr>
            <w:t>151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"_Toc9873449" </w:instrText>
          </w:r>
          <w:r>
            <w:fldChar w:fldCharType="separate"/>
          </w:r>
          <w:r>
            <w:rPr>
              <w:rStyle w:val="86"/>
              <w:rFonts w:cs="Times New Roman"/>
              <w:bCs/>
              <w:color w:val="auto"/>
              <w:kern w:val="28"/>
              <w:szCs w:val="24"/>
            </w:rPr>
            <w:t>11.2 产业政策及规划符合性结论</w:t>
          </w:r>
          <w:r>
            <w:rPr>
              <w:rFonts w:cs="Times New Roman"/>
              <w:szCs w:val="24"/>
            </w:rPr>
            <w:tab/>
          </w:r>
          <w:r>
            <w:rPr>
              <w:rFonts w:cs="Times New Roman"/>
              <w:szCs w:val="24"/>
            </w:rPr>
            <w:fldChar w:fldCharType="begin"/>
          </w:r>
          <w:r>
            <w:rPr>
              <w:rFonts w:cs="Times New Roman"/>
              <w:szCs w:val="24"/>
            </w:rPr>
            <w:instrText xml:space="preserve"> PAGEREF _Toc9873449 \h </w:instrText>
          </w:r>
          <w:r>
            <w:rPr>
              <w:rFonts w:cs="Times New Roman"/>
              <w:szCs w:val="24"/>
            </w:rPr>
            <w:fldChar w:fldCharType="separate"/>
          </w:r>
          <w:r>
            <w:rPr>
              <w:rFonts w:cs="Times New Roman"/>
              <w:szCs w:val="24"/>
            </w:rPr>
            <w:t>151</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"_Toc9873453" </w:instrText>
          </w:r>
          <w:r>
            <w:fldChar w:fldCharType="separate"/>
          </w:r>
          <w:r>
            <w:rPr>
              <w:rStyle w:val="86"/>
              <w:rFonts w:cs="Times New Roman"/>
              <w:bCs/>
              <w:color w:val="auto"/>
              <w:kern w:val="28"/>
              <w:szCs w:val="24"/>
            </w:rPr>
            <w:t>11.3　环境质量现状评价结论</w:t>
          </w:r>
          <w:r>
            <w:rPr>
              <w:rFonts w:cs="Times New Roman"/>
              <w:szCs w:val="24"/>
            </w:rPr>
            <w:tab/>
          </w:r>
          <w:r>
            <w:rPr>
              <w:rFonts w:cs="Times New Roman"/>
              <w:szCs w:val="24"/>
            </w:rPr>
            <w:fldChar w:fldCharType="begin"/>
          </w:r>
          <w:r>
            <w:rPr>
              <w:rFonts w:cs="Times New Roman"/>
              <w:szCs w:val="24"/>
            </w:rPr>
            <w:instrText xml:space="preserve"> PAGEREF _Toc9873453 \h </w:instrText>
          </w:r>
          <w:r>
            <w:rPr>
              <w:rFonts w:cs="Times New Roman"/>
              <w:szCs w:val="24"/>
            </w:rPr>
            <w:fldChar w:fldCharType="separate"/>
          </w:r>
          <w:r>
            <w:rPr>
              <w:rFonts w:cs="Times New Roman"/>
              <w:szCs w:val="24"/>
            </w:rPr>
            <w:t>152</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"_Toc9873454" </w:instrText>
          </w:r>
          <w:r>
            <w:fldChar w:fldCharType="separate"/>
          </w:r>
          <w:r>
            <w:rPr>
              <w:rStyle w:val="86"/>
              <w:rFonts w:cs="Times New Roman"/>
              <w:bCs/>
              <w:color w:val="auto"/>
              <w:kern w:val="28"/>
              <w:szCs w:val="24"/>
            </w:rPr>
            <w:t>11.4　环保措施及环境影响结论</w:t>
          </w:r>
          <w:r>
            <w:rPr>
              <w:rFonts w:cs="Times New Roman"/>
              <w:szCs w:val="24"/>
            </w:rPr>
            <w:tab/>
          </w:r>
          <w:r>
            <w:rPr>
              <w:rFonts w:cs="Times New Roman"/>
              <w:szCs w:val="24"/>
            </w:rPr>
            <w:fldChar w:fldCharType="begin"/>
          </w:r>
          <w:r>
            <w:rPr>
              <w:rFonts w:cs="Times New Roman"/>
              <w:szCs w:val="24"/>
            </w:rPr>
            <w:instrText xml:space="preserve"> PAGEREF _Toc9873454 \h </w:instrText>
          </w:r>
          <w:r>
            <w:rPr>
              <w:rFonts w:cs="Times New Roman"/>
              <w:szCs w:val="24"/>
            </w:rPr>
            <w:fldChar w:fldCharType="separate"/>
          </w:r>
          <w:r>
            <w:rPr>
              <w:rFonts w:cs="Times New Roman"/>
              <w:szCs w:val="24"/>
            </w:rPr>
            <w:t>152</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"_Toc9873455" </w:instrText>
          </w:r>
          <w:r>
            <w:fldChar w:fldCharType="separate"/>
          </w:r>
          <w:r>
            <w:rPr>
              <w:rStyle w:val="86"/>
              <w:rFonts w:cs="Times New Roman"/>
              <w:bCs/>
              <w:color w:val="auto"/>
              <w:kern w:val="28"/>
              <w:szCs w:val="24"/>
            </w:rPr>
            <w:t>11.5　总量控制</w:t>
          </w:r>
          <w:r>
            <w:rPr>
              <w:rFonts w:cs="Times New Roman"/>
              <w:szCs w:val="24"/>
            </w:rPr>
            <w:tab/>
          </w:r>
          <w:r>
            <w:rPr>
              <w:rFonts w:cs="Times New Roman"/>
              <w:szCs w:val="24"/>
            </w:rPr>
            <w:fldChar w:fldCharType="begin"/>
          </w:r>
          <w:r>
            <w:rPr>
              <w:rFonts w:cs="Times New Roman"/>
              <w:szCs w:val="24"/>
            </w:rPr>
            <w:instrText xml:space="preserve"> PAGEREF _Toc9873455 \h </w:instrText>
          </w:r>
          <w:r>
            <w:rPr>
              <w:rFonts w:cs="Times New Roman"/>
              <w:szCs w:val="24"/>
            </w:rPr>
            <w:fldChar w:fldCharType="separate"/>
          </w:r>
          <w:r>
            <w:rPr>
              <w:rFonts w:cs="Times New Roman"/>
              <w:szCs w:val="24"/>
            </w:rPr>
            <w:t>154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"_Toc9873456" </w:instrText>
          </w:r>
          <w:r>
            <w:fldChar w:fldCharType="separate"/>
          </w:r>
          <w:r>
            <w:rPr>
              <w:rStyle w:val="86"/>
              <w:rFonts w:cs="Times New Roman"/>
              <w:bCs/>
              <w:color w:val="auto"/>
              <w:kern w:val="28"/>
              <w:szCs w:val="24"/>
            </w:rPr>
            <w:t>11.6　环境风险评价结论</w:t>
          </w:r>
          <w:r>
            <w:rPr>
              <w:rFonts w:cs="Times New Roman"/>
              <w:szCs w:val="24"/>
            </w:rPr>
            <w:tab/>
          </w:r>
          <w:r>
            <w:rPr>
              <w:rFonts w:cs="Times New Roman"/>
              <w:szCs w:val="24"/>
            </w:rPr>
            <w:fldChar w:fldCharType="begin"/>
          </w:r>
          <w:r>
            <w:rPr>
              <w:rFonts w:cs="Times New Roman"/>
              <w:szCs w:val="24"/>
            </w:rPr>
            <w:instrText xml:space="preserve"> PAGEREF _Toc9873456 \h </w:instrText>
          </w:r>
          <w:r>
            <w:rPr>
              <w:rFonts w:cs="Times New Roman"/>
              <w:szCs w:val="24"/>
            </w:rPr>
            <w:fldChar w:fldCharType="separate"/>
          </w:r>
          <w:r>
            <w:rPr>
              <w:rFonts w:cs="Times New Roman"/>
              <w:szCs w:val="24"/>
            </w:rPr>
            <w:t>154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"_Toc9873457" </w:instrText>
          </w:r>
          <w:r>
            <w:fldChar w:fldCharType="separate"/>
          </w:r>
          <w:r>
            <w:rPr>
              <w:rStyle w:val="86"/>
              <w:rFonts w:cs="Times New Roman"/>
              <w:bCs/>
              <w:color w:val="auto"/>
              <w:kern w:val="28"/>
              <w:szCs w:val="24"/>
            </w:rPr>
            <w:t>11.7　环境经济损益分析结论</w:t>
          </w:r>
          <w:r>
            <w:rPr>
              <w:rFonts w:cs="Times New Roman"/>
              <w:szCs w:val="24"/>
            </w:rPr>
            <w:tab/>
          </w:r>
          <w:r>
            <w:rPr>
              <w:rFonts w:cs="Times New Roman"/>
              <w:szCs w:val="24"/>
            </w:rPr>
            <w:fldChar w:fldCharType="begin"/>
          </w:r>
          <w:r>
            <w:rPr>
              <w:rFonts w:cs="Times New Roman"/>
              <w:szCs w:val="24"/>
            </w:rPr>
            <w:instrText xml:space="preserve"> PAGEREF _Toc9873457 \h </w:instrText>
          </w:r>
          <w:r>
            <w:rPr>
              <w:rFonts w:cs="Times New Roman"/>
              <w:szCs w:val="24"/>
            </w:rPr>
            <w:fldChar w:fldCharType="separate"/>
          </w:r>
          <w:r>
            <w:rPr>
              <w:rFonts w:cs="Times New Roman"/>
              <w:szCs w:val="24"/>
            </w:rPr>
            <w:t>154</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Cs w:val="24"/>
            </w:rPr>
          </w:pPr>
          <w:r>
            <w:fldChar w:fldCharType="begin"/>
          </w:r>
          <w:r>
            <w:instrText xml:space="preserve"> HYPERLINK \l "_Toc9873458" </w:instrText>
          </w:r>
          <w:r>
            <w:fldChar w:fldCharType="separate"/>
          </w:r>
          <w:r>
            <w:rPr>
              <w:rStyle w:val="86"/>
              <w:rFonts w:cs="Times New Roman"/>
              <w:bCs/>
              <w:color w:val="auto"/>
              <w:kern w:val="28"/>
              <w:szCs w:val="24"/>
            </w:rPr>
            <w:t>11.8　环境管理与监测计划结论</w:t>
          </w:r>
          <w:r>
            <w:rPr>
              <w:rFonts w:cs="Times New Roman"/>
              <w:szCs w:val="24"/>
            </w:rPr>
            <w:tab/>
          </w:r>
          <w:r>
            <w:rPr>
              <w:rFonts w:cs="Times New Roman"/>
              <w:szCs w:val="24"/>
            </w:rPr>
            <w:fldChar w:fldCharType="begin"/>
          </w:r>
          <w:r>
            <w:rPr>
              <w:rFonts w:cs="Times New Roman"/>
              <w:szCs w:val="24"/>
            </w:rPr>
            <w:instrText xml:space="preserve"> PAGEREF _Toc9873458 \h </w:instrText>
          </w:r>
          <w:r>
            <w:rPr>
              <w:rFonts w:cs="Times New Roman"/>
              <w:szCs w:val="24"/>
            </w:rPr>
            <w:fldChar w:fldCharType="separate"/>
          </w:r>
          <w:r>
            <w:rPr>
              <w:rFonts w:cs="Times New Roman"/>
              <w:szCs w:val="24"/>
            </w:rPr>
            <w:t>155</w:t>
          </w:r>
          <w:r>
            <w:rPr>
              <w:rFonts w:cs="Times New Roman"/>
              <w:szCs w:val="24"/>
            </w:rPr>
            <w:fldChar w:fldCharType="end"/>
          </w:r>
          <w:r>
            <w:rPr>
              <w:rFonts w:cs="Times New Roman"/>
              <w:szCs w:val="24"/>
            </w:rPr>
            <w:fldChar w:fldCharType="end"/>
          </w:r>
        </w:p>
        <w:p>
          <w:pPr>
            <w:pStyle w:val="69"/>
            <w:tabs>
              <w:tab w:val="right" w:leader="dot" w:pos="8296"/>
            </w:tabs>
            <w:rPr>
              <w:rFonts w:cs="Times New Roman" w:eastAsiaTheme="minorEastAsia"/>
              <w:smallCaps w:val="0"/>
              <w:sz w:val="21"/>
              <w:szCs w:val="22"/>
            </w:rPr>
          </w:pPr>
          <w:r>
            <w:fldChar w:fldCharType="begin"/>
          </w:r>
          <w:r>
            <w:instrText xml:space="preserve"> HYPERLINK \l "_Toc9873459" </w:instrText>
          </w:r>
          <w:r>
            <w:fldChar w:fldCharType="separate"/>
          </w:r>
          <w:r>
            <w:rPr>
              <w:rStyle w:val="86"/>
              <w:rFonts w:cs="Times New Roman"/>
              <w:bCs/>
              <w:color w:val="auto"/>
              <w:kern w:val="28"/>
              <w:szCs w:val="24"/>
            </w:rPr>
            <w:t>11.9　总体结论及建议</w:t>
          </w:r>
          <w:r>
            <w:rPr>
              <w:rFonts w:cs="Times New Roman"/>
              <w:szCs w:val="24"/>
            </w:rPr>
            <w:tab/>
          </w:r>
          <w:r>
            <w:rPr>
              <w:rFonts w:cs="Times New Roman"/>
              <w:szCs w:val="24"/>
            </w:rPr>
            <w:fldChar w:fldCharType="begin"/>
          </w:r>
          <w:r>
            <w:rPr>
              <w:rFonts w:cs="Times New Roman"/>
              <w:szCs w:val="24"/>
            </w:rPr>
            <w:instrText xml:space="preserve"> PAGEREF _Toc9873459 \h </w:instrText>
          </w:r>
          <w:r>
            <w:rPr>
              <w:rFonts w:cs="Times New Roman"/>
              <w:szCs w:val="24"/>
            </w:rPr>
            <w:fldChar w:fldCharType="separate"/>
          </w:r>
          <w:r>
            <w:rPr>
              <w:rFonts w:cs="Times New Roman"/>
              <w:szCs w:val="24"/>
            </w:rPr>
            <w:t>155</w:t>
          </w:r>
          <w:r>
            <w:rPr>
              <w:rFonts w:cs="Times New Roman"/>
              <w:szCs w:val="24"/>
            </w:rPr>
            <w:fldChar w:fldCharType="end"/>
          </w:r>
          <w:r>
            <w:rPr>
              <w:rFonts w:cs="Times New Roman"/>
              <w:szCs w:val="24"/>
            </w:rPr>
            <w:fldChar w:fldCharType="end"/>
          </w:r>
        </w:p>
        <w:p>
          <w:pPr>
            <w:rPr>
              <w:rFonts w:ascii="Times New Roman" w:hAnsi="Times New Roman"/>
            </w:rPr>
          </w:pPr>
          <w:r>
            <w:rPr>
              <w:rFonts w:ascii="Times New Roman" w:hAnsi="Times New Roman"/>
              <w:b/>
              <w:bCs/>
              <w:lang w:val="zh-CN"/>
            </w:rPr>
            <w:fldChar w:fldCharType="end"/>
          </w:r>
        </w:p>
      </w:sdtContent>
    </w:sdt>
    <w:p>
      <w:pPr>
        <w:pStyle w:val="626"/>
        <w:spacing w:before="156"/>
        <w:ind w:firstLine="560"/>
      </w:pPr>
    </w:p>
    <w:p>
      <w:pPr>
        <w:pStyle w:val="101"/>
        <w:spacing w:before="780" w:after="780"/>
        <w:rPr>
          <w:rFonts w:ascii="Times New Roman" w:hAnsi="Times New Roman"/>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pPr>
        <w:pStyle w:val="101"/>
        <w:spacing w:before="780" w:after="780"/>
        <w:rPr>
          <w:rFonts w:ascii="Times New Roman" w:hAnsi="Times New Roman"/>
        </w:rPr>
      </w:pPr>
      <w:bookmarkStart w:id="3" w:name="_Toc9873268"/>
      <w:r>
        <w:rPr>
          <w:rFonts w:ascii="Times New Roman" w:hAnsi="Times New Roman"/>
        </w:rPr>
        <w:t>前　言</w:t>
      </w:r>
      <w:bookmarkEnd w:id="1"/>
      <w:bookmarkEnd w:id="2"/>
      <w:bookmarkEnd w:id="3"/>
    </w:p>
    <w:p>
      <w:pPr>
        <w:pStyle w:val="103"/>
        <w:numPr>
          <w:ilvl w:val="0"/>
          <w:numId w:val="0"/>
        </w:numPr>
        <w:rPr>
          <w:rFonts w:ascii="Times New Roman" w:hAnsi="Times New Roman" w:eastAsia="宋体"/>
          <w:sz w:val="28"/>
          <w:szCs w:val="28"/>
        </w:rPr>
      </w:pPr>
      <w:bookmarkStart w:id="4" w:name="_Toc490332975"/>
      <w:bookmarkStart w:id="5" w:name="_Toc9873269"/>
      <w:bookmarkStart w:id="6" w:name="_Toc520883807"/>
      <w:r>
        <w:rPr>
          <w:rFonts w:ascii="Times New Roman" w:hAnsi="Times New Roman" w:eastAsia="宋体"/>
          <w:sz w:val="28"/>
          <w:szCs w:val="28"/>
        </w:rPr>
        <w:t>1、项目由来</w:t>
      </w:r>
      <w:bookmarkEnd w:id="4"/>
      <w:bookmarkEnd w:id="5"/>
      <w:bookmarkEnd w:id="6"/>
    </w:p>
    <w:p>
      <w:pPr>
        <w:spacing w:line="480" w:lineRule="exact"/>
        <w:ind w:firstLine="482"/>
        <w:rPr>
          <w:rFonts w:ascii="Times New Roman" w:hAnsi="Times New Roman"/>
          <w:sz w:val="24"/>
        </w:rPr>
      </w:pPr>
      <w:r>
        <w:rPr>
          <w:rFonts w:ascii="Times New Roman" w:hAnsi="Times New Roman"/>
          <w:sz w:val="24"/>
        </w:rPr>
        <w:t>近年来，我国的生猪养殖生产发生了很大变化，不少地区的生猪养殖已由过去的自给或半自给的分散型，传统家庭副业生产逐步向专业化、规模化、集约化、商品化生产方向发展，这为改变人民群众的食品结构，提高人民生活水平发挥了积极作用。</w:t>
      </w:r>
    </w:p>
    <w:p>
      <w:pPr>
        <w:spacing w:line="480" w:lineRule="exact"/>
        <w:ind w:firstLine="482"/>
        <w:rPr>
          <w:rFonts w:ascii="Times New Roman" w:hAnsi="Times New Roman"/>
          <w:sz w:val="24"/>
        </w:rPr>
      </w:pPr>
      <w:r>
        <w:rPr>
          <w:rFonts w:ascii="Times New Roman" w:hAnsi="Times New Roman"/>
          <w:sz w:val="24"/>
        </w:rPr>
        <w:t>四川是全国的传统养猪大省之一，业内有“川猪安天下”一说。在农业部下发《全国生猪生产发展规划（2016-2020 年）》通知中，对过去5 年我国生猪产业的发展情况进行了系统总结，通过综合考虑环境承载能力、资源禀赋、消费偏好和屠宰加工等因素，将包括四川在内的7 省（市）列为了全国生猪产业生产重点发展区。</w:t>
      </w:r>
    </w:p>
    <w:p>
      <w:pPr>
        <w:pStyle w:val="103"/>
        <w:numPr>
          <w:ilvl w:val="0"/>
          <w:numId w:val="0"/>
        </w:numPr>
        <w:rPr>
          <w:rFonts w:ascii="Times New Roman" w:hAnsi="Times New Roman" w:eastAsia="宋体"/>
          <w:sz w:val="28"/>
          <w:szCs w:val="28"/>
        </w:rPr>
      </w:pPr>
      <w:bookmarkStart w:id="7" w:name="_Toc520883808"/>
      <w:bookmarkStart w:id="8" w:name="_Toc9873270"/>
      <w:bookmarkStart w:id="9" w:name="_Toc490332976"/>
      <w:r>
        <w:rPr>
          <w:rFonts w:ascii="Times New Roman" w:hAnsi="Times New Roman" w:eastAsia="宋体"/>
          <w:sz w:val="28"/>
          <w:szCs w:val="28"/>
        </w:rPr>
        <w:t>2、建设项目特点</w:t>
      </w:r>
      <w:bookmarkEnd w:id="7"/>
      <w:bookmarkEnd w:id="8"/>
      <w:bookmarkEnd w:id="9"/>
    </w:p>
    <w:p>
      <w:pPr>
        <w:spacing w:line="480" w:lineRule="exact"/>
        <w:ind w:firstLine="482"/>
        <w:rPr>
          <w:rFonts w:ascii="Times New Roman" w:hAnsi="Times New Roman"/>
          <w:sz w:val="24"/>
          <w:szCs w:val="24"/>
        </w:rPr>
      </w:pPr>
      <w:r>
        <w:rPr>
          <w:rFonts w:ascii="Times New Roman" w:hAnsi="Times New Roman"/>
          <w:sz w:val="24"/>
        </w:rPr>
        <w:t>在此背景下，根据生猪产业可持续发展的现实需求和中央、省委省政府关于加强基础设施建设、稳定发展生猪生产的一系列方针政策要求，结合邛崃市生猪产业发展实际，</w:t>
      </w:r>
      <w:r>
        <w:rPr>
          <w:rFonts w:ascii="Times New Roman" w:hAnsi="Times New Roman"/>
          <w:sz w:val="24"/>
          <w:szCs w:val="24"/>
        </w:rPr>
        <w:t>成都旺江农牧科技有限公司利用成都旺江饲料有限公司年产36万吨优质饲料生产线及自有繁育场的优势于2016年投资1500万元，在邛崃市冉义镇园林村35组（原白玉村2、3组）建设了旺江农冉义现代化生猪养殖基地项目。全厂总占地面积为97亩（预留二期用地约60亩），年出栏商品猪30000头。</w:t>
      </w:r>
    </w:p>
    <w:p>
      <w:pPr>
        <w:spacing w:line="480" w:lineRule="exact"/>
        <w:ind w:firstLine="482"/>
        <w:rPr>
          <w:rFonts w:ascii="Times New Roman" w:hAnsi="Times New Roman"/>
          <w:bCs/>
          <w:iCs/>
          <w:sz w:val="24"/>
        </w:rPr>
      </w:pPr>
      <w:r>
        <w:rPr>
          <w:rFonts w:ascii="Times New Roman" w:hAnsi="Times New Roman"/>
          <w:sz w:val="24"/>
          <w:szCs w:val="24"/>
        </w:rPr>
        <w:t>因市场发展前景良好，成都旺江农牧科技有限公司拟再投资3000万元，在一期预留60亩用地内扩建旺江农牧冉义现代化生猪养殖基地二期建设项目（即本项目），项目建成后新增年出栏商品猪57720头。本项目建设内容为在预留用地内</w:t>
      </w:r>
      <w:r>
        <w:rPr>
          <w:rFonts w:ascii="Times New Roman" w:hAnsi="Times New Roman"/>
          <w:bCs/>
          <w:iCs/>
          <w:sz w:val="24"/>
        </w:rPr>
        <w:t>新（扩）建标准化猪舍3.43万平方米、蓄粪池6.5万立方米、厂区道路、绿化隔离以及雨污分流等配套设施工程。</w:t>
      </w:r>
    </w:p>
    <w:p>
      <w:pPr>
        <w:pStyle w:val="3"/>
        <w:spacing w:before="0" w:beforeAutospacing="0" w:after="0" w:afterAutospacing="0"/>
        <w:rPr>
          <w:rFonts w:eastAsiaTheme="minorEastAsia"/>
          <w:sz w:val="30"/>
          <w:szCs w:val="30"/>
        </w:rPr>
      </w:pPr>
      <w:bookmarkStart w:id="10" w:name="_Toc9873271"/>
      <w:r>
        <w:rPr>
          <w:rFonts w:eastAsiaTheme="minorEastAsia"/>
          <w:sz w:val="30"/>
          <w:szCs w:val="30"/>
        </w:rPr>
        <w:t>3、分析判定相关情况</w:t>
      </w:r>
      <w:bookmarkEnd w:id="10"/>
    </w:p>
    <w:p>
      <w:pPr>
        <w:ind w:firstLine="482" w:firstLineChars="200"/>
        <w:rPr>
          <w:rFonts w:ascii="Times New Roman" w:hAnsi="Times New Roman"/>
          <w:b/>
          <w:sz w:val="24"/>
        </w:rPr>
      </w:pPr>
      <w:r>
        <w:rPr>
          <w:rFonts w:ascii="Times New Roman" w:hAnsi="Times New Roman"/>
          <w:b/>
          <w:sz w:val="24"/>
        </w:rPr>
        <w:t>（1）产业政策符合性</w:t>
      </w:r>
    </w:p>
    <w:p>
      <w:pPr>
        <w:ind w:firstLine="480" w:firstLineChars="200"/>
        <w:rPr>
          <w:rFonts w:ascii="Times New Roman" w:hAnsi="Times New Roman"/>
          <w:sz w:val="24"/>
        </w:rPr>
      </w:pPr>
      <w:r>
        <w:rPr>
          <w:rFonts w:ascii="Times New Roman" w:hAnsi="Times New Roman"/>
          <w:sz w:val="24"/>
        </w:rPr>
        <w:t>本项目为旺江农牧冉义现代化生猪养殖基地二期建设项目，根据《产业结构调整指导目录（2011 年本）》（2013 年修正），生猪养殖项目属于“第一类鼓励类”“一、农林业”中的 “5、畜禽标准化规模养殖技术开发与应用”。</w:t>
      </w:r>
    </w:p>
    <w:p>
      <w:pPr>
        <w:ind w:firstLine="480" w:firstLineChars="200"/>
        <w:rPr>
          <w:rFonts w:ascii="Times New Roman" w:hAnsi="Times New Roman"/>
          <w:sz w:val="24"/>
        </w:rPr>
      </w:pPr>
      <w:r>
        <w:rPr>
          <w:rFonts w:ascii="Times New Roman" w:hAnsi="Times New Roman"/>
          <w:sz w:val="24"/>
        </w:rPr>
        <w:t>2018年11月，本项目取得了邛崃市发展和改革局出具的《四川省固定资产投资项目备案表》（川投资备【2018-510183-03-03-311051】FGQB-0274号）。</w:t>
      </w:r>
    </w:p>
    <w:p>
      <w:pPr>
        <w:ind w:firstLine="480" w:firstLineChars="200"/>
        <w:rPr>
          <w:rFonts w:ascii="Times New Roman" w:hAnsi="Times New Roman"/>
          <w:sz w:val="24"/>
        </w:rPr>
      </w:pPr>
      <w:r>
        <w:rPr>
          <w:rFonts w:ascii="Times New Roman" w:hAnsi="Times New Roman"/>
          <w:sz w:val="24"/>
        </w:rPr>
        <w:t>因此，本项目与国家现行产业政策相符。</w:t>
      </w:r>
    </w:p>
    <w:p>
      <w:pPr>
        <w:ind w:firstLine="482" w:firstLineChars="200"/>
        <w:rPr>
          <w:rFonts w:ascii="Times New Roman" w:hAnsi="Times New Roman"/>
          <w:b/>
          <w:sz w:val="24"/>
        </w:rPr>
      </w:pPr>
      <w:r>
        <w:rPr>
          <w:rFonts w:ascii="Times New Roman" w:hAnsi="Times New Roman"/>
          <w:b/>
          <w:sz w:val="24"/>
        </w:rPr>
        <w:t>（2）规划符合性</w:t>
      </w:r>
    </w:p>
    <w:p>
      <w:pPr>
        <w:ind w:firstLine="480" w:firstLineChars="200"/>
        <w:rPr>
          <w:rFonts w:ascii="Times New Roman" w:hAnsi="Times New Roman"/>
          <w:sz w:val="24"/>
        </w:rPr>
      </w:pPr>
      <w:r>
        <w:rPr>
          <w:rFonts w:ascii="Times New Roman" w:hAnsi="Times New Roman"/>
          <w:sz w:val="24"/>
          <w:szCs w:val="24"/>
        </w:rPr>
        <w:t>旺江农牧冉义现代化生猪养殖基地二期建设项目</w:t>
      </w:r>
      <w:r>
        <w:rPr>
          <w:rFonts w:ascii="Times New Roman" w:hAnsi="Times New Roman"/>
          <w:sz w:val="24"/>
        </w:rPr>
        <w:t>位于</w:t>
      </w:r>
      <w:r>
        <w:rPr>
          <w:rFonts w:ascii="Times New Roman" w:hAnsi="Times New Roman"/>
          <w:sz w:val="24"/>
          <w:szCs w:val="24"/>
        </w:rPr>
        <w:t>邛崃市冉义镇园林村35组</w:t>
      </w:r>
      <w:r>
        <w:rPr>
          <w:rFonts w:ascii="Times New Roman" w:hAnsi="Times New Roman"/>
          <w:sz w:val="24"/>
        </w:rPr>
        <w:t>，本项目的建设符合《四川省畜牧业发展“十三五”规划》、《成都市现代农业发展规划（2010—2020）》、《成都市畜禽养殖管理办法》、《邛崃市国民经济和社会发展第十三个五年规划纲要》及《冉义镇万亩高标准农田新型社区规划》等相关要求。</w:t>
      </w:r>
    </w:p>
    <w:p>
      <w:pPr>
        <w:ind w:firstLine="482" w:firstLineChars="200"/>
        <w:rPr>
          <w:rFonts w:ascii="Times New Roman" w:hAnsi="Times New Roman"/>
          <w:b/>
          <w:sz w:val="24"/>
        </w:rPr>
      </w:pPr>
      <w:r>
        <w:rPr>
          <w:rFonts w:ascii="Times New Roman" w:hAnsi="Times New Roman"/>
          <w:b/>
          <w:sz w:val="24"/>
        </w:rPr>
        <w:t>（3）选址合理性分析</w:t>
      </w:r>
    </w:p>
    <w:p>
      <w:pPr>
        <w:ind w:firstLine="480"/>
        <w:rPr>
          <w:rFonts w:ascii="Times New Roman" w:hAnsi="Times New Roman"/>
          <w:sz w:val="24"/>
          <w:szCs w:val="24"/>
        </w:rPr>
      </w:pPr>
      <w:r>
        <w:rPr>
          <w:rFonts w:ascii="Times New Roman" w:hAnsi="Times New Roman"/>
          <w:sz w:val="24"/>
          <w:szCs w:val="24"/>
        </w:rPr>
        <w:t>旺江农牧冉义现代化生猪养殖基地二期建设项目</w:t>
      </w:r>
      <w:r>
        <w:rPr>
          <w:rFonts w:ascii="Times New Roman" w:hAnsi="Times New Roman"/>
          <w:sz w:val="24"/>
        </w:rPr>
        <w:t>位于</w:t>
      </w:r>
      <w:r>
        <w:rPr>
          <w:rFonts w:ascii="Times New Roman" w:hAnsi="Times New Roman"/>
          <w:sz w:val="24"/>
          <w:szCs w:val="24"/>
        </w:rPr>
        <w:t>邛崃市冉义镇园林村35组</w:t>
      </w:r>
      <w:r>
        <w:rPr>
          <w:rFonts w:ascii="Times New Roman" w:hAnsi="Times New Roman"/>
          <w:sz w:val="24"/>
        </w:rPr>
        <w:t>，</w:t>
      </w:r>
      <w:r>
        <w:rPr>
          <w:rFonts w:ascii="Times New Roman" w:hAnsi="Times New Roman"/>
          <w:sz w:val="24"/>
          <w:szCs w:val="24"/>
        </w:rPr>
        <w:t>项目选址符合《畜禽养殖业污染防治技术规范》、《农产品安全质量—无公害畜禽肉产地环境要求》及《畜禽规模养殖污染防治条例》相关要求，不属于城镇居民生活区内，项目周围属农村环境，不涉及水源保护区、风景名胜区、自然保护区等环境敏感区，外环境较为单一，场址周围无明显环境制约因素，不在邛崃市划定的畜禽养殖禁养区范围内。</w:t>
      </w:r>
    </w:p>
    <w:p>
      <w:pPr>
        <w:ind w:firstLine="480" w:firstLineChars="200"/>
        <w:rPr>
          <w:rFonts w:ascii="Times New Roman" w:hAnsi="Times New Roman"/>
          <w:sz w:val="24"/>
          <w:szCs w:val="24"/>
        </w:rPr>
      </w:pPr>
      <w:r>
        <w:rPr>
          <w:rFonts w:ascii="Times New Roman" w:hAnsi="Times New Roman"/>
          <w:sz w:val="24"/>
          <w:szCs w:val="24"/>
        </w:rPr>
        <w:t>综上分析，项目选址基本合理。</w:t>
      </w:r>
    </w:p>
    <w:p>
      <w:pPr>
        <w:pStyle w:val="103"/>
        <w:numPr>
          <w:ilvl w:val="0"/>
          <w:numId w:val="0"/>
        </w:numPr>
        <w:rPr>
          <w:rFonts w:ascii="Times New Roman" w:hAnsi="Times New Roman" w:eastAsia="宋体"/>
          <w:sz w:val="28"/>
          <w:szCs w:val="28"/>
        </w:rPr>
      </w:pPr>
      <w:bookmarkStart w:id="11" w:name="_Toc520883809"/>
      <w:bookmarkStart w:id="12" w:name="_Toc490332977"/>
      <w:bookmarkStart w:id="13" w:name="_Toc9873272"/>
      <w:r>
        <w:rPr>
          <w:rFonts w:ascii="Times New Roman" w:hAnsi="Times New Roman" w:eastAsia="宋体"/>
          <w:sz w:val="28"/>
          <w:szCs w:val="28"/>
        </w:rPr>
        <w:t>4、项目关注的主要环境问题及环境影响</w:t>
      </w:r>
      <w:bookmarkEnd w:id="11"/>
      <w:bookmarkEnd w:id="12"/>
      <w:bookmarkEnd w:id="13"/>
    </w:p>
    <w:p>
      <w:pPr>
        <w:ind w:firstLine="480" w:firstLineChars="200"/>
        <w:rPr>
          <w:rFonts w:ascii="Times New Roman" w:hAnsi="Times New Roman"/>
          <w:sz w:val="24"/>
        </w:rPr>
      </w:pPr>
      <w:r>
        <w:rPr>
          <w:rFonts w:ascii="Times New Roman" w:hAnsi="Times New Roman"/>
          <w:sz w:val="24"/>
        </w:rPr>
        <w:t>本项目为畜禽养殖项目，为扩建工程，项目主要关注的环境问题为：</w:t>
      </w:r>
    </w:p>
    <w:p>
      <w:pPr>
        <w:ind w:firstLine="480"/>
        <w:rPr>
          <w:rFonts w:ascii="Times New Roman" w:hAnsi="Times New Roman"/>
          <w:sz w:val="24"/>
        </w:rPr>
      </w:pPr>
      <w:r>
        <w:rPr>
          <w:rFonts w:ascii="Times New Roman" w:hAnsi="Times New Roman"/>
          <w:sz w:val="24"/>
        </w:rPr>
        <w:t>（1）现有工程调查分析运营期产生的大气、废水、噪声、固废等对周边环境影响。尤其关注的是废水、臭气对环境的影响，现状处置措施、存在的环境问题，并针对现状存在的环境问题提出整改要求。</w:t>
      </w:r>
    </w:p>
    <w:p>
      <w:pPr>
        <w:ind w:firstLine="480" w:firstLineChars="200"/>
        <w:rPr>
          <w:rFonts w:ascii="Times New Roman" w:hAnsi="Times New Roman"/>
          <w:sz w:val="24"/>
        </w:rPr>
      </w:pPr>
      <w:r>
        <w:rPr>
          <w:rFonts w:ascii="Times New Roman" w:hAnsi="Times New Roman"/>
          <w:sz w:val="24"/>
        </w:rPr>
        <w:t>（2）本次扩建工程关注运营期产生的大气、废水、噪声、固废等对周边环境影响。尤其关注的是废水、臭气对环境的影响，提出污染防治措施要求。</w:t>
      </w:r>
    </w:p>
    <w:p>
      <w:pPr>
        <w:pStyle w:val="103"/>
        <w:numPr>
          <w:ilvl w:val="0"/>
          <w:numId w:val="0"/>
        </w:numPr>
        <w:rPr>
          <w:rFonts w:ascii="Times New Roman" w:hAnsi="Times New Roman" w:eastAsia="宋体"/>
          <w:sz w:val="28"/>
          <w:szCs w:val="28"/>
        </w:rPr>
      </w:pPr>
      <w:bookmarkStart w:id="14" w:name="_Toc520883810"/>
      <w:bookmarkStart w:id="15" w:name="_Toc490332978"/>
      <w:bookmarkStart w:id="16" w:name="_Toc9873273"/>
      <w:r>
        <w:rPr>
          <w:rFonts w:ascii="Times New Roman" w:hAnsi="Times New Roman" w:eastAsia="宋体"/>
          <w:sz w:val="28"/>
          <w:szCs w:val="28"/>
        </w:rPr>
        <w:t>5、环境影响评价工作过程</w:t>
      </w:r>
      <w:bookmarkEnd w:id="14"/>
      <w:bookmarkEnd w:id="15"/>
      <w:bookmarkEnd w:id="16"/>
    </w:p>
    <w:p>
      <w:pPr>
        <w:ind w:firstLine="480" w:firstLineChars="200"/>
        <w:rPr>
          <w:rFonts w:ascii="Times New Roman" w:hAnsi="Times New Roman"/>
          <w:sz w:val="24"/>
        </w:rPr>
      </w:pPr>
      <w:r>
        <w:rPr>
          <w:rFonts w:ascii="Times New Roman" w:hAnsi="Times New Roman"/>
          <w:sz w:val="24"/>
        </w:rPr>
        <w:t>按照《中华人民共和国环境保护法》、《中华人民共和国环境影响评价法》和《建设项目环境保护管理条例》要求，本项目必须进行环境影响评价。根据《建设项目环境影响评价分类管理名录》（环境保护部令第44号）及《关于修改&lt;建设项目环境影响评价分类管理名录&gt;部分内容的决定》（生态环境部令第1号），本项目的环境影响评价形式为编制环境影响报告书。受业主单位成都旺江农牧科技有限公司委托，永清环保股份有限公司承担该项目环境影响评价工作。我单位接受委托后，立即派出有关技术人员对该项目进行了现场踏勘和资料收集，按照技术规范，编制完成了本项目环境影响报告书。</w:t>
      </w:r>
    </w:p>
    <w:p>
      <w:pPr>
        <w:ind w:firstLine="480" w:firstLineChars="200"/>
        <w:rPr>
          <w:rFonts w:ascii="Times New Roman" w:hAnsi="Times New Roman"/>
          <w:b/>
          <w:szCs w:val="28"/>
        </w:rPr>
      </w:pPr>
      <w:r>
        <w:rPr>
          <w:rFonts w:ascii="Times New Roman" w:hAnsi="Times New Roman"/>
          <w:sz w:val="24"/>
        </w:rPr>
        <w:t>在环评报告书编制过程中主要开展了现场勘察，资料收集，现状监测方案、报告书编制，配合业主单位进行公众参与调查表的发放、收集及网上发布环境影响评价公示、公众参与调查内容汇总及编制成册等工作。</w:t>
      </w:r>
    </w:p>
    <w:p>
      <w:pPr>
        <w:pStyle w:val="103"/>
        <w:numPr>
          <w:ilvl w:val="0"/>
          <w:numId w:val="0"/>
        </w:numPr>
        <w:rPr>
          <w:rFonts w:ascii="Times New Roman" w:hAnsi="Times New Roman" w:eastAsia="宋体"/>
          <w:sz w:val="28"/>
          <w:szCs w:val="28"/>
        </w:rPr>
      </w:pPr>
      <w:bookmarkStart w:id="17" w:name="_Toc520883811"/>
      <w:bookmarkStart w:id="18" w:name="_Toc490332979"/>
      <w:bookmarkStart w:id="19" w:name="_Toc9873274"/>
      <w:r>
        <w:rPr>
          <w:rFonts w:ascii="Times New Roman" w:hAnsi="Times New Roman" w:eastAsia="宋体"/>
          <w:sz w:val="28"/>
          <w:szCs w:val="28"/>
        </w:rPr>
        <w:t>6、报告书主要结论</w:t>
      </w:r>
      <w:bookmarkEnd w:id="17"/>
      <w:bookmarkEnd w:id="18"/>
      <w:bookmarkEnd w:id="19"/>
    </w:p>
    <w:p>
      <w:pPr>
        <w:ind w:firstLine="480" w:firstLineChars="200"/>
        <w:rPr>
          <w:rFonts w:ascii="Times New Roman" w:hAnsi="Times New Roman"/>
          <w:sz w:val="24"/>
        </w:rPr>
      </w:pPr>
      <w:r>
        <w:rPr>
          <w:rFonts w:ascii="Times New Roman" w:hAnsi="Times New Roman"/>
          <w:sz w:val="24"/>
        </w:rPr>
        <w:t>旺江农牧冉义现代化生猪养殖基地二期建设项目符合国家产业政策，符合《四川省畜牧业发展“十三五”规划》、《成都市现代农业发展规划（2010—2020）》、《成都市畜禽养殖管理办法》、《邛崃市国民经济和社会发展第十三个五年规划纲要》及《冉义镇万亩高标准农田新型社区规划》等相关规划要求。区域环境质量现状较好，无重大环境制约因素，项目选址基本合理。在坚持“三同时”原则的基础上，切实落实环评提出的环保措施及风险防范措施，可实现污染物达标排放，对环境影响较小，不会因项目建设而改变区域环境功能。在贯彻落实本环境影响报告书各项环境保护措施的前提下，从环境影响的角度而言，本项目的建设是可行的。</w:t>
      </w:r>
    </w:p>
    <w:p>
      <w:pPr>
        <w:ind w:firstLine="480" w:firstLineChars="200"/>
        <w:rPr>
          <w:rFonts w:ascii="Times New Roman" w:hAnsi="Times New Roman"/>
          <w:sz w:val="24"/>
        </w:rPr>
      </w:pPr>
      <w:r>
        <w:rPr>
          <w:rFonts w:ascii="Times New Roman" w:hAnsi="Times New Roman"/>
          <w:sz w:val="24"/>
        </w:rPr>
        <w:t>在本报告书编制过程中得到了成都市生态环境局、邛崃市人民政府、邛崃市国土资源局、邛崃市发展和改革局、邛崃市农业和林业局、成都市邛崃生态环境局以及业主单位成都旺江农牧科技有限公司的大力支持和帮助，在此一并表示衷心的感谢！</w:t>
      </w:r>
    </w:p>
    <w:p>
      <w:pPr>
        <w:widowControl/>
        <w:spacing w:line="240" w:lineRule="auto"/>
        <w:jc w:val="left"/>
        <w:rPr>
          <w:rFonts w:ascii="Times New Roman" w:hAnsi="Times New Roman"/>
          <w:sz w:val="24"/>
        </w:rPr>
      </w:pPr>
      <w:r>
        <w:rPr>
          <w:rFonts w:ascii="Times New Roman" w:hAnsi="Times New Roman"/>
          <w:sz w:val="24"/>
        </w:rPr>
        <w:br w:type="page"/>
      </w:r>
    </w:p>
    <w:p>
      <w:pPr>
        <w:pStyle w:val="101"/>
        <w:spacing w:before="780" w:after="780"/>
        <w:rPr>
          <w:rFonts w:ascii="Times New Roman" w:hAnsi="Times New Roman"/>
        </w:rPr>
      </w:pPr>
      <w:r>
        <w:rPr>
          <w:rFonts w:ascii="Times New Roman" w:hAnsi="Times New Roman"/>
        </w:rPr>
        <w:t>　</w:t>
      </w:r>
      <w:bookmarkStart w:id="20" w:name="_Toc9873275"/>
      <w:bookmarkStart w:id="21" w:name="_Toc490332990"/>
      <w:r>
        <w:rPr>
          <w:rFonts w:ascii="Times New Roman" w:hAnsi="Times New Roman"/>
        </w:rPr>
        <w:t>第一章  总  则</w:t>
      </w:r>
      <w:bookmarkEnd w:id="20"/>
    </w:p>
    <w:p>
      <w:pPr>
        <w:pStyle w:val="103"/>
        <w:numPr>
          <w:ilvl w:val="0"/>
          <w:numId w:val="0"/>
        </w:numPr>
        <w:rPr>
          <w:rFonts w:ascii="Times New Roman" w:hAnsi="Times New Roman"/>
          <w:sz w:val="24"/>
        </w:rPr>
      </w:pPr>
      <w:bookmarkStart w:id="22" w:name="_Toc9873276"/>
      <w:r>
        <w:rPr>
          <w:rFonts w:ascii="Times New Roman" w:hAnsi="Times New Roman"/>
          <w:b w:val="0"/>
          <w:bCs/>
          <w:kern w:val="28"/>
          <w:sz w:val="32"/>
          <w:szCs w:val="32"/>
        </w:rPr>
        <w:t>1.1  评价目的和原则</w:t>
      </w:r>
      <w:bookmarkEnd w:id="22"/>
    </w:p>
    <w:p>
      <w:pPr>
        <w:pStyle w:val="108"/>
        <w:rPr>
          <w:sz w:val="24"/>
        </w:rPr>
      </w:pPr>
      <w:bookmarkStart w:id="23" w:name="_Toc9873277"/>
      <w:r>
        <w:t>1.1.1  评价目的</w:t>
      </w:r>
      <w:bookmarkEnd w:id="23"/>
    </w:p>
    <w:p>
      <w:pPr>
        <w:spacing w:line="480" w:lineRule="exact"/>
        <w:ind w:firstLine="480" w:firstLineChars="200"/>
        <w:rPr>
          <w:rFonts w:ascii="Times New Roman" w:hAnsi="Times New Roman"/>
          <w:sz w:val="24"/>
        </w:rPr>
      </w:pPr>
      <w:r>
        <w:rPr>
          <w:rFonts w:ascii="Times New Roman" w:hAnsi="Times New Roman"/>
          <w:sz w:val="24"/>
        </w:rPr>
        <w:t>环境影响评价作为建设项目管理的一项制度，其基本目的是贯彻“保护环境”的基本国策，认真执行“以防为主，防治结合，综合利用”的环境管理方针。通过评价，查清建设项目所在区域的环境现状，根据该项目的工程特征和污染特征，分析项目建设对当地环境可能造成的不良影响，弄清影响程度和范围，从而制定避免污染、减少污染的防治对策，为项目实现合理布局、最佳设计提供科学依据。</w:t>
      </w:r>
    </w:p>
    <w:p>
      <w:pPr>
        <w:spacing w:line="460" w:lineRule="exact"/>
        <w:ind w:firstLine="480" w:firstLineChars="200"/>
        <w:rPr>
          <w:rFonts w:ascii="Times New Roman" w:hAnsi="Times New Roman"/>
          <w:sz w:val="24"/>
        </w:rPr>
      </w:pPr>
      <w:r>
        <w:rPr>
          <w:rFonts w:ascii="Times New Roman" w:hAnsi="Times New Roman"/>
          <w:sz w:val="24"/>
        </w:rPr>
        <w:t>针对本项目，评价的具体目的为：</w:t>
      </w:r>
    </w:p>
    <w:p>
      <w:pPr>
        <w:spacing w:line="460" w:lineRule="exact"/>
        <w:ind w:firstLine="480" w:firstLineChars="200"/>
        <w:rPr>
          <w:rFonts w:ascii="Times New Roman" w:hAnsi="Times New Roman"/>
          <w:sz w:val="24"/>
        </w:rPr>
      </w:pPr>
      <w:r>
        <w:rPr>
          <w:rFonts w:ascii="Times New Roman" w:hAnsi="Times New Roman"/>
          <w:sz w:val="24"/>
        </w:rPr>
        <w:t>（1）通过调查与监测，查清建设项目周围的自然环境、社会经济环境和环境质量现状。</w:t>
      </w:r>
    </w:p>
    <w:p>
      <w:pPr>
        <w:spacing w:line="460" w:lineRule="exact"/>
        <w:ind w:firstLine="480" w:firstLineChars="200"/>
        <w:rPr>
          <w:rFonts w:ascii="Times New Roman" w:hAnsi="Times New Roman"/>
          <w:sz w:val="24"/>
        </w:rPr>
      </w:pPr>
      <w:r>
        <w:rPr>
          <w:rFonts w:ascii="Times New Roman" w:hAnsi="Times New Roman"/>
          <w:sz w:val="24"/>
        </w:rPr>
        <w:t>（2）通过工程分析和类比调查，查清建设项目的主要污染源、污染物及排放量；按“清洁生产”的要求，对工程采用的工艺、设备、物耗、能耗等各环节进行分析。</w:t>
      </w:r>
    </w:p>
    <w:p>
      <w:pPr>
        <w:spacing w:line="460" w:lineRule="exact"/>
        <w:ind w:firstLine="480" w:firstLineChars="200"/>
        <w:rPr>
          <w:rFonts w:ascii="Times New Roman" w:hAnsi="Times New Roman"/>
          <w:sz w:val="24"/>
        </w:rPr>
      </w:pPr>
      <w:r>
        <w:rPr>
          <w:rFonts w:ascii="Times New Roman" w:hAnsi="Times New Roman"/>
          <w:sz w:val="24"/>
        </w:rPr>
        <w:t>（3）通过分析和计算，预测主要污染物排放对周围环境的影响程度和范围，判断其是否满足排放标准、环境质量标准和总量控制要求。</w:t>
      </w:r>
    </w:p>
    <w:p>
      <w:pPr>
        <w:spacing w:line="460" w:lineRule="exact"/>
        <w:ind w:firstLine="480" w:firstLineChars="200"/>
        <w:rPr>
          <w:rFonts w:ascii="Times New Roman" w:hAnsi="Times New Roman"/>
          <w:sz w:val="24"/>
        </w:rPr>
      </w:pPr>
      <w:r>
        <w:rPr>
          <w:rFonts w:ascii="Times New Roman" w:hAnsi="Times New Roman"/>
          <w:sz w:val="24"/>
        </w:rPr>
        <w:t>（4）从技术、经济角度分析拟采取的环保措施的可行性和可靠性，必要时提出替代方案，为主管部门决策和加强环境管理提供依据。</w:t>
      </w:r>
    </w:p>
    <w:p>
      <w:pPr>
        <w:spacing w:line="460" w:lineRule="exact"/>
        <w:ind w:firstLine="480" w:firstLineChars="200"/>
        <w:rPr>
          <w:rFonts w:ascii="Times New Roman" w:hAnsi="Times New Roman"/>
          <w:sz w:val="24"/>
        </w:rPr>
      </w:pPr>
      <w:r>
        <w:rPr>
          <w:rFonts w:ascii="Times New Roman" w:hAnsi="Times New Roman"/>
          <w:sz w:val="24"/>
        </w:rPr>
        <w:t>（5）从环保法规、产业政策、环境特点、污染防治等方面综合分析，对厂址选择的合理性和建设项目的环境可行性给出明确结论。</w:t>
      </w:r>
    </w:p>
    <w:p>
      <w:pPr>
        <w:pStyle w:val="108"/>
      </w:pPr>
      <w:bookmarkStart w:id="24" w:name="_Toc9873278"/>
      <w:r>
        <w:t>1.1.2  评价原则</w:t>
      </w:r>
      <w:bookmarkEnd w:id="24"/>
    </w:p>
    <w:p>
      <w:pPr>
        <w:spacing w:line="480" w:lineRule="exact"/>
        <w:ind w:firstLine="480" w:firstLineChars="200"/>
        <w:rPr>
          <w:rFonts w:ascii="Times New Roman" w:hAnsi="Times New Roman"/>
          <w:sz w:val="24"/>
        </w:rPr>
      </w:pPr>
      <w:r>
        <w:rPr>
          <w:rFonts w:ascii="Times New Roman" w:hAnsi="Times New Roman"/>
          <w:sz w:val="24"/>
        </w:rPr>
        <w:t>根据评价的目的，确定评价应坚持以下原则：</w:t>
      </w:r>
    </w:p>
    <w:p>
      <w:pPr>
        <w:spacing w:line="480" w:lineRule="exact"/>
        <w:ind w:firstLine="480" w:firstLineChars="200"/>
        <w:rPr>
          <w:rFonts w:ascii="Times New Roman" w:hAnsi="Times New Roman"/>
          <w:sz w:val="24"/>
        </w:rPr>
      </w:pPr>
      <w:r>
        <w:rPr>
          <w:rFonts w:ascii="Times New Roman" w:hAnsi="Times New Roman"/>
          <w:sz w:val="24"/>
        </w:rPr>
        <w:t>1）项目符合国家产业政策的原则；</w:t>
      </w:r>
    </w:p>
    <w:p>
      <w:pPr>
        <w:spacing w:line="480" w:lineRule="exact"/>
        <w:ind w:firstLine="480" w:firstLineChars="200"/>
        <w:rPr>
          <w:rFonts w:ascii="Times New Roman" w:hAnsi="Times New Roman"/>
          <w:sz w:val="24"/>
        </w:rPr>
      </w:pPr>
      <w:r>
        <w:rPr>
          <w:rFonts w:ascii="Times New Roman" w:hAnsi="Times New Roman"/>
          <w:sz w:val="24"/>
        </w:rPr>
        <w:t>2）选址符合城市环境功能区划和城市总体发展规划的原则；</w:t>
      </w:r>
    </w:p>
    <w:p>
      <w:pPr>
        <w:spacing w:line="480" w:lineRule="exact"/>
        <w:ind w:firstLine="480" w:firstLineChars="200"/>
        <w:rPr>
          <w:rFonts w:ascii="Times New Roman" w:hAnsi="Times New Roman"/>
          <w:sz w:val="24"/>
        </w:rPr>
      </w:pPr>
      <w:r>
        <w:rPr>
          <w:rFonts w:ascii="Times New Roman" w:hAnsi="Times New Roman"/>
          <w:sz w:val="24"/>
        </w:rPr>
        <w:t>3）项目符合清洁生产要求的原则；</w:t>
      </w:r>
    </w:p>
    <w:p>
      <w:pPr>
        <w:spacing w:line="480" w:lineRule="exact"/>
        <w:ind w:firstLine="480" w:firstLineChars="200"/>
        <w:rPr>
          <w:rFonts w:ascii="Times New Roman" w:hAnsi="Times New Roman"/>
          <w:sz w:val="24"/>
        </w:rPr>
      </w:pPr>
      <w:r>
        <w:rPr>
          <w:rFonts w:ascii="Times New Roman" w:hAnsi="Times New Roman"/>
          <w:sz w:val="24"/>
        </w:rPr>
        <w:t>4）主要污染物达标排放的原则；</w:t>
      </w:r>
    </w:p>
    <w:p>
      <w:pPr>
        <w:spacing w:line="480" w:lineRule="exact"/>
        <w:ind w:firstLine="480" w:firstLineChars="200"/>
        <w:rPr>
          <w:rFonts w:ascii="Times New Roman" w:hAnsi="Times New Roman"/>
          <w:sz w:val="24"/>
        </w:rPr>
      </w:pPr>
      <w:r>
        <w:rPr>
          <w:rFonts w:ascii="Times New Roman" w:hAnsi="Times New Roman"/>
          <w:sz w:val="24"/>
        </w:rPr>
        <w:t>5）满足国家和地方规定的污染物总量控制的原则；</w:t>
      </w:r>
    </w:p>
    <w:p>
      <w:pPr>
        <w:spacing w:line="480" w:lineRule="exact"/>
        <w:ind w:firstLine="480" w:firstLineChars="200"/>
        <w:rPr>
          <w:rFonts w:ascii="Times New Roman" w:hAnsi="Times New Roman"/>
          <w:sz w:val="24"/>
        </w:rPr>
      </w:pPr>
      <w:r>
        <w:rPr>
          <w:rFonts w:ascii="Times New Roman" w:hAnsi="Times New Roman"/>
          <w:sz w:val="24"/>
        </w:rPr>
        <w:t>6）符合环境功能区要求，改善或维持区域环境质量的原则。</w:t>
      </w:r>
    </w:p>
    <w:p>
      <w:pPr>
        <w:pStyle w:val="103"/>
        <w:numPr>
          <w:ilvl w:val="0"/>
          <w:numId w:val="0"/>
        </w:numPr>
        <w:rPr>
          <w:rFonts w:ascii="Times New Roman" w:hAnsi="Times New Roman"/>
          <w:b w:val="0"/>
          <w:bCs/>
          <w:kern w:val="28"/>
          <w:sz w:val="32"/>
          <w:szCs w:val="32"/>
        </w:rPr>
      </w:pPr>
      <w:bookmarkStart w:id="25" w:name="_Toc466449914"/>
      <w:bookmarkStart w:id="26" w:name="_Toc9873279"/>
      <w:bookmarkStart w:id="27" w:name="_Toc466449936"/>
      <w:r>
        <w:rPr>
          <w:rFonts w:ascii="Times New Roman" w:hAnsi="Times New Roman"/>
          <w:b w:val="0"/>
          <w:bCs/>
          <w:kern w:val="28"/>
          <w:sz w:val="32"/>
          <w:szCs w:val="32"/>
        </w:rPr>
        <w:t>1.2  编制依据</w:t>
      </w:r>
      <w:bookmarkEnd w:id="25"/>
      <w:bookmarkEnd w:id="26"/>
    </w:p>
    <w:p>
      <w:pPr>
        <w:pStyle w:val="108"/>
      </w:pPr>
      <w:bookmarkStart w:id="28" w:name="_Toc466449915"/>
      <w:bookmarkStart w:id="29" w:name="_Toc466449862"/>
      <w:bookmarkStart w:id="30" w:name="_Toc466449888"/>
      <w:bookmarkStart w:id="31" w:name="_Toc9873280"/>
      <w:r>
        <w:t>1.2.1  环境保护法律、法规及部门规章</w:t>
      </w:r>
      <w:bookmarkEnd w:id="28"/>
      <w:bookmarkEnd w:id="29"/>
      <w:bookmarkEnd w:id="30"/>
      <w:bookmarkEnd w:id="31"/>
    </w:p>
    <w:p>
      <w:pPr>
        <w:ind w:firstLine="480"/>
        <w:rPr>
          <w:rFonts w:ascii="Times New Roman" w:hAnsi="Times New Roman" w:eastAsiaTheme="minorEastAsia"/>
          <w:sz w:val="24"/>
          <w:szCs w:val="24"/>
        </w:rPr>
      </w:pPr>
      <w:r>
        <w:rPr>
          <w:rFonts w:ascii="Times New Roman" w:hAnsi="Times New Roman" w:eastAsiaTheme="minorEastAsia"/>
          <w:sz w:val="24"/>
          <w:szCs w:val="24"/>
        </w:rPr>
        <w:t>（1）《中华人民共和国环境保护法》</w:t>
      </w:r>
      <w:r>
        <w:rPr>
          <w:rFonts w:ascii="Times New Roman" w:hAnsi="Times New Roman" w:eastAsiaTheme="minorEastAsia"/>
          <w:i/>
          <w:sz w:val="24"/>
          <w:szCs w:val="24"/>
        </w:rPr>
        <w:t>（2015年1月1日）</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（2）</w:t>
      </w:r>
      <w:r>
        <w:rPr>
          <w:rFonts w:ascii="Times New Roman" w:hAnsi="Times New Roman" w:eastAsiaTheme="minorEastAsia"/>
          <w:spacing w:val="8"/>
          <w:sz w:val="24"/>
          <w:szCs w:val="24"/>
          <w:shd w:val="clear" w:color="auto" w:fill="FFFFFF"/>
        </w:rPr>
        <w:t>《中华人民共和国环境影响评价法》（2018年12月29日修订并施行）</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（3）</w:t>
      </w:r>
      <w:r>
        <w:rPr>
          <w:rFonts w:ascii="Times New Roman" w:hAnsi="Times New Roman" w:eastAsiaTheme="minorEastAsia"/>
          <w:spacing w:val="8"/>
          <w:sz w:val="24"/>
          <w:szCs w:val="24"/>
          <w:shd w:val="clear" w:color="auto" w:fill="FFFFFF"/>
        </w:rPr>
        <w:t>《中华人民共和国大气污染防治法》（2018年10月26日修订并施行）</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（4）《中华人民共和国水污染防治法》</w:t>
      </w:r>
      <w:r>
        <w:rPr>
          <w:rFonts w:ascii="Times New Roman" w:hAnsi="Times New Roman" w:eastAsiaTheme="minorEastAsia"/>
          <w:i/>
          <w:sz w:val="24"/>
          <w:szCs w:val="24"/>
        </w:rPr>
        <w:t>（2018年1月1日）</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（5）《中华人民共和国土壤污染防治法》</w:t>
      </w:r>
      <w:r>
        <w:rPr>
          <w:rFonts w:ascii="Times New Roman" w:hAnsi="Times New Roman" w:eastAsiaTheme="minorEastAsia"/>
          <w:i/>
          <w:sz w:val="24"/>
          <w:szCs w:val="24"/>
        </w:rPr>
        <w:t>（2019年1月1日）</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（6）《中华人民共和国固体废物污染环境防治法》</w:t>
      </w:r>
      <w:r>
        <w:rPr>
          <w:rFonts w:ascii="Times New Roman" w:hAnsi="Times New Roman" w:eastAsiaTheme="minorEastAsia"/>
          <w:i/>
          <w:sz w:val="24"/>
          <w:szCs w:val="24"/>
        </w:rPr>
        <w:t>（2005年4月1日）</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（7）</w:t>
      </w:r>
      <w:r>
        <w:rPr>
          <w:rFonts w:ascii="Times New Roman" w:hAnsi="Times New Roman" w:eastAsiaTheme="minorEastAsia"/>
          <w:spacing w:val="8"/>
          <w:sz w:val="24"/>
          <w:szCs w:val="24"/>
          <w:shd w:val="clear" w:color="auto" w:fill="FFFFFF"/>
        </w:rPr>
        <w:t>《中华人民共和国环境噪声污染防治法》（2018年12月29日修订并施行）</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（8）</w:t>
      </w:r>
      <w:r>
        <w:rPr>
          <w:rFonts w:ascii="Times New Roman" w:hAnsi="Times New Roman" w:eastAsiaTheme="minorEastAsia"/>
          <w:spacing w:val="8"/>
          <w:sz w:val="24"/>
          <w:szCs w:val="24"/>
          <w:shd w:val="clear" w:color="auto" w:fill="FFFFFF"/>
        </w:rPr>
        <w:t>《中华人民共和国节约能源法》，2018年10月26日修订并施行</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（9）《中华人民共和国安全生产法》</w:t>
      </w:r>
      <w:r>
        <w:rPr>
          <w:rFonts w:ascii="Times New Roman" w:hAnsi="Times New Roman" w:eastAsiaTheme="minorEastAsia"/>
          <w:i/>
          <w:sz w:val="24"/>
          <w:szCs w:val="24"/>
        </w:rPr>
        <w:t>（2014年12月1日）</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（10）</w:t>
      </w:r>
      <w:r>
        <w:rPr>
          <w:rFonts w:ascii="Times New Roman" w:hAnsi="Times New Roman" w:eastAsiaTheme="minorEastAsia"/>
          <w:spacing w:val="8"/>
          <w:sz w:val="24"/>
          <w:szCs w:val="24"/>
          <w:shd w:val="clear" w:color="auto" w:fill="FFFFFF"/>
        </w:rPr>
        <w:t>《中华人民共和国循环经济促进法》，2018年10月26日修订并施行</w:t>
      </w:r>
      <w:r>
        <w:rPr>
          <w:rFonts w:ascii="Times New Roman" w:hAnsi="Times New Roman" w:eastAsiaTheme="minorEastAsia"/>
          <w:sz w:val="24"/>
          <w:szCs w:val="24"/>
        </w:rPr>
        <w:t>；</w:t>
      </w:r>
    </w:p>
    <w:p>
      <w:pPr>
        <w:ind w:firstLine="480"/>
        <w:rPr>
          <w:rFonts w:ascii="Times New Roman" w:hAnsi="Times New Roman" w:eastAsiaTheme="minorEastAsia"/>
          <w:sz w:val="24"/>
          <w:szCs w:val="24"/>
        </w:rPr>
      </w:pPr>
      <w:r>
        <w:rPr>
          <w:rFonts w:ascii="Times New Roman" w:hAnsi="Times New Roman" w:eastAsiaTheme="minorEastAsia"/>
          <w:sz w:val="24"/>
          <w:szCs w:val="24"/>
        </w:rPr>
        <w:t>（11）《建设项目环境保护管理条例》（</w:t>
      </w:r>
      <w:r>
        <w:rPr>
          <w:rFonts w:ascii="Times New Roman" w:hAnsi="Times New Roman" w:eastAsiaTheme="minorEastAsia"/>
          <w:i/>
          <w:sz w:val="24"/>
          <w:szCs w:val="24"/>
        </w:rPr>
        <w:t>国务院令第682号，</w:t>
      </w:r>
      <w:r>
        <w:rPr>
          <w:rFonts w:ascii="Times New Roman" w:hAnsi="Times New Roman" w:eastAsiaTheme="minorEastAsia"/>
          <w:sz w:val="24"/>
          <w:szCs w:val="24"/>
        </w:rPr>
        <w:t>2017年6月21日修订）；</w:t>
      </w:r>
    </w:p>
    <w:p>
      <w:pPr>
        <w:ind w:firstLine="480"/>
        <w:rPr>
          <w:rFonts w:ascii="Times New Roman" w:hAnsi="Times New Roman" w:eastAsiaTheme="minorEastAsia"/>
          <w:sz w:val="24"/>
          <w:szCs w:val="24"/>
        </w:rPr>
      </w:pPr>
      <w:r>
        <w:rPr>
          <w:rFonts w:ascii="Times New Roman" w:hAnsi="Times New Roman" w:eastAsiaTheme="minorEastAsia"/>
          <w:sz w:val="24"/>
          <w:szCs w:val="24"/>
        </w:rPr>
        <w:t>（12）</w:t>
      </w:r>
      <w:r>
        <w:rPr>
          <w:rFonts w:ascii="Times New Roman" w:hAnsi="Times New Roman" w:eastAsiaTheme="minorEastAsia"/>
          <w:spacing w:val="8"/>
          <w:sz w:val="24"/>
          <w:szCs w:val="24"/>
          <w:shd w:val="clear" w:color="auto" w:fill="FFFFFF"/>
        </w:rPr>
        <w:t>《环境影响评价公众参与办法》（生态环境部 部令 第4号，2019年1月1日起施行）</w:t>
      </w:r>
      <w:r>
        <w:rPr>
          <w:rFonts w:ascii="Times New Roman" w:hAnsi="Times New Roman" w:eastAsiaTheme="minorEastAsia"/>
          <w:sz w:val="24"/>
          <w:szCs w:val="24"/>
        </w:rPr>
        <w:t>；</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（13）《中华人民共和国水污染防治法实施细则》（国务院（2000）第284号令）；</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（14）国家发展与改革委员会《产业结构调整指导目录》（2011年本）（2013年修正）；</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（15）《畜禽养殖业污染防治管理办法》（国家环境保护总局第9号）；</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（16）《畜禽规模养殖污染防治条例》（中华人民共和国国务院令643号）；</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（17）《关于切实加强风险防范严格环境影响评价管理的通知》，环发[2012]98号；</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（18）《中共四川省委四川省人民政府关于进一步加强环境保护工作的决定》（川委发【2004】28号）；</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（19）四川省人民政府《关于加快发展循环经济的实施意见》（2005年12月28日）；</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（20）关于印发《&lt;水污染防治行动计划四川省工作方案&gt;2018年度实施方案》的通知（川污防“三大战役”办〔2018〕24号）；</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（21）四川省人民政府办公厅《关于印发&lt;四川省大气污染防治行动计划实施细则2017年度实施计划&gt;的通知》（川办函〔2017〕102号）；</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（22）农业部办公厅关于印发《畜禽规模养殖场粪污资源化利用设施建设规范（试行）的通知》（农业部2018年1月12日）；</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（23）《关于做好畜禽规模养殖项目环境影响评价管理工作的通知》（环办环评[2018]31号）；</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（24））四川省农业厅、四川省环境保护</w:t>
      </w:r>
      <w:r>
        <w:rPr>
          <w:rFonts w:ascii="Times New Roman" w:hAnsi="Times New Roman" w:eastAsiaTheme="minorEastAsia"/>
          <w:bCs/>
          <w:sz w:val="24"/>
          <w:szCs w:val="24"/>
        </w:rPr>
        <w:t>《四川省畜禽养殖污染防治技术指南（试行）》（川农业函[2017]647号）</w:t>
      </w:r>
      <w:r>
        <w:rPr>
          <w:rFonts w:ascii="Times New Roman" w:hAnsi="Times New Roman" w:eastAsiaTheme="minorEastAsia"/>
          <w:sz w:val="24"/>
          <w:szCs w:val="24"/>
        </w:rPr>
        <w:t>；</w:t>
      </w:r>
    </w:p>
    <w:p>
      <w:pPr>
        <w:ind w:firstLine="480" w:firstLineChars="200"/>
        <w:rPr>
          <w:rFonts w:ascii="Times New Roman" w:hAnsi="Times New Roman" w:eastAsiaTheme="minorEastAsia"/>
          <w:bCs/>
          <w:sz w:val="24"/>
          <w:szCs w:val="24"/>
        </w:rPr>
      </w:pPr>
      <w:r>
        <w:rPr>
          <w:rFonts w:ascii="Times New Roman" w:hAnsi="Times New Roman" w:eastAsiaTheme="minorEastAsia"/>
          <w:sz w:val="24"/>
          <w:szCs w:val="24"/>
        </w:rPr>
        <w:t>（25）邛崃市农业和林业局《关于印发2016年PPP模式推进畜禽粪污综合利用试点项目实施指导意见》的通知；</w:t>
      </w:r>
      <w:r>
        <w:rPr>
          <w:rFonts w:ascii="Times New Roman" w:hAnsi="Times New Roman" w:eastAsiaTheme="minorEastAsia"/>
          <w:bCs/>
          <w:sz w:val="24"/>
          <w:szCs w:val="24"/>
        </w:rPr>
        <w:t xml:space="preserve"> </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（26）邛崃市农业和林业局、邛崃市环保局《关于进一步加强规模养殖场养殖污染治理管理的意见》（邛农林函[2016]379）。</w:t>
      </w:r>
    </w:p>
    <w:p>
      <w:pPr>
        <w:pStyle w:val="108"/>
      </w:pPr>
      <w:bookmarkStart w:id="32" w:name="_Toc466449892"/>
      <w:bookmarkStart w:id="33" w:name="_Toc466449919"/>
      <w:bookmarkStart w:id="34" w:name="_Toc9873281"/>
      <w:bookmarkStart w:id="35" w:name="_Toc466449866"/>
      <w:r>
        <w:t>1.2.2  技术规范</w:t>
      </w:r>
      <w:bookmarkEnd w:id="32"/>
      <w:bookmarkEnd w:id="33"/>
      <w:bookmarkEnd w:id="34"/>
      <w:bookmarkEnd w:id="35"/>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（1）《环境影响评价技术导则总纲》（</w:t>
      </w:r>
      <w:r>
        <w:rPr>
          <w:rFonts w:ascii="Times New Roman" w:hAnsi="Times New Roman" w:cs="Times New Roman" w:eastAsiaTheme="minorEastAsia"/>
          <w:i/>
          <w:snapToGrid w:val="0"/>
        </w:rPr>
        <w:t>HJ2.1-2016</w:t>
      </w:r>
      <w:r>
        <w:rPr>
          <w:rFonts w:ascii="Times New Roman" w:hAnsi="Times New Roman" w:cs="Times New Roman" w:eastAsiaTheme="minorEastAsia"/>
          <w:snapToGrid w:val="0"/>
        </w:rPr>
        <w:t>）</w:t>
      </w:r>
      <w:r>
        <w:rPr>
          <w:rFonts w:ascii="Times New Roman" w:hAnsi="Times New Roman" w:cs="Times New Roman" w:eastAsiaTheme="minorEastAsia"/>
        </w:rPr>
        <w:t>；</w:t>
      </w:r>
    </w:p>
    <w:p>
      <w:pPr>
        <w:pStyle w:val="118"/>
        <w:widowControl w:val="0"/>
        <w:snapToGrid w:val="0"/>
        <w:spacing w:line="480" w:lineRule="exact"/>
        <w:ind w:firstLine="480"/>
        <w:rPr>
          <w:rFonts w:ascii="Times New Roman" w:hAnsi="Times New Roman" w:cs="Times New Roman" w:eastAsiaTheme="minorEastAsia"/>
          <w:snapToGrid w:val="0"/>
        </w:rPr>
      </w:pPr>
      <w:r>
        <w:rPr>
          <w:rFonts w:ascii="Times New Roman" w:hAnsi="Times New Roman" w:cs="Times New Roman" w:eastAsiaTheme="minorEastAsia"/>
        </w:rPr>
        <w:t>（2）</w:t>
      </w:r>
      <w:r>
        <w:rPr>
          <w:rFonts w:ascii="Times New Roman" w:hAnsi="Times New Roman" w:cs="Times New Roman" w:eastAsiaTheme="minorEastAsia"/>
          <w:snapToGrid w:val="0"/>
        </w:rPr>
        <w:t>《环境影响评价技术导则  大气环境》（</w:t>
      </w:r>
      <w:r>
        <w:rPr>
          <w:rFonts w:ascii="Times New Roman" w:hAnsi="Times New Roman" w:cs="Times New Roman" w:eastAsiaTheme="minorEastAsia"/>
          <w:i/>
          <w:snapToGrid w:val="0"/>
        </w:rPr>
        <w:t>HJ2.2-2018</w:t>
      </w:r>
      <w:r>
        <w:rPr>
          <w:rFonts w:ascii="Times New Roman" w:hAnsi="Times New Roman" w:cs="Times New Roman" w:eastAsiaTheme="minorEastAsia"/>
          <w:snapToGrid w:val="0"/>
        </w:rPr>
        <w:t>）；</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（3）</w:t>
      </w:r>
      <w:r>
        <w:rPr>
          <w:rFonts w:ascii="Times New Roman" w:hAnsi="Times New Roman" w:cs="Times New Roman" w:eastAsiaTheme="minorEastAsia"/>
          <w:spacing w:val="8"/>
          <w:shd w:val="clear" w:color="auto" w:fill="FFFFFF"/>
        </w:rPr>
        <w:t>《环境影响评价技术导则  地表水环境》（HJ2.3-2018），自2019年3月1日起实施</w:t>
      </w:r>
      <w:r>
        <w:rPr>
          <w:rFonts w:ascii="Times New Roman" w:hAnsi="Times New Roman" w:cs="Times New Roman" w:eastAsiaTheme="minorEastAsia"/>
        </w:rPr>
        <w:t>；</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（4）《环境影响评价技术导则-地下水环境》（HJ610-2016）；</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（5）《环境影响评价技术导则-声环境》（HJ2.4-2009）；</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（6）《环境影响评价技术导则-生态影响》（HJ19-2011）；</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（7）《畜禽场环境质量评价准则》（GB/T 19525.2-2004）；</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（8）《畜禽养殖产地环境评价规范》（HJ568-2010）；</w:t>
      </w:r>
    </w:p>
    <w:p>
      <w:pPr>
        <w:pStyle w:val="118"/>
        <w:widowControl w:val="0"/>
        <w:snapToGrid w:val="0"/>
        <w:spacing w:line="480" w:lineRule="exact"/>
        <w:ind w:firstLine="480"/>
        <w:rPr>
          <w:rFonts w:ascii="Times New Roman" w:hAnsi="Times New Roman" w:cs="Times New Roman" w:eastAsiaTheme="minorEastAsia"/>
        </w:rPr>
      </w:pPr>
      <w:r>
        <w:rPr>
          <w:rFonts w:ascii="Times New Roman" w:hAnsi="Times New Roman" w:cs="Times New Roman" w:eastAsiaTheme="minorEastAsia"/>
        </w:rPr>
        <w:t>（9）</w:t>
      </w:r>
      <w:r>
        <w:rPr>
          <w:rFonts w:ascii="Times New Roman" w:hAnsi="Times New Roman" w:cs="Times New Roman" w:eastAsiaTheme="minorEastAsia"/>
          <w:spacing w:val="8"/>
          <w:shd w:val="clear" w:color="auto" w:fill="FFFFFF"/>
        </w:rPr>
        <w:t>《建设项目环境风险评价技术导则》（HJ169-2018）</w:t>
      </w:r>
      <w:r>
        <w:rPr>
          <w:rFonts w:ascii="Times New Roman" w:hAnsi="Times New Roman" w:cs="Times New Roman" w:eastAsiaTheme="minorEastAsia"/>
        </w:rPr>
        <w:t>。</w:t>
      </w:r>
    </w:p>
    <w:p>
      <w:pPr>
        <w:pStyle w:val="108"/>
      </w:pPr>
      <w:bookmarkStart w:id="36" w:name="_Toc9873282"/>
      <w:r>
        <w:t>1.2.3  行业规范</w:t>
      </w:r>
      <w:bookmarkEnd w:id="36"/>
    </w:p>
    <w:p>
      <w:pPr>
        <w:ind w:left="480"/>
        <w:rPr>
          <w:rFonts w:ascii="Times New Roman" w:hAnsi="Times New Roman" w:eastAsiaTheme="minorEastAsia"/>
          <w:sz w:val="24"/>
          <w:szCs w:val="24"/>
        </w:rPr>
      </w:pPr>
      <w:r>
        <w:rPr>
          <w:rFonts w:ascii="Times New Roman" w:hAnsi="Times New Roman" w:eastAsiaTheme="minorEastAsia"/>
          <w:sz w:val="24"/>
          <w:szCs w:val="24"/>
        </w:rPr>
        <w:t>（1）《畜禽养殖业污染防治技术政策》，环发[2010]151号；</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（2）《畜禽规模养殖污染防治条例》（国务院令第643条）</w:t>
      </w:r>
    </w:p>
    <w:p>
      <w:pPr>
        <w:ind w:firstLine="480" w:firstLineChars="200"/>
        <w:rPr>
          <w:rFonts w:ascii="Times New Roman" w:hAnsi="Times New Roman" w:eastAsiaTheme="minorEastAsia"/>
          <w:bCs/>
          <w:sz w:val="24"/>
        </w:rPr>
      </w:pPr>
      <w:r>
        <w:rPr>
          <w:rFonts w:ascii="Times New Roman" w:hAnsi="Times New Roman" w:eastAsiaTheme="minorEastAsia"/>
          <w:bCs/>
          <w:sz w:val="24"/>
        </w:rPr>
        <w:t>（3）《畜禽养殖业污染防治技术规范》（HJ/T81-2001）；</w:t>
      </w:r>
    </w:p>
    <w:p>
      <w:pPr>
        <w:ind w:firstLine="480" w:firstLineChars="200"/>
        <w:rPr>
          <w:rFonts w:ascii="Times New Roman" w:hAnsi="Times New Roman" w:eastAsiaTheme="minorEastAsia"/>
          <w:bCs/>
          <w:sz w:val="24"/>
        </w:rPr>
      </w:pPr>
      <w:r>
        <w:rPr>
          <w:rFonts w:ascii="Times New Roman" w:hAnsi="Times New Roman" w:eastAsiaTheme="minorEastAsia"/>
          <w:bCs/>
          <w:sz w:val="24"/>
        </w:rPr>
        <w:t>（4）《畜禽养殖污染防治管理办法》（国家环保总局令2001年3月）；</w:t>
      </w:r>
    </w:p>
    <w:p>
      <w:pPr>
        <w:ind w:firstLine="480" w:firstLineChars="200"/>
        <w:rPr>
          <w:rFonts w:ascii="Times New Roman" w:hAnsi="Times New Roman" w:eastAsiaTheme="minorEastAsia"/>
          <w:bCs/>
          <w:sz w:val="24"/>
        </w:rPr>
      </w:pPr>
      <w:r>
        <w:rPr>
          <w:rFonts w:ascii="Times New Roman" w:hAnsi="Times New Roman" w:eastAsiaTheme="minorEastAsia"/>
          <w:bCs/>
          <w:sz w:val="24"/>
        </w:rPr>
        <w:t>（5）《畜禽养殖业污染治理工程技术规范》（HJ 497－2009）；</w:t>
      </w:r>
    </w:p>
    <w:p>
      <w:pPr>
        <w:ind w:firstLine="480" w:firstLineChars="200"/>
        <w:rPr>
          <w:rFonts w:ascii="Times New Roman" w:hAnsi="Times New Roman" w:eastAsiaTheme="minorEastAsia"/>
          <w:bCs/>
          <w:sz w:val="24"/>
        </w:rPr>
      </w:pPr>
      <w:r>
        <w:rPr>
          <w:rFonts w:ascii="Times New Roman" w:hAnsi="Times New Roman" w:eastAsiaTheme="minorEastAsia"/>
          <w:bCs/>
          <w:sz w:val="24"/>
        </w:rPr>
        <w:t>（6）《畜禽粪便无害化处理技术规范》（NY/T1168-2006）；</w:t>
      </w:r>
    </w:p>
    <w:p>
      <w:pPr>
        <w:ind w:firstLine="480" w:firstLineChars="200"/>
        <w:rPr>
          <w:rFonts w:ascii="Times New Roman" w:hAnsi="Times New Roman" w:eastAsiaTheme="minorEastAsia"/>
          <w:bCs/>
          <w:sz w:val="24"/>
        </w:rPr>
      </w:pPr>
      <w:r>
        <w:rPr>
          <w:rFonts w:ascii="Times New Roman" w:hAnsi="Times New Roman" w:eastAsiaTheme="minorEastAsia"/>
          <w:bCs/>
          <w:sz w:val="24"/>
        </w:rPr>
        <w:t>（7）《重大动物疫情应急条例》 2005年11月；</w:t>
      </w:r>
    </w:p>
    <w:p>
      <w:pPr>
        <w:ind w:firstLine="480" w:firstLineChars="200"/>
        <w:rPr>
          <w:rFonts w:ascii="Times New Roman" w:hAnsi="Times New Roman" w:eastAsiaTheme="minorEastAsia"/>
          <w:bCs/>
          <w:sz w:val="24"/>
        </w:rPr>
      </w:pPr>
      <w:r>
        <w:rPr>
          <w:rFonts w:ascii="Times New Roman" w:hAnsi="Times New Roman" w:eastAsiaTheme="minorEastAsia"/>
          <w:bCs/>
          <w:sz w:val="24"/>
        </w:rPr>
        <w:t>（8）农业部 到2020年化肥使用量零增长行动方案；</w:t>
      </w:r>
    </w:p>
    <w:p>
      <w:pPr>
        <w:ind w:firstLine="480" w:firstLineChars="200"/>
        <w:rPr>
          <w:rFonts w:ascii="Times New Roman" w:hAnsi="Times New Roman" w:eastAsiaTheme="minorEastAsia"/>
          <w:sz w:val="24"/>
        </w:rPr>
      </w:pPr>
      <w:r>
        <w:rPr>
          <w:rFonts w:ascii="Times New Roman" w:hAnsi="Times New Roman" w:eastAsiaTheme="minorEastAsia"/>
          <w:bCs/>
          <w:sz w:val="24"/>
        </w:rPr>
        <w:t>（9）</w:t>
      </w:r>
      <w:r>
        <w:rPr>
          <w:rFonts w:ascii="Times New Roman" w:hAnsi="Times New Roman" w:eastAsiaTheme="minorEastAsia"/>
          <w:sz w:val="24"/>
        </w:rPr>
        <w:t>成都市加快推进畜禽养殖废弃物资源化利用工作方案；</w:t>
      </w:r>
    </w:p>
    <w:p>
      <w:pPr>
        <w:ind w:firstLine="480" w:firstLineChars="200"/>
        <w:rPr>
          <w:rFonts w:ascii="Times New Roman" w:hAnsi="Times New Roman" w:eastAsiaTheme="minorEastAsia"/>
          <w:bCs/>
          <w:sz w:val="24"/>
        </w:rPr>
      </w:pPr>
      <w:r>
        <w:rPr>
          <w:rFonts w:ascii="Times New Roman" w:hAnsi="Times New Roman" w:eastAsiaTheme="minorEastAsia"/>
          <w:sz w:val="24"/>
        </w:rPr>
        <w:t>（10）农业部办公厅关于印发《畜禽规模养殖场粪污资源化利用设施建设规范（试行）的通知》（2018年1月12日）。</w:t>
      </w:r>
    </w:p>
    <w:p>
      <w:pPr>
        <w:pStyle w:val="108"/>
      </w:pPr>
      <w:bookmarkStart w:id="37" w:name="_Toc9873283"/>
      <w:r>
        <w:t>1.2.4 本项目相关文件和资料</w:t>
      </w:r>
      <w:bookmarkEnd w:id="37"/>
    </w:p>
    <w:p>
      <w:pPr>
        <w:spacing w:line="480" w:lineRule="exact"/>
        <w:ind w:firstLine="480" w:firstLineChars="200"/>
        <w:rPr>
          <w:rFonts w:ascii="Times New Roman" w:hAnsi="Times New Roman"/>
          <w:bCs/>
          <w:sz w:val="24"/>
          <w:szCs w:val="24"/>
        </w:rPr>
      </w:pPr>
      <w:r>
        <w:rPr>
          <w:rFonts w:ascii="Times New Roman" w:hAnsi="Times New Roman"/>
          <w:bCs/>
          <w:sz w:val="24"/>
          <w:szCs w:val="24"/>
        </w:rPr>
        <w:t>（1）项目环境影响评价委托书；</w:t>
      </w:r>
    </w:p>
    <w:p>
      <w:pPr>
        <w:spacing w:line="480" w:lineRule="exact"/>
        <w:ind w:firstLine="480" w:firstLineChars="200"/>
        <w:rPr>
          <w:rFonts w:ascii="Times New Roman" w:hAnsi="Times New Roman"/>
          <w:bCs/>
          <w:iCs/>
          <w:sz w:val="24"/>
        </w:rPr>
      </w:pPr>
      <w:r>
        <w:rPr>
          <w:rFonts w:ascii="Times New Roman" w:hAnsi="Times New Roman"/>
          <w:bCs/>
          <w:sz w:val="24"/>
          <w:szCs w:val="24"/>
        </w:rPr>
        <w:t>（2）邛崃市发展和改革局企业项目备案通知书（</w:t>
      </w:r>
      <w:r>
        <w:rPr>
          <w:rFonts w:ascii="Times New Roman" w:hAnsi="Times New Roman"/>
          <w:bCs/>
          <w:iCs/>
          <w:sz w:val="24"/>
        </w:rPr>
        <w:t>川投资备[2018-510183-03-</w:t>
      </w:r>
    </w:p>
    <w:p>
      <w:pPr>
        <w:spacing w:line="480" w:lineRule="exact"/>
        <w:rPr>
          <w:rFonts w:ascii="Times New Roman" w:hAnsi="Times New Roman"/>
          <w:bCs/>
          <w:sz w:val="24"/>
          <w:szCs w:val="24"/>
        </w:rPr>
      </w:pPr>
      <w:r>
        <w:rPr>
          <w:rFonts w:ascii="Times New Roman" w:hAnsi="Times New Roman"/>
          <w:bCs/>
          <w:iCs/>
          <w:sz w:val="24"/>
        </w:rPr>
        <w:t>03-311051]FGQB-0274号</w:t>
      </w:r>
      <w:r>
        <w:rPr>
          <w:rFonts w:ascii="Times New Roman" w:hAnsi="Times New Roman"/>
          <w:bCs/>
          <w:sz w:val="24"/>
          <w:szCs w:val="24"/>
        </w:rPr>
        <w:t>）；</w:t>
      </w:r>
    </w:p>
    <w:p>
      <w:pPr>
        <w:spacing w:line="480" w:lineRule="exact"/>
        <w:ind w:firstLine="480" w:firstLineChars="200"/>
        <w:rPr>
          <w:rFonts w:ascii="Times New Roman" w:hAnsi="Times New Roman"/>
          <w:sz w:val="24"/>
          <w:szCs w:val="24"/>
        </w:rPr>
      </w:pPr>
      <w:r>
        <w:rPr>
          <w:rFonts w:ascii="Times New Roman" w:hAnsi="Times New Roman"/>
          <w:sz w:val="24"/>
          <w:szCs w:val="24"/>
        </w:rPr>
        <w:t>（3）邛崃市设施农用地备案通知书（邛设施[2016]第006号）；</w:t>
      </w:r>
    </w:p>
    <w:p>
      <w:pPr>
        <w:spacing w:line="480" w:lineRule="exact"/>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项目可行性研究报告及工程技术资料；</w:t>
      </w:r>
    </w:p>
    <w:p>
      <w:pPr>
        <w:spacing w:line="480" w:lineRule="exact"/>
        <w:ind w:firstLine="480" w:firstLineChars="200"/>
        <w:rPr>
          <w:rFonts w:ascii="Times New Roman" w:hAnsi="Times New Roman"/>
          <w:sz w:val="24"/>
          <w:szCs w:val="24"/>
        </w:rPr>
      </w:pPr>
      <w:r>
        <w:rPr>
          <w:rFonts w:ascii="Times New Roman" w:hAnsi="Times New Roman"/>
          <w:sz w:val="24"/>
          <w:szCs w:val="24"/>
        </w:rPr>
        <w:t>（5）《成都旺江农牧科技有限公司突发环境事件应急预案》；</w:t>
      </w:r>
    </w:p>
    <w:p>
      <w:pPr>
        <w:spacing w:line="480" w:lineRule="exact"/>
        <w:ind w:firstLine="480" w:firstLineChars="200"/>
        <w:rPr>
          <w:rFonts w:ascii="Times New Roman" w:hAnsi="Times New Roman"/>
          <w:sz w:val="24"/>
          <w:szCs w:val="24"/>
        </w:rPr>
      </w:pPr>
      <w:r>
        <w:rPr>
          <w:rFonts w:ascii="Times New Roman" w:hAnsi="Times New Roman"/>
          <w:sz w:val="24"/>
          <w:szCs w:val="24"/>
        </w:rPr>
        <w:t>（6）成都市医疗废物集中处置服务协议；</w:t>
      </w:r>
    </w:p>
    <w:p>
      <w:pPr>
        <w:spacing w:line="480" w:lineRule="exact"/>
        <w:ind w:firstLine="480" w:firstLineChars="200"/>
        <w:rPr>
          <w:rFonts w:ascii="Times New Roman" w:hAnsi="Times New Roman"/>
          <w:sz w:val="24"/>
          <w:szCs w:val="24"/>
        </w:rPr>
      </w:pPr>
      <w:r>
        <w:rPr>
          <w:rFonts w:ascii="Times New Roman" w:hAnsi="Times New Roman"/>
          <w:sz w:val="24"/>
          <w:szCs w:val="24"/>
        </w:rPr>
        <w:t>（7）猪粪供应协议书；</w:t>
      </w:r>
    </w:p>
    <w:p>
      <w:pPr>
        <w:spacing w:line="480" w:lineRule="exact"/>
        <w:ind w:firstLine="480" w:firstLineChars="200"/>
        <w:rPr>
          <w:rFonts w:ascii="Times New Roman" w:hAnsi="Times New Roman"/>
          <w:sz w:val="24"/>
          <w:szCs w:val="24"/>
        </w:rPr>
      </w:pPr>
      <w:r>
        <w:rPr>
          <w:rFonts w:ascii="Times New Roman" w:hAnsi="Times New Roman"/>
          <w:sz w:val="24"/>
          <w:szCs w:val="24"/>
        </w:rPr>
        <w:t>（8）无害化处置协议；</w:t>
      </w:r>
    </w:p>
    <w:p>
      <w:pPr>
        <w:spacing w:line="480" w:lineRule="exact"/>
        <w:ind w:firstLine="480" w:firstLineChars="200"/>
        <w:rPr>
          <w:rFonts w:ascii="Times New Roman" w:hAnsi="Times New Roman"/>
          <w:sz w:val="24"/>
          <w:szCs w:val="24"/>
        </w:rPr>
      </w:pPr>
      <w:r>
        <w:rPr>
          <w:rFonts w:ascii="Times New Roman" w:hAnsi="Times New Roman"/>
          <w:sz w:val="24"/>
          <w:szCs w:val="24"/>
        </w:rPr>
        <w:t>（9）成都市餐饮行业餐厨废弃油脂回收合同。</w:t>
      </w:r>
    </w:p>
    <w:p>
      <w:pPr>
        <w:pStyle w:val="103"/>
        <w:numPr>
          <w:ilvl w:val="0"/>
          <w:numId w:val="0"/>
        </w:numPr>
        <w:rPr>
          <w:rFonts w:ascii="Times New Roman" w:hAnsi="Times New Roman"/>
          <w:b w:val="0"/>
          <w:bCs/>
          <w:kern w:val="28"/>
          <w:sz w:val="32"/>
          <w:szCs w:val="32"/>
        </w:rPr>
      </w:pPr>
      <w:bookmarkStart w:id="38" w:name="_Toc466449934"/>
      <w:bookmarkStart w:id="39" w:name="_Toc9873284"/>
      <w:r>
        <w:rPr>
          <w:rFonts w:ascii="Times New Roman" w:hAnsi="Times New Roman"/>
          <w:b w:val="0"/>
          <w:bCs/>
          <w:kern w:val="28"/>
          <w:sz w:val="32"/>
          <w:szCs w:val="32"/>
        </w:rPr>
        <w:t>1.3  产业政策及规划符合性</w:t>
      </w:r>
      <w:bookmarkEnd w:id="38"/>
      <w:bookmarkEnd w:id="39"/>
    </w:p>
    <w:p>
      <w:pPr>
        <w:pStyle w:val="108"/>
      </w:pPr>
      <w:bookmarkStart w:id="40" w:name="_Toc9873285"/>
      <w:r>
        <w:t>1.3.1 产业政策符合性分析</w:t>
      </w:r>
      <w:bookmarkEnd w:id="40"/>
    </w:p>
    <w:p>
      <w:pPr>
        <w:ind w:firstLine="480" w:firstLineChars="200"/>
        <w:rPr>
          <w:rFonts w:ascii="Times New Roman" w:hAnsi="Times New Roman"/>
          <w:sz w:val="24"/>
        </w:rPr>
      </w:pPr>
      <w:r>
        <w:rPr>
          <w:rFonts w:ascii="Times New Roman" w:hAnsi="Times New Roman"/>
          <w:sz w:val="24"/>
        </w:rPr>
        <w:t>本项目为旺江农牧冉义现代化生猪养殖基地二期建设项目，根据《产业结构调整指导目录（2011 年本）》（2013 年修正），生猪养殖项目属于“第一类鼓励类”“一、农林业”中的 “5、畜禽标准化规模养殖技术开发与应用”。</w:t>
      </w:r>
    </w:p>
    <w:p>
      <w:pPr>
        <w:ind w:firstLine="480" w:firstLineChars="200"/>
        <w:rPr>
          <w:rFonts w:ascii="Times New Roman" w:hAnsi="Times New Roman"/>
          <w:sz w:val="24"/>
        </w:rPr>
      </w:pPr>
      <w:r>
        <w:rPr>
          <w:rFonts w:ascii="Times New Roman" w:hAnsi="Times New Roman"/>
          <w:sz w:val="24"/>
        </w:rPr>
        <w:t>2018年11月，本项目取得了邛崃市发展和改革局出具的《四川省固定资产投资项目备案表》（川投资备【2018-510183-03-03-311051】FGQB-0274号）。</w:t>
      </w:r>
    </w:p>
    <w:p>
      <w:pPr>
        <w:spacing w:line="480" w:lineRule="exact"/>
        <w:ind w:firstLine="480" w:firstLineChars="200"/>
        <w:rPr>
          <w:rFonts w:ascii="Times New Roman" w:hAnsi="Times New Roman"/>
          <w:sz w:val="24"/>
          <w:szCs w:val="24"/>
        </w:rPr>
      </w:pPr>
      <w:r>
        <w:rPr>
          <w:rFonts w:ascii="Times New Roman" w:hAnsi="Times New Roman"/>
          <w:sz w:val="24"/>
        </w:rPr>
        <w:t>因此，本项目与国家现行产业政策相符。</w:t>
      </w:r>
    </w:p>
    <w:bookmarkEnd w:id="27"/>
    <w:p>
      <w:pPr>
        <w:pStyle w:val="108"/>
      </w:pPr>
      <w:bookmarkStart w:id="41" w:name="_Toc9873286"/>
      <w:r>
        <w:t>1.3.2 与相关规划符合性分析</w:t>
      </w:r>
      <w:bookmarkEnd w:id="41"/>
    </w:p>
    <w:p>
      <w:pPr>
        <w:pStyle w:val="104"/>
      </w:pPr>
      <w:r>
        <w:t>1.3.2.1  与《成都市现代农业发展规划（2010—2020）》的符合性</w:t>
      </w:r>
    </w:p>
    <w:p>
      <w:pPr>
        <w:snapToGrid w:val="0"/>
        <w:ind w:firstLine="465"/>
        <w:rPr>
          <w:rFonts w:ascii="Times New Roman" w:hAnsi="Times New Roman"/>
          <w:sz w:val="24"/>
          <w:szCs w:val="24"/>
        </w:rPr>
      </w:pPr>
      <w:r>
        <w:rPr>
          <w:rFonts w:ascii="Times New Roman" w:hAnsi="Times New Roman"/>
          <w:sz w:val="24"/>
          <w:szCs w:val="24"/>
        </w:rPr>
        <w:t>根据《成都市现代农业发展规划（2010—2020）》，成都市畜禽养殖业发展目标——到2015年，实现生猪存栏400万头，出栏1000万头；家禽存栏4500万只，出栏1亿只；到2020年，实现生猪存栏300万头，出栏800万头；家禽存栏3000万只，出栏8000万只。</w:t>
      </w:r>
    </w:p>
    <w:p>
      <w:pPr>
        <w:snapToGrid w:val="0"/>
        <w:ind w:firstLine="465"/>
        <w:rPr>
          <w:rFonts w:ascii="Times New Roman" w:hAnsi="Times New Roman"/>
          <w:sz w:val="24"/>
          <w:szCs w:val="24"/>
        </w:rPr>
      </w:pPr>
      <w:r>
        <w:rPr>
          <w:rFonts w:ascii="Times New Roman" w:hAnsi="Times New Roman"/>
          <w:sz w:val="24"/>
          <w:szCs w:val="24"/>
        </w:rPr>
        <w:t>发展方向——推进规模化健康养殖，推动生猪、家禽养殖小区建设；推动生猪、家禽及水产养殖向成都都市经济圈的合作地区转移；提升养殖业疫病防控水平；严格控制养殖业污染，引进先进养殖技术，实现养殖业污染物“零排放”；建立完善生猪、家禽、水产等质量安全可追溯体系，满足人民群众对优质、安全畜禽产品的需求。</w:t>
      </w:r>
    </w:p>
    <w:p>
      <w:pPr>
        <w:snapToGrid w:val="0"/>
        <w:ind w:firstLine="465"/>
        <w:rPr>
          <w:rFonts w:ascii="Times New Roman" w:hAnsi="Times New Roman"/>
          <w:sz w:val="24"/>
          <w:szCs w:val="24"/>
        </w:rPr>
      </w:pPr>
      <w:r>
        <w:rPr>
          <w:rFonts w:ascii="Times New Roman" w:hAnsi="Times New Roman"/>
          <w:sz w:val="24"/>
          <w:szCs w:val="24"/>
        </w:rPr>
        <w:t>生猪养殖规划布局——生猪产业主要布局在青白江区、新都区、都江堰市、彭州市、</w:t>
      </w:r>
      <w:r>
        <w:rPr>
          <w:rFonts w:ascii="Times New Roman" w:hAnsi="Times New Roman"/>
          <w:b/>
          <w:sz w:val="24"/>
          <w:szCs w:val="24"/>
        </w:rPr>
        <w:t>邛崃市</w:t>
      </w:r>
      <w:r>
        <w:rPr>
          <w:rFonts w:ascii="Times New Roman" w:hAnsi="Times New Roman"/>
          <w:sz w:val="24"/>
          <w:szCs w:val="24"/>
        </w:rPr>
        <w:t>、崇州市、金堂县、双流县、大邑县、蒲江县、新津县；三大纯外血优良种猪繁育基地主要布局在邛崃市、双流县、大邑县。</w:t>
      </w:r>
    </w:p>
    <w:p>
      <w:pPr>
        <w:snapToGrid w:val="0"/>
        <w:ind w:firstLine="465"/>
        <w:rPr>
          <w:rFonts w:ascii="Times New Roman" w:hAnsi="Times New Roman"/>
          <w:sz w:val="24"/>
          <w:szCs w:val="24"/>
        </w:rPr>
      </w:pPr>
      <w:r>
        <w:rPr>
          <w:rFonts w:ascii="Times New Roman" w:hAnsi="Times New Roman"/>
          <w:sz w:val="24"/>
          <w:szCs w:val="24"/>
        </w:rPr>
        <w:t>本项目选址邛崃市，属于成都市规划的生猪养殖发展区，生猪养殖属成都市鼓励发展养殖项目，同时本项目选择的猪只品种符合规划推荐的优势品种，污染物处置方式也为该规划中养殖发展方向，即污染物循环利用，不直接排放于环境。</w:t>
      </w:r>
    </w:p>
    <w:p>
      <w:pPr>
        <w:snapToGrid w:val="0"/>
        <w:ind w:firstLine="465"/>
        <w:rPr>
          <w:rFonts w:ascii="Times New Roman" w:hAnsi="Times New Roman"/>
          <w:sz w:val="24"/>
          <w:szCs w:val="24"/>
        </w:rPr>
      </w:pPr>
      <w:r>
        <w:rPr>
          <w:rFonts w:ascii="Times New Roman" w:hAnsi="Times New Roman"/>
          <w:sz w:val="24"/>
          <w:szCs w:val="24"/>
        </w:rPr>
        <w:t>综上分析，与《成都市现代农业发展规划（2010—2020）》相符。</w:t>
      </w:r>
    </w:p>
    <w:p>
      <w:pPr>
        <w:pStyle w:val="104"/>
      </w:pPr>
      <w:r>
        <w:t>1.3.2.2  与邛崃市十三五规划的符合性</w:t>
      </w:r>
    </w:p>
    <w:p>
      <w:pPr>
        <w:ind w:firstLine="480"/>
        <w:contextualSpacing/>
        <w:rPr>
          <w:rFonts w:ascii="Times New Roman" w:hAnsi="Times New Roman"/>
          <w:sz w:val="24"/>
          <w:szCs w:val="24"/>
        </w:rPr>
      </w:pPr>
      <w:r>
        <w:rPr>
          <w:rFonts w:ascii="Times New Roman" w:hAnsi="Times New Roman"/>
          <w:sz w:val="24"/>
          <w:szCs w:val="24"/>
        </w:rPr>
        <w:t>《邛崃市国民经济和社会发展第十三个五年规划纲要》中指出，邛崃市应加快发展现代优质农业，加强农业品牌化提升。依托“邛崃黑猪”、“邛崃黑茶”、“邛酒”3个地理标志保护产品，通过公共品牌塑造培育，开展农业品牌推介营销和社会宣传，着力打造一批有影响力、有文化内涵的农业品牌，提升增值空间。鼓励龙头企业开展商标注册，加大商标保护意识和品牌培育力度，做响、做亮农业特色优势品牌。探索创新农业经营方式，提升完善“两主体、四中心”粮食经营模式，推进畜牧养殖标准化基地建设。</w:t>
      </w:r>
    </w:p>
    <w:p>
      <w:pPr>
        <w:ind w:firstLine="465"/>
        <w:contextualSpacing/>
        <w:rPr>
          <w:rFonts w:ascii="Times New Roman" w:hAnsi="Times New Roman"/>
          <w:sz w:val="24"/>
          <w:szCs w:val="24"/>
        </w:rPr>
      </w:pPr>
      <w:r>
        <w:rPr>
          <w:rFonts w:ascii="Times New Roman" w:hAnsi="Times New Roman"/>
          <w:sz w:val="24"/>
          <w:szCs w:val="24"/>
        </w:rPr>
        <w:t>邛崃市重点农业产业园区及多个农业示范基地，引进优良猪种，采用优质饲料，年出栏商品猪3万头。项目的建设有利于推广邛崃生猪养殖的发展，并提高邛崃生猪品牌，项目建设与邛崃市十三五规划相符。</w:t>
      </w:r>
    </w:p>
    <w:p>
      <w:pPr>
        <w:pStyle w:val="104"/>
      </w:pPr>
      <w:r>
        <w:t>1.3.2.3  与《冉义镇万亩高标准农田新型社区规划》的符合性</w:t>
      </w:r>
    </w:p>
    <w:p>
      <w:pPr>
        <w:spacing w:line="460" w:lineRule="exact"/>
        <w:ind w:firstLine="480" w:firstLineChars="200"/>
        <w:rPr>
          <w:rFonts w:ascii="Times New Roman" w:hAnsi="Times New Roman"/>
          <w:sz w:val="24"/>
          <w:shd w:val="clear" w:color="auto" w:fill="FFFFFF"/>
        </w:rPr>
      </w:pPr>
      <w:r>
        <w:rPr>
          <w:rFonts w:ascii="Times New Roman" w:hAnsi="Times New Roman"/>
          <w:sz w:val="24"/>
        </w:rPr>
        <w:t>根据该规划，冉义镇全</w:t>
      </w:r>
      <w:r>
        <w:rPr>
          <w:rFonts w:ascii="Times New Roman" w:hAnsi="Times New Roman"/>
          <w:sz w:val="24"/>
          <w:szCs w:val="24"/>
          <w:shd w:val="clear" w:color="auto" w:fill="FFFFFF"/>
        </w:rPr>
        <w:t>镇3.6万亩高标准农田将划建成以下现代农业与都市农业示范区：一是优质商品粮种植示范区，二是绿色有机果蔬种植示范区。三是种养循环经济示范区，四是高端制种示范区，五是农业休闲观光旅游区。</w:t>
      </w:r>
      <w:r>
        <w:rPr>
          <w:rFonts w:ascii="Times New Roman" w:hAnsi="Times New Roman"/>
          <w:sz w:val="24"/>
          <w:szCs w:val="24"/>
        </w:rPr>
        <w:br w:type="textWrapping"/>
      </w:r>
      <w:r>
        <w:rPr>
          <w:rFonts w:ascii="Times New Roman" w:hAnsi="Times New Roman"/>
          <w:sz w:val="24"/>
        </w:rPr>
        <w:t xml:space="preserve">    </w:t>
      </w:r>
      <w:r>
        <w:rPr>
          <w:rFonts w:ascii="Times New Roman" w:hAnsi="Times New Roman"/>
          <w:sz w:val="24"/>
          <w:szCs w:val="24"/>
          <w:shd w:val="clear" w:color="auto" w:fill="FFFFFF"/>
        </w:rPr>
        <w:t>目前已确定的产业化项目有：300亩鳗鱼养殖基地；500亩食用菌基地；成都金桌农业公司1000亩水稻示范园区；7000亩种养循环经济示范区。</w:t>
      </w:r>
      <w:r>
        <w:rPr>
          <w:rFonts w:ascii="Times New Roman" w:hAnsi="Times New Roman"/>
          <w:sz w:val="24"/>
          <w:shd w:val="clear" w:color="auto" w:fill="FFFFFF"/>
        </w:rPr>
        <w:t>本项目拟建地位于上述规划中确定的“7000亩种养循环经济示范区”，与该规划相符。</w:t>
      </w:r>
    </w:p>
    <w:p>
      <w:pPr>
        <w:pStyle w:val="104"/>
      </w:pPr>
      <w:r>
        <w:t>1.3.2.4  与《四川省畜牧业发展“十三五”规划》的符合性</w:t>
      </w:r>
    </w:p>
    <w:p>
      <w:pPr>
        <w:spacing w:line="460" w:lineRule="exact"/>
        <w:ind w:firstLine="480" w:firstLineChars="200"/>
        <w:rPr>
          <w:rFonts w:ascii="Times New Roman" w:hAnsi="Times New Roman"/>
          <w:sz w:val="24"/>
        </w:rPr>
      </w:pPr>
      <w:r>
        <w:rPr>
          <w:rFonts w:ascii="Times New Roman" w:hAnsi="Times New Roman"/>
          <w:sz w:val="24"/>
        </w:rPr>
        <w:t>《四川省畜牧业 “十三五”发展规划》（2016-2020）明确提出十大工作重点：</w:t>
      </w:r>
    </w:p>
    <w:p>
      <w:pPr>
        <w:spacing w:line="460" w:lineRule="exact"/>
        <w:ind w:firstLine="480" w:firstLineChars="200"/>
        <w:rPr>
          <w:rFonts w:ascii="Times New Roman" w:hAnsi="Times New Roman"/>
          <w:sz w:val="24"/>
        </w:rPr>
      </w:pPr>
      <w:r>
        <w:rPr>
          <w:rFonts w:ascii="Times New Roman" w:hAnsi="Times New Roman"/>
          <w:sz w:val="24"/>
        </w:rPr>
        <w:t>一、积极推动“粮改饲”；二、粪污的资源化利用及无害化处理问题，争取将粪污变废为宝，实现利用 70%以上；三、秸秆的饲料化运用。四、规模养殖。这是现代畜牧业的重要标志，是各项工作的重要抓手。目前蛋鸡和肉鸡的规模化水平最高，牛羊差一些。综合来看，现在，整个畜牧业规模化率 39.6%，十三五期间，使畜牧业规模化率达到 50%以上。五、畜禽良种方面工作。六、奶业问题。七、饲料问题。….八、草原生态。十三五在十二五的基础上，继续实施，经费投入增加。九、科技方面。十三五期间，继续加强对科技的投入。十、畜牧发展的精准化。</w:t>
      </w:r>
    </w:p>
    <w:p>
      <w:pPr>
        <w:spacing w:line="460" w:lineRule="exact"/>
        <w:ind w:firstLine="480" w:firstLineChars="200"/>
        <w:rPr>
          <w:rFonts w:ascii="Times New Roman" w:hAnsi="Times New Roman"/>
          <w:sz w:val="24"/>
        </w:rPr>
      </w:pPr>
      <w:r>
        <w:rPr>
          <w:rFonts w:ascii="Times New Roman" w:hAnsi="Times New Roman"/>
          <w:sz w:val="24"/>
        </w:rPr>
        <w:t>本项目依托企业已建繁育场、饲料公司、引进优良猪只进行育肥，建设保育舍等主体工程并配套储粪池、沼气处理工程等基础设施，对项目产生的污染物按照相关要求进行规范化、无害化、资源化处理。项目建设符合《四川省畜牧业发展“十三五”规划》中相关要求。</w:t>
      </w:r>
    </w:p>
    <w:p>
      <w:pPr>
        <w:pStyle w:val="104"/>
      </w:pPr>
      <w:r>
        <w:t>1.3.2.5  与邛崃市十三五规划的符合性</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《邛崃市国民经济和社会发展第十三个五年规划纲要》中指出，邛崃市加快发展现代优质农业，加强农业品牌化提升。依托“邛崃黑猪”、“邛崃黑茶”、“邛酒”3 个地理标志保护产品，通过公共品牌塑造培育，开展农业品牌推介营销和社会宣传，着力打造一批有影响力、有文化内涵的农业品牌，提升增值空间。鼓励龙头企业开展商标注册，加大商标保护意识和品牌培育力度，做响、做亮农业特色优势品牌。探索创新农业经营方式，提升完善“两主体、四中心”粮食经营模式，推进畜牧养殖标准化基地建设。</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本项目利用当地土地整合后的农用地，自由繁育场、饲料公司优势资源以及已建成一期项目经验，扩建二期项目，达到年出栏商品猪 5万头的生产规模。项目的建设有利于推广邛崃生猪养殖的发展，并提高邛崃生猪品牌，项目建设与邛崃市十三五规划相符。</w:t>
      </w:r>
    </w:p>
    <w:p>
      <w:pPr>
        <w:pStyle w:val="104"/>
      </w:pPr>
      <w:r>
        <w:t>1.3.2.6  与《邛崃市人大常委会关于加强畜禽养殖污染防治的决定》的符合性</w:t>
      </w:r>
    </w:p>
    <w:p>
      <w:pPr>
        <w:snapToGrid w:val="0"/>
        <w:ind w:firstLine="480" w:firstLineChars="200"/>
        <w:rPr>
          <w:rFonts w:ascii="Times New Roman" w:hAnsi="Times New Roman"/>
          <w:sz w:val="24"/>
          <w:szCs w:val="24"/>
        </w:rPr>
      </w:pPr>
      <w:r>
        <w:rPr>
          <w:rFonts w:ascii="Times New Roman" w:hAnsi="Times New Roman"/>
          <w:sz w:val="24"/>
          <w:szCs w:val="24"/>
        </w:rPr>
        <w:t>项目与《邛崃市人大常委会关于加强畜禽养殖污染防治的决定》（邛人发[2009]28 号）的符合性见表 1.3-1。</w:t>
      </w:r>
    </w:p>
    <w:p>
      <w:pPr>
        <w:spacing w:line="480" w:lineRule="exact"/>
        <w:ind w:firstLine="482"/>
        <w:jc w:val="center"/>
        <w:rPr>
          <w:rFonts w:ascii="Times New Roman" w:hAnsi="Times New Roman" w:eastAsia="黑体"/>
          <w:sz w:val="21"/>
          <w:szCs w:val="21"/>
        </w:rPr>
      </w:pPr>
      <w:r>
        <w:rPr>
          <w:rFonts w:ascii="Times New Roman" w:hAnsi="Times New Roman" w:eastAsia="黑体"/>
          <w:sz w:val="21"/>
          <w:szCs w:val="21"/>
        </w:rPr>
        <w:t>表1.3-1  项目与《邛崃市人大常委会关于加强畜禽养殖污染防治的决定》的符合性</w:t>
      </w:r>
    </w:p>
    <w:tbl>
      <w:tblPr>
        <w:tblStyle w:val="90"/>
        <w:tblW w:w="7905" w:type="dxa"/>
        <w:tblInd w:w="261"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525"/>
        <w:gridCol w:w="2268"/>
        <w:gridCol w:w="111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相关要求</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本项目</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是否符合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b/>
                <w:sz w:val="21"/>
                <w:szCs w:val="21"/>
              </w:rPr>
            </w:pPr>
            <w:r>
              <w:rPr>
                <w:rFonts w:ascii="Times New Roman" w:hAnsi="Times New Roman" w:eastAsiaTheme="minorEastAsia"/>
                <w:b/>
                <w:sz w:val="21"/>
                <w:szCs w:val="21"/>
              </w:rPr>
              <w:t>第五条 邛崃市禁止畜禽规模养殖区</w:t>
            </w:r>
          </w:p>
        </w:tc>
        <w:tc>
          <w:tcPr>
            <w:tcW w:w="2268" w:type="dxa"/>
            <w:vAlign w:val="center"/>
          </w:tcPr>
          <w:p>
            <w:pPr>
              <w:spacing w:line="280" w:lineRule="exact"/>
              <w:jc w:val="center"/>
              <w:rPr>
                <w:rFonts w:ascii="Times New Roman" w:hAnsi="Times New Roman" w:eastAsiaTheme="minorEastAsia"/>
                <w:sz w:val="21"/>
                <w:szCs w:val="21"/>
              </w:rPr>
            </w:pPr>
          </w:p>
        </w:tc>
        <w:tc>
          <w:tcPr>
            <w:tcW w:w="1112" w:type="dxa"/>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城市和镇乡、村集中式饮用水源保护区，即城区自来水三厂取水点南河、出江河上游3500米至下游100米的水域及其河岸两侧纵深各200米的陆域。各镇乡、村集中供水点采用地下水源的，以取水点（井）为中心，半径200米的范围以内</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本项目周所在地为园林村，周围为农村环境。经过政府土地整理后，园林村村民已统一搬迁，周围无散居农户。选址不在禁养区</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白酒产业园区</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不属于</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水库水源保护区，景区等重要风景名胜区的核心区和缓冲区</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不属于</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城市规划区和镇乡集镇规划区、农村集中居住区及市内南河、文井江、白沫江、出江河、斜江河等河流及主要干渠两岸纵深100米范围内。</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不属于</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市内成温邛高速公路、邛名路、新邛路、天台山旅游环线等主要干道两侧纵深50米范围内</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不属于</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525"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第九条 畜禽养殖污染物防治实行谁污染，谁治理和属地管理远侧。养殖场排放污染物，不得超过国家规定的排放标准，鼓励和支持养殖场将畜禽粪便用于生态还田、生产沼气、生产有机肥料等无害化处理和资源化利用。大力推广畜禽粪便循环综合利用和养殖治污新技术。对实现种养平衡、畜禽粪便零排放，或畜禽粪便循环综合利用的规模养殖场给予一定奖励和扶持。</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粪污用于生态还田，不排放。</w:t>
            </w:r>
          </w:p>
        </w:tc>
        <w:tc>
          <w:tcPr>
            <w:tcW w:w="111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bl>
    <w:p>
      <w:pPr>
        <w:pStyle w:val="104"/>
      </w:pPr>
      <w:r>
        <w:t>1.3.2.7 与《成都市畜禽养殖管理办法》符合性</w:t>
      </w:r>
    </w:p>
    <w:p>
      <w:pPr>
        <w:ind w:firstLine="480" w:firstLineChars="200"/>
        <w:contextualSpacing/>
        <w:rPr>
          <w:rFonts w:ascii="Times New Roman" w:hAnsi="Times New Roman"/>
          <w:sz w:val="24"/>
          <w:szCs w:val="24"/>
        </w:rPr>
      </w:pPr>
      <w:r>
        <w:rPr>
          <w:rFonts w:ascii="Times New Roman" w:hAnsi="Times New Roman"/>
          <w:sz w:val="24"/>
          <w:szCs w:val="24"/>
        </w:rPr>
        <w:t>项目与《成都市畜禽养殖管理办法》（成都市人民政府令第 136 号）的符合性见表1.3-2。</w:t>
      </w:r>
    </w:p>
    <w:p>
      <w:pPr>
        <w:spacing w:line="480" w:lineRule="exact"/>
        <w:ind w:firstLine="482"/>
        <w:jc w:val="center"/>
        <w:rPr>
          <w:rFonts w:ascii="Times New Roman" w:hAnsi="Times New Roman" w:eastAsia="黑体"/>
          <w:sz w:val="21"/>
          <w:szCs w:val="21"/>
        </w:rPr>
      </w:pPr>
      <w:r>
        <w:rPr>
          <w:rFonts w:ascii="Times New Roman" w:hAnsi="Times New Roman" w:eastAsia="黑体"/>
          <w:sz w:val="21"/>
          <w:szCs w:val="21"/>
        </w:rPr>
        <w:t>表1.3-2  与《成都市畜禽养殖管理办法》的符合性</w:t>
      </w:r>
    </w:p>
    <w:tbl>
      <w:tblPr>
        <w:tblStyle w:val="90"/>
        <w:tblW w:w="8532" w:type="dxa"/>
        <w:tblInd w:w="81"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5272"/>
        <w:gridCol w:w="2268"/>
        <w:gridCol w:w="99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527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《成都市畜禽养殖管理办法》</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本项目实际情况</w:t>
            </w:r>
          </w:p>
        </w:tc>
        <w:tc>
          <w:tcPr>
            <w:tcW w:w="99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是否符合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990" w:hRule="atLeast"/>
        </w:trPr>
        <w:tc>
          <w:tcPr>
            <w:tcW w:w="5272" w:type="dxa"/>
            <w:vAlign w:val="center"/>
          </w:tcPr>
          <w:p>
            <w:pPr>
              <w:spacing w:line="280" w:lineRule="exact"/>
              <w:jc w:val="left"/>
              <w:rPr>
                <w:rFonts w:ascii="Times New Roman" w:hAnsi="Times New Roman" w:eastAsiaTheme="minorEastAsia"/>
                <w:sz w:val="21"/>
                <w:szCs w:val="21"/>
              </w:rPr>
            </w:pPr>
            <w:r>
              <w:rPr>
                <w:rFonts w:ascii="Times New Roman" w:hAnsi="Times New Roman" w:eastAsiaTheme="minorEastAsia"/>
                <w:sz w:val="21"/>
                <w:szCs w:val="21"/>
              </w:rPr>
              <w:t>第四条(分类管理)畜禽养殖按照养殖场、养殖小区和散养农户(以下统称养殖场户)实行分类管理。畜禽养殖场和养殖小区界定的具体标准,依照四川省人民政府的相关规定执行。鼓励畜禽养殖场、养殖小区实施规模化养殖、标准化生产、产业化经营。土地利用总体规划应当根据本地实际情况安排畜禽规模养殖用地。农村集体经济组织、畜牧业合作经济组织、农民和其他投资者按照土地利用总体规划建立的畜禽养殖场、养殖小区用地按农业用地管理,需要兴建永久性建筑物涉及农用地转用的,依照《中华人民共和国土地管理法》的规定办理。</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本项目属于规模化养殖、标准生产、产地化经营。为鼓励类型。</w:t>
            </w:r>
          </w:p>
        </w:tc>
        <w:tc>
          <w:tcPr>
            <w:tcW w:w="99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990" w:hRule="atLeast"/>
        </w:trPr>
        <w:tc>
          <w:tcPr>
            <w:tcW w:w="5272" w:type="dxa"/>
            <w:vAlign w:val="center"/>
          </w:tcPr>
          <w:p>
            <w:pPr>
              <w:spacing w:line="280" w:lineRule="exact"/>
              <w:jc w:val="left"/>
              <w:rPr>
                <w:rFonts w:ascii="Times New Roman" w:hAnsi="Times New Roman" w:eastAsiaTheme="minorEastAsia"/>
                <w:sz w:val="21"/>
                <w:szCs w:val="21"/>
              </w:rPr>
            </w:pPr>
            <w:r>
              <w:rPr>
                <w:rFonts w:ascii="Times New Roman" w:hAnsi="Times New Roman" w:eastAsiaTheme="minorEastAsia"/>
                <w:sz w:val="21"/>
                <w:szCs w:val="21"/>
              </w:rPr>
              <w:t>第十七条(污染防治)养殖场户负责对畜禽养殖污染实施治理,承担环境保护责任。养殖场户排放养殖污染物,应当符合规定的排放标准。禁止向水体直接排放畜禽粪便、沼液、沼渣、污水等。鼓励支持养殖场户将畜禽粪便用于生态还田、生产沼气、生产有机肥等无害化处理和资源化利用。</w:t>
            </w:r>
          </w:p>
        </w:tc>
        <w:tc>
          <w:tcPr>
            <w:tcW w:w="226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粪污用于生态还田，不排放。产生沼气综合利用，粪便用于堆肥。</w:t>
            </w:r>
          </w:p>
        </w:tc>
        <w:tc>
          <w:tcPr>
            <w:tcW w:w="99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符合</w:t>
            </w:r>
          </w:p>
        </w:tc>
      </w:tr>
    </w:tbl>
    <w:p>
      <w:pPr>
        <w:pStyle w:val="108"/>
      </w:pPr>
      <w:bookmarkStart w:id="42" w:name="_Toc9873287"/>
      <w:r>
        <w:t>1.3.3 项目与“三线一单”符合性分析</w:t>
      </w:r>
      <w:bookmarkEnd w:id="42"/>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根据环保部发布的《关于以改善环境质量为核心加强环境影响评价管理的通知》（环环评[2016]150 号）（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snapToGrid w:val="0"/>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（1）生态红线</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生态保护红线是指依法在重点生态功能区、生态环境敏感区和脆弱区等区域划定的严格管控边界，是国家和区域生态安全的底线，对于维护生态安全格局、保障生态服务功能、支撑经济社会可持续发展具有重要作用。根据《四川省生态保护红线实施意见》（川府发[2016]45 号）（以下简称《实施意见》），《实施意见》对全省各市区的生态保护红线进行了划定。本项目选址位于邛崃市冉义镇园林村，不属于《实施意见》中划定的生态红线区。</w:t>
      </w:r>
    </w:p>
    <w:p>
      <w:pPr>
        <w:snapToGrid w:val="0"/>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（2）环境质量底线</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空气：项目选址区域为环境空气功能区二类区，执行二级标准。根据环境空气质量现状的监测数据，项目选址区域环境空气质量能够满足《环境空气质量标准》（GB3095-2012）二级标准及《工业企业设计卫生标准》（TJ36-79）中“居住区大气中有害物质最高允许浓度”标准，空气质量好，尚有容量进行项目建设，同时本项目建成后企业排气量小，通过预测对环境的贡献小，与本底值叠加后仍然满足标准的要求。</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地表水：项目废水不排放，食堂废水经隔油池处理后与养殖废水一起经“沼气池+储液池”工艺处理后由当地畜禽粪便收集合作社运至镇域范围内施肥。项目所在地斜江河除了粪大肠菌群和总磷超标外，其他监测指标均满足《地表水环境质量标准》（GB3838-2002）中 III 类水域标准，超标原因：农村生活用水散排，未进行收集处理。因本项目废水不排放，故不会对地表水环境造成影响。</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声环境：本项目所在区域为 2 类声环境功能区，根据环境噪声现状监测结果，项目区域目前能够满足《声环境质量标准》2 类标准要求，本项目建成后企业噪声产生量小，通过预测对环境的贡献值较小，能满足《声环境质量标准》2 类标准要求，因此项目实施不会改变项目所在区域的声环境功能。</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综上，本项目建设符合环境质量底线要求。</w:t>
      </w:r>
    </w:p>
    <w:p>
      <w:pPr>
        <w:snapToGrid w:val="0"/>
        <w:ind w:firstLine="361" w:firstLineChars="150"/>
        <w:rPr>
          <w:rFonts w:ascii="Times New Roman" w:hAnsi="Times New Roman" w:eastAsiaTheme="minorEastAsia"/>
          <w:b/>
          <w:sz w:val="24"/>
          <w:szCs w:val="24"/>
        </w:rPr>
      </w:pPr>
      <w:r>
        <w:rPr>
          <w:rFonts w:ascii="Times New Roman" w:hAnsi="Times New Roman" w:eastAsiaTheme="minorEastAsia"/>
          <w:b/>
          <w:sz w:val="24"/>
          <w:szCs w:val="24"/>
        </w:rPr>
        <w:t>（3）资源利用上线</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资源是环境的载体，资源利用上线是各地区能源、水、土地等资源消耗不得突破的“天花板”。本项目为养殖厂项目，生产和生活用水均使用自来水，且能源依托市政电网供电。项目建设土地为批准的农用地，符合土地利用耗要求。</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因此，项目建设符合资源利用上线要求。</w:t>
      </w:r>
    </w:p>
    <w:p>
      <w:pPr>
        <w:snapToGrid w:val="0"/>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（4）环境准入负面清单</w:t>
      </w:r>
    </w:p>
    <w:p>
      <w:pPr>
        <w:snapToGrid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准入负面清单是基于生态保护红线、环境质量底线和资源利用上线，以清单方式列出的禁止、限制等差别化环境准入条件和要求。根据本项目的《农业产业化生产设施及附属设施用地审批表》，本项目用地已取得当地村委会、镇政府的同意，邛崃市农村发展局、邛崃市规划管理局均已同意本项目的建设，因此本项目应为环境准入允许类别。</w:t>
      </w:r>
    </w:p>
    <w:p>
      <w:pPr>
        <w:pStyle w:val="108"/>
      </w:pPr>
      <w:bookmarkStart w:id="43" w:name="_Toc9873288"/>
      <w:r>
        <w:t>1.3.4 与行业标准要求的符合性分析</w:t>
      </w:r>
      <w:bookmarkEnd w:id="43"/>
    </w:p>
    <w:p>
      <w:pPr>
        <w:pStyle w:val="104"/>
      </w:pPr>
      <w:r>
        <w:t>1.3.4.1 与《畜禽化养殖业污染治理工程技术规范》的符合性分析</w:t>
      </w:r>
    </w:p>
    <w:p>
      <w:pPr>
        <w:pStyle w:val="14"/>
        <w:ind w:left="0" w:firstLine="480" w:firstLineChars="200"/>
        <w:rPr>
          <w:rFonts w:ascii="Times New Roman" w:hAnsi="Times New Roman" w:cs="Times New Roman"/>
          <w:kern w:val="0"/>
          <w:sz w:val="24"/>
        </w:rPr>
      </w:pPr>
      <w:r>
        <w:rPr>
          <w:rFonts w:ascii="Times New Roman" w:hAnsi="Times New Roman" w:cs="Times New Roman"/>
          <w:kern w:val="0"/>
          <w:sz w:val="24"/>
        </w:rPr>
        <w:t>根据《畜禽化养殖业污染治理工程技术规范》中的相关要求分析，本项目符合该技术规范中的各项要求，列表分析如下。</w:t>
      </w:r>
    </w:p>
    <w:p>
      <w:pPr>
        <w:spacing w:line="480" w:lineRule="exact"/>
        <w:ind w:firstLine="482"/>
        <w:jc w:val="center"/>
        <w:rPr>
          <w:rFonts w:ascii="Times New Roman" w:hAnsi="Times New Roman" w:eastAsia="黑体"/>
          <w:sz w:val="21"/>
          <w:szCs w:val="21"/>
        </w:rPr>
      </w:pPr>
      <w:r>
        <w:rPr>
          <w:rFonts w:ascii="Times New Roman" w:hAnsi="Times New Roman" w:eastAsia="黑体"/>
          <w:sz w:val="21"/>
          <w:szCs w:val="21"/>
        </w:rPr>
        <w:t>表1.3-3 与《畜禽化养殖业污染治理工程技术规范》符合性对照表</w:t>
      </w:r>
    </w:p>
    <w:tbl>
      <w:tblPr>
        <w:tblStyle w:val="90"/>
        <w:tblW w:w="8629"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17"/>
        <w:gridCol w:w="3973"/>
        <w:gridCol w:w="2980"/>
        <w:gridCol w:w="85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PrEx>
        <w:trPr>
          <w:tblHeader/>
        </w:trPr>
        <w:tc>
          <w:tcPr>
            <w:tcW w:w="817"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项目</w:t>
            </w:r>
          </w:p>
        </w:tc>
        <w:tc>
          <w:tcPr>
            <w:tcW w:w="3973" w:type="dxa"/>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《畜禽化养殖业污染治理工程技术规范》要求</w:t>
            </w:r>
          </w:p>
        </w:tc>
        <w:tc>
          <w:tcPr>
            <w:tcW w:w="2980"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项目情况</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restart"/>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粪污</w:t>
            </w:r>
          </w:p>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收集</w:t>
            </w: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新建、改建、扩建的畜禽养殖场宜采用干清粪工艺。</w:t>
            </w:r>
          </w:p>
        </w:tc>
        <w:tc>
          <w:tcPr>
            <w:tcW w:w="2980"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采用干清粪工艺</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snapToGrid w:val="0"/>
              <w:spacing w:line="240" w:lineRule="auto"/>
              <w:jc w:val="center"/>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畜禽粪污应日产日清</w:t>
            </w:r>
          </w:p>
        </w:tc>
        <w:tc>
          <w:tcPr>
            <w:tcW w:w="2980"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猪粪日产日清</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snapToGrid w:val="0"/>
              <w:spacing w:line="240" w:lineRule="auto"/>
              <w:jc w:val="center"/>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畜禽养殖场应建立排水系统，并实现雨污分流</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实行雨污分流，建立污水收集、废水输送系统，含沼液池、管网等建设内容</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restart"/>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粪污</w:t>
            </w:r>
          </w:p>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储存</w:t>
            </w: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粪污无害化处理后用于还田利用的，畜禽粪污处理厂（站）应设置专门的储存池。</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猪粪经粪便固液分离机处理后干粪外送有机肥厂作堆肥；猪尿等沼气池处理后废水作为肥料还田还地，设废水收集池储存废水</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snapToGrid w:val="0"/>
              <w:spacing w:line="240" w:lineRule="auto"/>
              <w:jc w:val="center"/>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储存池的总有效容积应根据贮存期确定。种养结合的养殖场，贮存池的贮存期不得低于当地农作物生产用肥的最大间隔时间和冬季封冻期或雨季最长降雨期，一般不得小于30d的排放总量。</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废水储液池6.5万m</w:t>
            </w:r>
            <w:r>
              <w:rPr>
                <w:rFonts w:ascii="Times New Roman" w:hAnsi="Times New Roman" w:eastAsiaTheme="minorEastAsia"/>
                <w:sz w:val="21"/>
                <w:szCs w:val="21"/>
                <w:vertAlign w:val="superscript"/>
              </w:rPr>
              <w:t>3</w:t>
            </w:r>
            <w:r>
              <w:rPr>
                <w:rFonts w:ascii="Times New Roman" w:hAnsi="Times New Roman" w:eastAsiaTheme="minorEastAsia"/>
                <w:sz w:val="21"/>
                <w:szCs w:val="21"/>
              </w:rPr>
              <w:t>，最大储存量满足6个月废水产生量。</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snapToGrid w:val="0"/>
              <w:spacing w:line="240" w:lineRule="auto"/>
              <w:jc w:val="center"/>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贮存池的结构应符合GB50069的有关规定，具有防渗漏功能，不得污染地下水。</w:t>
            </w:r>
          </w:p>
        </w:tc>
        <w:tc>
          <w:tcPr>
            <w:tcW w:w="2980" w:type="dxa"/>
            <w:vAlign w:val="center"/>
          </w:tcPr>
          <w:p>
            <w:pPr>
              <w:snapToGrid w:val="0"/>
              <w:spacing w:line="240" w:lineRule="auto"/>
              <w:rPr>
                <w:rFonts w:ascii="Times New Roman" w:hAnsi="Times New Roman" w:eastAsiaTheme="minorEastAsia"/>
                <w:sz w:val="21"/>
                <w:szCs w:val="21"/>
              </w:rPr>
            </w:pPr>
            <w:r>
              <w:rPr>
                <w:rFonts w:ascii="Times New Roman" w:hAnsi="Times New Roman" w:eastAsiaTheme="minorEastAsia"/>
                <w:sz w:val="21"/>
                <w:szCs w:val="21"/>
              </w:rPr>
              <w:t>所有储存池按规范设计、并考虑防渗</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snapToGrid w:val="0"/>
              <w:spacing w:line="240" w:lineRule="auto"/>
              <w:jc w:val="center"/>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贮存池应配备防止降雨（水）进入的措施。</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废水收集已采取了防止雨水进入的措施，设置了雨棚。</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trPr>
        <w:tc>
          <w:tcPr>
            <w:tcW w:w="817" w:type="dxa"/>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粪污处理工艺选择</w:t>
            </w: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养殖规模在存栏2000头及以下的应尽可能采用6.2.2模式</w:t>
            </w:r>
            <w:r>
              <w:rPr>
                <w:rFonts w:hint="eastAsia" w:ascii="宋体" w:hAnsi="宋体" w:cs="宋体"/>
                <w:sz w:val="21"/>
                <w:szCs w:val="21"/>
              </w:rPr>
              <w:t>Ⅰ</w:t>
            </w:r>
            <w:r>
              <w:rPr>
                <w:rFonts w:ascii="Times New Roman" w:hAnsi="Times New Roman" w:eastAsiaTheme="minorEastAsia"/>
                <w:sz w:val="21"/>
                <w:szCs w:val="21"/>
              </w:rPr>
              <w:t>或6.2.3模式</w:t>
            </w:r>
            <w:r>
              <w:rPr>
                <w:rFonts w:hint="eastAsia" w:ascii="宋体" w:hAnsi="宋体" w:cs="宋体"/>
                <w:sz w:val="21"/>
                <w:szCs w:val="21"/>
              </w:rPr>
              <w:t>Ⅱ</w:t>
            </w:r>
            <w:r>
              <w:rPr>
                <w:rFonts w:ascii="Times New Roman" w:hAnsi="Times New Roman" w:eastAsiaTheme="minorEastAsia"/>
                <w:sz w:val="21"/>
                <w:szCs w:val="21"/>
              </w:rPr>
              <w:t>处理工艺；存栏10000头及以上的，宜采用6.2.4模式</w:t>
            </w:r>
            <w:r>
              <w:rPr>
                <w:rFonts w:hint="eastAsia" w:ascii="宋体" w:hAnsi="宋体" w:cs="宋体"/>
                <w:sz w:val="21"/>
                <w:szCs w:val="21"/>
              </w:rPr>
              <w:t>Ⅲ</w:t>
            </w:r>
            <w:r>
              <w:rPr>
                <w:rFonts w:ascii="Times New Roman" w:hAnsi="Times New Roman" w:eastAsiaTheme="minorEastAsia"/>
                <w:sz w:val="21"/>
                <w:szCs w:val="21"/>
              </w:rPr>
              <w:t>处理工艺。</w:t>
            </w:r>
          </w:p>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采用模式</w:t>
            </w:r>
            <w:r>
              <w:rPr>
                <w:rFonts w:hint="eastAsia" w:ascii="宋体" w:hAnsi="宋体" w:cs="宋体"/>
                <w:sz w:val="21"/>
                <w:szCs w:val="21"/>
              </w:rPr>
              <w:t>Ⅰ</w:t>
            </w:r>
            <w:r>
              <w:rPr>
                <w:rFonts w:ascii="Times New Roman" w:hAnsi="Times New Roman" w:eastAsiaTheme="minorEastAsia"/>
                <w:sz w:val="21"/>
                <w:szCs w:val="21"/>
              </w:rPr>
              <w:t>或模式</w:t>
            </w:r>
            <w:r>
              <w:rPr>
                <w:rFonts w:hint="eastAsia" w:ascii="宋体" w:hAnsi="宋体" w:cs="宋体"/>
                <w:sz w:val="21"/>
                <w:szCs w:val="21"/>
              </w:rPr>
              <w:t>Ⅱ</w:t>
            </w:r>
            <w:r>
              <w:rPr>
                <w:rFonts w:ascii="Times New Roman" w:hAnsi="Times New Roman" w:eastAsiaTheme="minorEastAsia"/>
                <w:sz w:val="21"/>
                <w:szCs w:val="21"/>
              </w:rPr>
              <w:t>处理工艺的，养殖场应位于非环境敏感区，周围的环境容量大，远离城市，有能源需求，周边有足够的土地能够消纳全部的废水、沼渣。</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养殖场位于非环境敏感区，周边地区土地配置足够。采用模式</w:t>
            </w:r>
            <w:r>
              <w:rPr>
                <w:rFonts w:hint="eastAsia" w:ascii="宋体" w:hAnsi="宋体" w:cs="宋体"/>
                <w:sz w:val="21"/>
                <w:szCs w:val="21"/>
              </w:rPr>
              <w:t>Ⅰ</w:t>
            </w:r>
            <w:r>
              <w:rPr>
                <w:rFonts w:ascii="Times New Roman" w:hAnsi="Times New Roman" w:eastAsiaTheme="minorEastAsia"/>
                <w:sz w:val="21"/>
                <w:szCs w:val="21"/>
              </w:rPr>
              <w:t>工艺，用作土壤施肥。干粪外送有机肥厂作堆肥；当地有配套的标准化农田约3.9万亩，能够消纳全部废水。</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85" w:hRule="atLeast"/>
        </w:trPr>
        <w:tc>
          <w:tcPr>
            <w:tcW w:w="817" w:type="dxa"/>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废水、沼渣处置与利用</w:t>
            </w: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采用模式</w:t>
            </w:r>
            <w:r>
              <w:rPr>
                <w:rFonts w:hint="eastAsia" w:ascii="宋体" w:hAnsi="宋体" w:cs="宋体"/>
                <w:sz w:val="21"/>
                <w:szCs w:val="21"/>
              </w:rPr>
              <w:t>Ⅰ</w:t>
            </w:r>
            <w:r>
              <w:rPr>
                <w:rFonts w:ascii="Times New Roman" w:hAnsi="Times New Roman" w:eastAsiaTheme="minorEastAsia"/>
                <w:sz w:val="21"/>
                <w:szCs w:val="21"/>
              </w:rPr>
              <w:t>和模式</w:t>
            </w:r>
            <w:r>
              <w:rPr>
                <w:rFonts w:hint="eastAsia" w:ascii="宋体" w:hAnsi="宋体" w:cs="宋体"/>
                <w:sz w:val="21"/>
                <w:szCs w:val="21"/>
              </w:rPr>
              <w:t>Ⅱ</w:t>
            </w:r>
            <w:r>
              <w:rPr>
                <w:rFonts w:ascii="Times New Roman" w:hAnsi="Times New Roman" w:eastAsiaTheme="minorEastAsia"/>
                <w:sz w:val="21"/>
                <w:szCs w:val="21"/>
              </w:rPr>
              <w:t>处理工艺的，沼渣、废水应全部进行资源化利用，不得直接向环境排放。</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采用模式</w:t>
            </w:r>
            <w:r>
              <w:rPr>
                <w:rFonts w:hint="eastAsia" w:ascii="宋体" w:hAnsi="宋体" w:cs="宋体"/>
                <w:sz w:val="21"/>
                <w:szCs w:val="21"/>
              </w:rPr>
              <w:t>Ⅰ</w:t>
            </w:r>
            <w:r>
              <w:rPr>
                <w:rFonts w:ascii="Times New Roman" w:hAnsi="Times New Roman" w:eastAsiaTheme="minorEastAsia"/>
                <w:sz w:val="21"/>
                <w:szCs w:val="21"/>
              </w:rPr>
              <w:t>，废水全部利用，不排放，不产生沼渣，固体粪送当地有机肥厂堆肥</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病死畜禽尸体处理与处置</w:t>
            </w: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病死畜禽尸体应及时处理，不得随意丢弃，不得出售或作为饲料再利用。畜禽尸体的处理与处置应符合HJ/T 81-2001第9章的规定。</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病死猪拟交由成都市科农动物无害化处置有限公司。协议见附件。</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restart"/>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恶臭</w:t>
            </w:r>
          </w:p>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控</w:t>
            </w:r>
          </w:p>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制</w:t>
            </w: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养殖场区应通过控制饲养密度、加强舍内通风、采用节水型饮水器、及时清粪、绿化等措施抑制或减少臭气的产生。</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猪粪日产日清，猪舍加设排气扇加强通风，场内空地种植观赏植物或青饲料，最大可能进行绿化</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autoSpaceDE w:val="0"/>
              <w:autoSpaceDN w:val="0"/>
              <w:spacing w:line="240" w:lineRule="auto"/>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粪污处理各工艺单元宜设计为密闭形式，减少恶臭对周围环境的污染。</w:t>
            </w:r>
          </w:p>
        </w:tc>
        <w:tc>
          <w:tcPr>
            <w:tcW w:w="298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根据废水处理工艺，废水处理单元为密闭或半封闭形式</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autoSpaceDE w:val="0"/>
              <w:autoSpaceDN w:val="0"/>
              <w:spacing w:line="240" w:lineRule="auto"/>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可采用物理除臭方式，向粪便或舍内投（铺）放吸附剂减少臭气的散发，宜采用的吸附剂有沸石、锯末、膨润土以及秸秆、泥炭等含纤维素和木质素较多的材料。</w:t>
            </w:r>
          </w:p>
        </w:tc>
        <w:tc>
          <w:tcPr>
            <w:tcW w:w="2980" w:type="dxa"/>
            <w:vMerge w:val="restart"/>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在饲料中添加丝兰粉分座位除臭剂，达到恶臭污染物40%~60%的去除率，猪舍采用机械通风、恶臭经活性炭吸附处理后排放，同时采取加强管理、种植高大乔木隔离、定期消毒等措施除臭</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autoSpaceDE w:val="0"/>
              <w:autoSpaceDN w:val="0"/>
              <w:spacing w:line="240" w:lineRule="auto"/>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可采用化学除臭方式，向养殖场区和粪污处理厂（站）投加或喷洒化学除臭剂消除或减少臭气的产生。宜采用的化学氧化剂有高锰酸钾、重铬酸钾、双氧水、次氯酸钾、臭氧等。</w:t>
            </w:r>
          </w:p>
        </w:tc>
        <w:tc>
          <w:tcPr>
            <w:tcW w:w="2980" w:type="dxa"/>
            <w:vMerge w:val="continue"/>
            <w:vAlign w:val="center"/>
          </w:tcPr>
          <w:p>
            <w:pPr>
              <w:autoSpaceDE w:val="0"/>
              <w:autoSpaceDN w:val="0"/>
              <w:spacing w:line="240" w:lineRule="auto"/>
              <w:rPr>
                <w:rFonts w:ascii="Times New Roman" w:hAnsi="Times New Roman" w:eastAsiaTheme="minorEastAsia"/>
                <w:sz w:val="21"/>
                <w:szCs w:val="21"/>
              </w:rPr>
            </w:pP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7" w:type="dxa"/>
            <w:vMerge w:val="continue"/>
            <w:vAlign w:val="center"/>
          </w:tcPr>
          <w:p>
            <w:pPr>
              <w:autoSpaceDE w:val="0"/>
              <w:autoSpaceDN w:val="0"/>
              <w:spacing w:line="240" w:lineRule="auto"/>
              <w:rPr>
                <w:rFonts w:ascii="Times New Roman" w:hAnsi="Times New Roman" w:eastAsiaTheme="minorEastAsia"/>
                <w:sz w:val="21"/>
                <w:szCs w:val="21"/>
              </w:rPr>
            </w:pPr>
          </w:p>
        </w:tc>
        <w:tc>
          <w:tcPr>
            <w:tcW w:w="3973"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可采用生物除臭方式，如生物过滤法和生物洗涤法等。</w:t>
            </w:r>
          </w:p>
        </w:tc>
        <w:tc>
          <w:tcPr>
            <w:tcW w:w="2980" w:type="dxa"/>
            <w:vMerge w:val="continue"/>
            <w:vAlign w:val="center"/>
          </w:tcPr>
          <w:p>
            <w:pPr>
              <w:autoSpaceDE w:val="0"/>
              <w:autoSpaceDN w:val="0"/>
              <w:spacing w:line="240" w:lineRule="auto"/>
              <w:rPr>
                <w:rFonts w:ascii="Times New Roman" w:hAnsi="Times New Roman" w:eastAsiaTheme="minorEastAsia"/>
                <w:sz w:val="21"/>
                <w:szCs w:val="21"/>
              </w:rPr>
            </w:pP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bl>
    <w:p>
      <w:pPr>
        <w:snapToGrid w:val="0"/>
        <w:ind w:firstLine="465"/>
        <w:rPr>
          <w:rFonts w:ascii="Times New Roman" w:hAnsi="Times New Roman"/>
          <w:sz w:val="24"/>
          <w:szCs w:val="24"/>
        </w:rPr>
      </w:pPr>
      <w:r>
        <w:rPr>
          <w:rFonts w:ascii="Times New Roman" w:hAnsi="Times New Roman"/>
          <w:sz w:val="24"/>
          <w:szCs w:val="24"/>
        </w:rPr>
        <w:t>根据上表对比分析，本项目处理措施满足《畜禽化养殖业污染治理工程技术规范》中的相关要求。</w:t>
      </w:r>
    </w:p>
    <w:p>
      <w:pPr>
        <w:pStyle w:val="104"/>
      </w:pPr>
      <w:r>
        <w:t>1.3.4.2 与《畜禽粪便无害化处理技术规范》的符合性分析</w:t>
      </w:r>
    </w:p>
    <w:p>
      <w:pPr>
        <w:pStyle w:val="14"/>
        <w:ind w:left="0" w:firstLine="480" w:firstLineChars="200"/>
        <w:rPr>
          <w:rFonts w:ascii="Times New Roman" w:hAnsi="Times New Roman" w:cs="Times New Roman"/>
          <w:kern w:val="0"/>
          <w:sz w:val="24"/>
        </w:rPr>
      </w:pPr>
      <w:r>
        <w:rPr>
          <w:rFonts w:ascii="Times New Roman" w:hAnsi="Times New Roman" w:cs="Times New Roman"/>
          <w:sz w:val="24"/>
        </w:rPr>
        <w:t>本项目产生的粪便，在场内人工清粪后，送邛崃市敬华有机肥厂进行处置。该有机肥场在邛崃市农业和林业局、邛崃市环保局《关于进一步加强规模养殖场污染治理管理意见》中进行了备案。根据《畜禽粪便无害化处理技术规范》</w:t>
      </w:r>
      <w:r>
        <w:rPr>
          <w:rFonts w:ascii="Times New Roman" w:hAnsi="Times New Roman" w:cs="Times New Roman"/>
          <w:kern w:val="0"/>
          <w:sz w:val="24"/>
        </w:rPr>
        <w:t>中的相关要求，将本项目产生、暂存粪便与规范的符合性，列表分析如下。</w:t>
      </w:r>
    </w:p>
    <w:p>
      <w:pPr>
        <w:spacing w:line="480" w:lineRule="exact"/>
        <w:ind w:firstLine="482"/>
        <w:jc w:val="center"/>
        <w:rPr>
          <w:rFonts w:ascii="Times New Roman" w:hAnsi="Times New Roman" w:eastAsia="黑体"/>
          <w:sz w:val="21"/>
          <w:szCs w:val="21"/>
        </w:rPr>
      </w:pPr>
      <w:r>
        <w:rPr>
          <w:rFonts w:ascii="Times New Roman" w:hAnsi="Times New Roman" w:eastAsia="黑体"/>
          <w:sz w:val="21"/>
          <w:szCs w:val="21"/>
        </w:rPr>
        <w:t>表1.3-4  与《畜禽粪便无害化处理技术规范》符合性对照表</w:t>
      </w:r>
    </w:p>
    <w:tbl>
      <w:tblPr>
        <w:tblStyle w:val="90"/>
        <w:tblW w:w="8526"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19"/>
        <w:gridCol w:w="3400"/>
        <w:gridCol w:w="3448"/>
        <w:gridCol w:w="85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81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项目</w:t>
            </w:r>
          </w:p>
        </w:tc>
        <w:tc>
          <w:tcPr>
            <w:tcW w:w="3400" w:type="dxa"/>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《畜禽粪便无害化处理技术规范》要求</w:t>
            </w:r>
          </w:p>
        </w:tc>
        <w:tc>
          <w:tcPr>
            <w:tcW w:w="3448"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项目情况</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restart"/>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粪便的收集</w:t>
            </w:r>
          </w:p>
        </w:tc>
        <w:tc>
          <w:tcPr>
            <w:tcW w:w="340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新建养殖场应采用先进清粪工艺，避免畜禽粪便与冲洗水混合，减少污染物排放量</w:t>
            </w:r>
          </w:p>
        </w:tc>
        <w:tc>
          <w:tcPr>
            <w:tcW w:w="3448"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粪便不与冲洗水混合</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continue"/>
            <w:vAlign w:val="center"/>
          </w:tcPr>
          <w:p>
            <w:pPr>
              <w:snapToGrid w:val="0"/>
              <w:spacing w:line="240" w:lineRule="auto"/>
              <w:jc w:val="center"/>
              <w:rPr>
                <w:rFonts w:ascii="Times New Roman" w:hAnsi="Times New Roman" w:eastAsiaTheme="minorEastAsia"/>
                <w:sz w:val="21"/>
                <w:szCs w:val="21"/>
              </w:rPr>
            </w:pPr>
          </w:p>
        </w:tc>
        <w:tc>
          <w:tcPr>
            <w:tcW w:w="3400" w:type="dxa"/>
            <w:vMerge w:val="restart"/>
            <w:vAlign w:val="center"/>
          </w:tcPr>
          <w:p>
            <w:pPr>
              <w:autoSpaceDE w:val="0"/>
              <w:autoSpaceDN w:val="0"/>
              <w:spacing w:line="240" w:lineRule="auto"/>
              <w:ind w:right="17" w:rightChars="6"/>
              <w:rPr>
                <w:rFonts w:ascii="Times New Roman" w:hAnsi="Times New Roman" w:eastAsiaTheme="minorEastAsia"/>
                <w:sz w:val="21"/>
                <w:szCs w:val="21"/>
              </w:rPr>
            </w:pPr>
            <w:r>
              <w:rPr>
                <w:rFonts w:ascii="Times New Roman" w:hAnsi="Times New Roman" w:eastAsiaTheme="minorEastAsia"/>
                <w:sz w:val="21"/>
                <w:szCs w:val="21"/>
              </w:rPr>
              <w:t>畜禽粪便收集、运输过程中必须采取防扬散、防流失、防渗漏等环境污染防止措施</w:t>
            </w:r>
          </w:p>
        </w:tc>
        <w:tc>
          <w:tcPr>
            <w:tcW w:w="3448" w:type="dxa"/>
            <w:vMerge w:val="restart"/>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本项目与邛崃市农业和林业局、邛崃市环保局《关于进一步加强规模养殖场污染治理管理意见》中备案的 邛崃市敬华有机肥厂签订猪粪供应处理协议，由该有机肥厂进行猪粪收集、装车、运输。本项目企业应督促该厂，做好运输过程中必须采取防扬散、防流失、防渗漏等环境污染防止措施</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continue"/>
            <w:vAlign w:val="center"/>
          </w:tcPr>
          <w:p>
            <w:pPr>
              <w:snapToGrid w:val="0"/>
              <w:spacing w:line="240" w:lineRule="auto"/>
              <w:jc w:val="center"/>
              <w:rPr>
                <w:rFonts w:ascii="Times New Roman" w:hAnsi="Times New Roman" w:eastAsiaTheme="minorEastAsia"/>
                <w:sz w:val="21"/>
                <w:szCs w:val="21"/>
              </w:rPr>
            </w:pPr>
          </w:p>
        </w:tc>
        <w:tc>
          <w:tcPr>
            <w:tcW w:w="3400" w:type="dxa"/>
            <w:vMerge w:val="continue"/>
            <w:vAlign w:val="center"/>
          </w:tcPr>
          <w:p>
            <w:pPr>
              <w:autoSpaceDE w:val="0"/>
              <w:autoSpaceDN w:val="0"/>
              <w:spacing w:line="240" w:lineRule="auto"/>
              <w:rPr>
                <w:rFonts w:ascii="Times New Roman" w:hAnsi="Times New Roman" w:eastAsiaTheme="minorEastAsia"/>
                <w:sz w:val="21"/>
                <w:szCs w:val="21"/>
              </w:rPr>
            </w:pPr>
          </w:p>
        </w:tc>
        <w:tc>
          <w:tcPr>
            <w:tcW w:w="3448" w:type="dxa"/>
            <w:vMerge w:val="continue"/>
            <w:vAlign w:val="center"/>
          </w:tcPr>
          <w:p>
            <w:pPr>
              <w:autoSpaceDE w:val="0"/>
              <w:autoSpaceDN w:val="0"/>
              <w:spacing w:line="240" w:lineRule="auto"/>
              <w:rPr>
                <w:rFonts w:ascii="Times New Roman" w:hAnsi="Times New Roman" w:eastAsiaTheme="minorEastAsia"/>
                <w:sz w:val="21"/>
                <w:szCs w:val="21"/>
              </w:rPr>
            </w:pP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restart"/>
            <w:vAlign w:val="center"/>
          </w:tcPr>
          <w:p>
            <w:pPr>
              <w:autoSpaceDE w:val="0"/>
              <w:autoSpaceDN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粪便的贮存</w:t>
            </w:r>
          </w:p>
        </w:tc>
        <w:tc>
          <w:tcPr>
            <w:tcW w:w="340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畜禽养殖场产生的畜禽粪便应设置专门的贮存设施</w:t>
            </w:r>
          </w:p>
        </w:tc>
        <w:tc>
          <w:tcPr>
            <w:tcW w:w="3448"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设置干粪堆场</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continue"/>
            <w:vAlign w:val="center"/>
          </w:tcPr>
          <w:p>
            <w:pPr>
              <w:snapToGrid w:val="0"/>
              <w:spacing w:line="240" w:lineRule="auto"/>
              <w:jc w:val="center"/>
              <w:rPr>
                <w:rFonts w:ascii="Times New Roman" w:hAnsi="Times New Roman" w:eastAsiaTheme="minorEastAsia"/>
                <w:sz w:val="21"/>
                <w:szCs w:val="21"/>
              </w:rPr>
            </w:pPr>
          </w:p>
        </w:tc>
        <w:tc>
          <w:tcPr>
            <w:tcW w:w="340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畜禽粪便贮存设施应设置明显标志和围栏等防护措施</w:t>
            </w:r>
          </w:p>
        </w:tc>
        <w:tc>
          <w:tcPr>
            <w:tcW w:w="3448"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设置标志和围栏、防风防雨措施</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continue"/>
            <w:vAlign w:val="center"/>
          </w:tcPr>
          <w:p>
            <w:pPr>
              <w:snapToGrid w:val="0"/>
              <w:spacing w:line="240" w:lineRule="auto"/>
              <w:jc w:val="center"/>
              <w:rPr>
                <w:rFonts w:ascii="Times New Roman" w:hAnsi="Times New Roman" w:eastAsiaTheme="minorEastAsia"/>
                <w:sz w:val="21"/>
                <w:szCs w:val="21"/>
              </w:rPr>
            </w:pPr>
          </w:p>
        </w:tc>
        <w:tc>
          <w:tcPr>
            <w:tcW w:w="340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畜禽粪便贮存设施必须有足够的空间来储存粪便</w:t>
            </w:r>
          </w:p>
        </w:tc>
        <w:tc>
          <w:tcPr>
            <w:tcW w:w="3448" w:type="dxa"/>
            <w:vAlign w:val="center"/>
          </w:tcPr>
          <w:p>
            <w:pPr>
              <w:snapToGrid w:val="0"/>
              <w:spacing w:line="240" w:lineRule="auto"/>
              <w:rPr>
                <w:rFonts w:ascii="Times New Roman" w:hAnsi="Times New Roman" w:eastAsiaTheme="minorEastAsia"/>
                <w:sz w:val="21"/>
                <w:szCs w:val="21"/>
              </w:rPr>
            </w:pPr>
            <w:r>
              <w:rPr>
                <w:rFonts w:ascii="Times New Roman" w:hAnsi="Times New Roman" w:eastAsiaTheme="minorEastAsia"/>
                <w:sz w:val="21"/>
                <w:szCs w:val="21"/>
              </w:rPr>
              <w:t>干粪堆场满足贮存要求，协议单位及时清运</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continue"/>
            <w:vAlign w:val="center"/>
          </w:tcPr>
          <w:p>
            <w:pPr>
              <w:snapToGrid w:val="0"/>
              <w:spacing w:line="240" w:lineRule="auto"/>
              <w:jc w:val="center"/>
              <w:rPr>
                <w:rFonts w:ascii="Times New Roman" w:hAnsi="Times New Roman" w:eastAsiaTheme="minorEastAsia"/>
                <w:sz w:val="21"/>
                <w:szCs w:val="21"/>
              </w:rPr>
            </w:pPr>
          </w:p>
        </w:tc>
        <w:tc>
          <w:tcPr>
            <w:tcW w:w="340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贮存设施必须进行防渗处理，防止污染地下水</w:t>
            </w:r>
          </w:p>
        </w:tc>
        <w:tc>
          <w:tcPr>
            <w:tcW w:w="3448"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干粪堆场拟按照重点防渗区要求进行防渗</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19" w:type="dxa"/>
            <w:vMerge w:val="continue"/>
            <w:vAlign w:val="center"/>
          </w:tcPr>
          <w:p>
            <w:pPr>
              <w:snapToGrid w:val="0"/>
              <w:spacing w:line="240" w:lineRule="auto"/>
              <w:jc w:val="center"/>
              <w:rPr>
                <w:rFonts w:ascii="Times New Roman" w:hAnsi="Times New Roman" w:eastAsiaTheme="minorEastAsia"/>
                <w:sz w:val="21"/>
                <w:szCs w:val="21"/>
              </w:rPr>
            </w:pPr>
          </w:p>
        </w:tc>
        <w:tc>
          <w:tcPr>
            <w:tcW w:w="3400"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应采取防雨（水）措施</w:t>
            </w:r>
          </w:p>
        </w:tc>
        <w:tc>
          <w:tcPr>
            <w:tcW w:w="3448" w:type="dxa"/>
            <w:vAlign w:val="center"/>
          </w:tcPr>
          <w:p>
            <w:pPr>
              <w:autoSpaceDE w:val="0"/>
              <w:autoSpaceDN w:val="0"/>
              <w:spacing w:line="240" w:lineRule="auto"/>
              <w:rPr>
                <w:rFonts w:ascii="Times New Roman" w:hAnsi="Times New Roman" w:eastAsiaTheme="minorEastAsia"/>
                <w:sz w:val="21"/>
                <w:szCs w:val="21"/>
              </w:rPr>
            </w:pPr>
            <w:r>
              <w:rPr>
                <w:rFonts w:ascii="Times New Roman" w:hAnsi="Times New Roman" w:eastAsiaTheme="minorEastAsia"/>
                <w:sz w:val="21"/>
                <w:szCs w:val="21"/>
              </w:rPr>
              <w:t>拟设置防风防雨措施</w:t>
            </w:r>
          </w:p>
        </w:tc>
        <w:tc>
          <w:tcPr>
            <w:tcW w:w="859" w:type="dxa"/>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符合</w:t>
            </w:r>
          </w:p>
        </w:tc>
      </w:tr>
    </w:tbl>
    <w:p>
      <w:pPr>
        <w:snapToGrid w:val="0"/>
        <w:ind w:firstLine="465"/>
        <w:rPr>
          <w:rFonts w:ascii="Times New Roman" w:hAnsi="Times New Roman"/>
          <w:sz w:val="24"/>
          <w:szCs w:val="24"/>
        </w:rPr>
      </w:pPr>
      <w:r>
        <w:rPr>
          <w:rFonts w:ascii="Times New Roman" w:hAnsi="Times New Roman"/>
          <w:sz w:val="24"/>
          <w:szCs w:val="24"/>
        </w:rPr>
        <w:t>根据上表对比分析，本项目处理措施满足《畜禽粪便无害化处理技术规范》中的相关要求。</w:t>
      </w:r>
    </w:p>
    <w:p>
      <w:pPr>
        <w:pStyle w:val="104"/>
      </w:pPr>
      <w:r>
        <w:t>1.3.4.3 与《规模猪场建设》的符合性分析</w:t>
      </w:r>
    </w:p>
    <w:p>
      <w:pPr>
        <w:pStyle w:val="118"/>
        <w:shd w:val="clear" w:color="auto" w:fill="FFFFFF"/>
        <w:spacing w:line="460" w:lineRule="atLeast"/>
        <w:ind w:firstLine="480" w:firstLineChars="200"/>
        <w:rPr>
          <w:rFonts w:ascii="Times New Roman" w:hAnsi="Times New Roman" w:cs="Times New Roman"/>
        </w:rPr>
      </w:pPr>
      <w:r>
        <w:rPr>
          <w:rFonts w:ascii="Times New Roman" w:hAnsi="Times New Roman" w:cs="Times New Roman"/>
        </w:rPr>
        <w:t>根据《规模猪场建设（</w:t>
      </w:r>
      <w:r>
        <w:rPr>
          <w:rFonts w:ascii="Times New Roman" w:hAnsi="Times New Roman" w:cs="Times New Roman"/>
          <w:spacing w:val="-7"/>
        </w:rPr>
        <w:t>DB</w:t>
      </w:r>
      <w:r>
        <w:rPr>
          <w:rFonts w:ascii="Times New Roman" w:hAnsi="Times New Roman" w:cs="Times New Roman"/>
        </w:rPr>
        <w:t>51/T1073—</w:t>
      </w:r>
      <w:r>
        <w:rPr>
          <w:rFonts w:ascii="Times New Roman" w:hAnsi="Times New Roman" w:cs="Times New Roman"/>
          <w:spacing w:val="-7"/>
        </w:rPr>
        <w:t>2010</w:t>
      </w:r>
      <w:r>
        <w:rPr>
          <w:rFonts w:ascii="Times New Roman" w:hAnsi="Times New Roman" w:cs="Times New Roman"/>
        </w:rPr>
        <w:t>）》中的相关要求，将本项目产生、暂存粪便与规范的符合性，列表分析如下。</w:t>
      </w:r>
    </w:p>
    <w:p>
      <w:pPr>
        <w:spacing w:line="480" w:lineRule="exact"/>
        <w:ind w:firstLine="482"/>
        <w:jc w:val="center"/>
        <w:rPr>
          <w:rFonts w:ascii="Times New Roman" w:hAnsi="Times New Roman" w:eastAsia="黑体"/>
          <w:sz w:val="21"/>
          <w:szCs w:val="21"/>
        </w:rPr>
      </w:pPr>
      <w:r>
        <w:rPr>
          <w:rFonts w:ascii="Times New Roman" w:hAnsi="Times New Roman" w:eastAsia="黑体"/>
          <w:sz w:val="21"/>
          <w:szCs w:val="21"/>
        </w:rPr>
        <w:t>表1.3-5  与《规模猪场建设》符合性对照表</w:t>
      </w:r>
    </w:p>
    <w:tbl>
      <w:tblPr>
        <w:tblStyle w:val="90"/>
        <w:tblW w:w="8526"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19"/>
        <w:gridCol w:w="3250"/>
        <w:gridCol w:w="3598"/>
        <w:gridCol w:w="85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81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项目</w:t>
            </w:r>
          </w:p>
        </w:tc>
        <w:tc>
          <w:tcPr>
            <w:tcW w:w="3250" w:type="dxa"/>
            <w:vAlign w:val="center"/>
          </w:tcPr>
          <w:p>
            <w:pPr>
              <w:autoSpaceDE w:val="0"/>
              <w:autoSpaceDN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《规模猪场建设》要求</w:t>
            </w:r>
          </w:p>
        </w:tc>
        <w:tc>
          <w:tcPr>
            <w:tcW w:w="3598"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项目情况</w:t>
            </w:r>
          </w:p>
        </w:tc>
        <w:tc>
          <w:tcPr>
            <w:tcW w:w="85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符合性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32" w:hRule="atLeast"/>
        </w:trPr>
        <w:tc>
          <w:tcPr>
            <w:tcW w:w="81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功能分区</w:t>
            </w:r>
          </w:p>
        </w:tc>
        <w:tc>
          <w:tcPr>
            <w:tcW w:w="3250" w:type="dxa"/>
            <w:vAlign w:val="center"/>
          </w:tcPr>
          <w:p>
            <w:pPr>
              <w:shd w:val="clear" w:color="auto" w:fill="FFFFFF"/>
              <w:spacing w:line="240" w:lineRule="auto"/>
              <w:rPr>
                <w:rFonts w:ascii="Times New Roman" w:hAnsi="Times New Roman" w:eastAsiaTheme="majorEastAsia"/>
                <w:sz w:val="21"/>
                <w:szCs w:val="21"/>
              </w:rPr>
            </w:pPr>
            <w:r>
              <w:rPr>
                <w:rFonts w:ascii="Times New Roman" w:hAnsi="Times New Roman" w:eastAsiaTheme="majorEastAsia"/>
                <w:sz w:val="21"/>
                <w:szCs w:val="21"/>
              </w:rPr>
              <w:t>猪场建筑设施应按管理区、生产区和隔离区三个功能区布置。管理区应位于生产区常年主导风向的上风向及地势较高处，隔离区应位于在场区常年主导风向的下风及地势较低处，并有防疫隔离带或围墙。</w:t>
            </w:r>
          </w:p>
        </w:tc>
        <w:tc>
          <w:tcPr>
            <w:tcW w:w="3598" w:type="dxa"/>
            <w:vAlign w:val="center"/>
          </w:tcPr>
          <w:p>
            <w:pPr>
              <w:snapToGrid w:val="0"/>
              <w:spacing w:line="240" w:lineRule="auto"/>
              <w:rPr>
                <w:rFonts w:ascii="Times New Roman" w:hAnsi="Times New Roman" w:eastAsiaTheme="majorEastAsia"/>
                <w:sz w:val="21"/>
                <w:szCs w:val="21"/>
              </w:rPr>
            </w:pPr>
            <w:r>
              <w:rPr>
                <w:rFonts w:ascii="Times New Roman" w:hAnsi="Times New Roman" w:eastAsiaTheme="majorEastAsia"/>
                <w:sz w:val="21"/>
                <w:szCs w:val="21"/>
              </w:rPr>
              <w:t>按生产区、管理区、隔离区分区建设，隔离区位于在场区常年主导风向的侧下风向；防疫区设置隔离围墙。</w:t>
            </w:r>
          </w:p>
        </w:tc>
        <w:tc>
          <w:tcPr>
            <w:tcW w:w="85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625" w:hRule="atLeast"/>
        </w:trPr>
        <w:tc>
          <w:tcPr>
            <w:tcW w:w="819" w:type="dxa"/>
            <w:vAlign w:val="center"/>
          </w:tcPr>
          <w:p>
            <w:pPr>
              <w:autoSpaceDE w:val="0"/>
              <w:autoSpaceDN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生产工艺</w:t>
            </w:r>
          </w:p>
        </w:tc>
        <w:tc>
          <w:tcPr>
            <w:tcW w:w="3250" w:type="dxa"/>
            <w:vAlign w:val="center"/>
          </w:tcPr>
          <w:p>
            <w:pPr>
              <w:shd w:val="clear" w:color="auto" w:fill="FFFFFF"/>
              <w:spacing w:line="240" w:lineRule="auto"/>
              <w:rPr>
                <w:rFonts w:ascii="Times New Roman" w:hAnsi="Times New Roman" w:eastAsiaTheme="majorEastAsia"/>
                <w:sz w:val="21"/>
                <w:szCs w:val="21"/>
              </w:rPr>
            </w:pPr>
            <w:r>
              <w:rPr>
                <w:rFonts w:ascii="Times New Roman" w:hAnsi="Times New Roman" w:eastAsiaTheme="majorEastAsia"/>
                <w:sz w:val="21"/>
                <w:szCs w:val="21"/>
              </w:rPr>
              <w:t>以“周”为繁殖节律进行猪群的管理和周转，按仔猪保育、待售（生长育肥）工艺设计。分娩、保育猪舍采用单元式设计，实行全进全出制生产体系。</w:t>
            </w:r>
          </w:p>
        </w:tc>
        <w:tc>
          <w:tcPr>
            <w:tcW w:w="3598" w:type="dxa"/>
            <w:vAlign w:val="center"/>
          </w:tcPr>
          <w:p>
            <w:pPr>
              <w:autoSpaceDE w:val="0"/>
              <w:autoSpaceDN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按规范进行设计，实行全进全出制生产体系。仔猪在保育舍保育周期为7周，育肥周期为14周，全过程为21周，全过程饲养约2.5个饲养周期，保育舍全年3.7个饲养周期。</w:t>
            </w:r>
          </w:p>
        </w:tc>
        <w:tc>
          <w:tcPr>
            <w:tcW w:w="85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625" w:hRule="atLeast"/>
        </w:trPr>
        <w:tc>
          <w:tcPr>
            <w:tcW w:w="819" w:type="dxa"/>
            <w:vAlign w:val="center"/>
          </w:tcPr>
          <w:p>
            <w:pPr>
              <w:shd w:val="clear" w:color="auto" w:fill="FFFFFF"/>
              <w:spacing w:line="240" w:lineRule="auto"/>
              <w:rPr>
                <w:rFonts w:ascii="Times New Roman" w:hAnsi="Times New Roman" w:eastAsiaTheme="majorEastAsia"/>
                <w:sz w:val="21"/>
                <w:szCs w:val="21"/>
              </w:rPr>
            </w:pPr>
            <w:r>
              <w:rPr>
                <w:rFonts w:ascii="Times New Roman" w:hAnsi="Times New Roman" w:eastAsiaTheme="majorEastAsia"/>
                <w:sz w:val="21"/>
                <w:szCs w:val="21"/>
              </w:rPr>
              <w:t>水源及供应</w:t>
            </w:r>
          </w:p>
          <w:p>
            <w:pPr>
              <w:shd w:val="clear" w:color="auto" w:fill="FFFFFF"/>
              <w:spacing w:line="240" w:lineRule="auto"/>
              <w:rPr>
                <w:rFonts w:ascii="Times New Roman" w:hAnsi="Times New Roman" w:eastAsiaTheme="majorEastAsia"/>
                <w:sz w:val="21"/>
                <w:szCs w:val="21"/>
              </w:rPr>
            </w:pPr>
          </w:p>
        </w:tc>
        <w:tc>
          <w:tcPr>
            <w:tcW w:w="3250" w:type="dxa"/>
            <w:vAlign w:val="center"/>
          </w:tcPr>
          <w:p>
            <w:pPr>
              <w:shd w:val="clear" w:color="auto" w:fill="FFFFFF"/>
              <w:spacing w:line="240" w:lineRule="auto"/>
              <w:rPr>
                <w:rFonts w:ascii="Times New Roman" w:hAnsi="Times New Roman" w:eastAsiaTheme="majorEastAsia"/>
                <w:sz w:val="21"/>
                <w:szCs w:val="21"/>
              </w:rPr>
            </w:pPr>
            <w:r>
              <w:rPr>
                <w:rFonts w:ascii="Times New Roman" w:hAnsi="Times New Roman" w:eastAsiaTheme="majorEastAsia"/>
                <w:sz w:val="21"/>
                <w:szCs w:val="21"/>
              </w:rPr>
              <w:t>水源可采用地下水源与自来水，水质符合NY5027要求。猪舍供水可采用高压有塔或无塔供水系统，供水压力符合GB/T 17824.1要求。</w:t>
            </w:r>
          </w:p>
        </w:tc>
        <w:tc>
          <w:tcPr>
            <w:tcW w:w="3598" w:type="dxa"/>
            <w:vAlign w:val="center"/>
          </w:tcPr>
          <w:p>
            <w:pPr>
              <w:autoSpaceDE w:val="0"/>
              <w:autoSpaceDN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水源采用自来水，经过净化后供应。</w:t>
            </w:r>
          </w:p>
        </w:tc>
        <w:tc>
          <w:tcPr>
            <w:tcW w:w="85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符合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625" w:hRule="atLeast"/>
        </w:trPr>
        <w:tc>
          <w:tcPr>
            <w:tcW w:w="819" w:type="dxa"/>
            <w:vAlign w:val="center"/>
          </w:tcPr>
          <w:p>
            <w:pPr>
              <w:shd w:val="clear" w:color="auto" w:fill="FFFFFF"/>
              <w:spacing w:line="240" w:lineRule="auto"/>
              <w:rPr>
                <w:rFonts w:ascii="Times New Roman" w:hAnsi="Times New Roman" w:eastAsiaTheme="majorEastAsia"/>
                <w:sz w:val="21"/>
                <w:szCs w:val="21"/>
              </w:rPr>
            </w:pPr>
            <w:r>
              <w:rPr>
                <w:rFonts w:ascii="Times New Roman" w:hAnsi="Times New Roman" w:eastAsiaTheme="majorEastAsia"/>
                <w:sz w:val="21"/>
                <w:szCs w:val="21"/>
              </w:rPr>
              <w:t>供水量</w:t>
            </w:r>
          </w:p>
        </w:tc>
        <w:tc>
          <w:tcPr>
            <w:tcW w:w="3250" w:type="dxa"/>
            <w:vAlign w:val="center"/>
          </w:tcPr>
          <w:p>
            <w:pPr>
              <w:shd w:val="clear" w:color="auto" w:fill="FFFFFF"/>
              <w:spacing w:line="240" w:lineRule="auto"/>
              <w:rPr>
                <w:rFonts w:ascii="Times New Roman" w:hAnsi="Times New Roman" w:eastAsiaTheme="majorEastAsia"/>
                <w:sz w:val="21"/>
                <w:szCs w:val="21"/>
              </w:rPr>
            </w:pPr>
            <w:r>
              <w:rPr>
                <w:rFonts w:ascii="Times New Roman" w:hAnsi="Times New Roman" w:eastAsiaTheme="majorEastAsia"/>
                <w:sz w:val="21"/>
                <w:szCs w:val="21"/>
              </w:rPr>
              <w:t>1000头存栏量规模的猪场供水量25t/d。</w:t>
            </w:r>
          </w:p>
        </w:tc>
        <w:tc>
          <w:tcPr>
            <w:tcW w:w="3598" w:type="dxa"/>
            <w:vAlign w:val="center"/>
          </w:tcPr>
          <w:p>
            <w:pPr>
              <w:autoSpaceDE w:val="0"/>
              <w:autoSpaceDN w:val="0"/>
              <w:spacing w:line="240" w:lineRule="auto"/>
              <w:rPr>
                <w:rFonts w:ascii="Times New Roman" w:hAnsi="Times New Roman" w:eastAsiaTheme="majorEastAsia"/>
                <w:sz w:val="21"/>
                <w:szCs w:val="21"/>
              </w:rPr>
            </w:pPr>
            <w:r>
              <w:rPr>
                <w:rFonts w:ascii="Times New Roman" w:hAnsi="Times New Roman" w:eastAsiaTheme="majorEastAsia"/>
                <w:sz w:val="21"/>
                <w:szCs w:val="21"/>
              </w:rPr>
              <w:t>本项目存栏量月19900头，采用先进自主饮水设施，避免浪费，每日用水量110 t/d，大大低于规范标准。</w:t>
            </w:r>
          </w:p>
        </w:tc>
        <w:tc>
          <w:tcPr>
            <w:tcW w:w="859" w:type="dxa"/>
            <w:vAlign w:val="center"/>
          </w:tcPr>
          <w:p>
            <w:pPr>
              <w:snapToGrid w:val="0"/>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符合</w:t>
            </w:r>
          </w:p>
        </w:tc>
      </w:tr>
    </w:tbl>
    <w:p>
      <w:pPr>
        <w:snapToGrid w:val="0"/>
        <w:ind w:firstLine="465"/>
        <w:rPr>
          <w:rFonts w:ascii="Times New Roman" w:hAnsi="Times New Roman"/>
          <w:sz w:val="24"/>
          <w:szCs w:val="24"/>
        </w:rPr>
      </w:pPr>
      <w:r>
        <w:rPr>
          <w:rFonts w:ascii="Times New Roman" w:hAnsi="Times New Roman"/>
          <w:sz w:val="24"/>
          <w:szCs w:val="24"/>
        </w:rPr>
        <w:t>根据上表对比分析，本项目处理措施满足《规模猪场建设》中的相关要求。</w:t>
      </w:r>
    </w:p>
    <w:p>
      <w:pPr>
        <w:pStyle w:val="103"/>
        <w:numPr>
          <w:ilvl w:val="0"/>
          <w:numId w:val="0"/>
        </w:numPr>
        <w:rPr>
          <w:rFonts w:ascii="Times New Roman" w:hAnsi="Times New Roman"/>
          <w:b w:val="0"/>
          <w:bCs/>
          <w:kern w:val="28"/>
          <w:sz w:val="32"/>
          <w:szCs w:val="32"/>
        </w:rPr>
      </w:pPr>
      <w:bookmarkStart w:id="44" w:name="_Toc466449935"/>
      <w:bookmarkStart w:id="45" w:name="_Toc9873289"/>
      <w:r>
        <w:rPr>
          <w:rFonts w:ascii="Times New Roman" w:hAnsi="Times New Roman"/>
          <w:b w:val="0"/>
          <w:bCs/>
          <w:kern w:val="28"/>
          <w:sz w:val="32"/>
          <w:szCs w:val="32"/>
        </w:rPr>
        <w:t>1.</w:t>
      </w:r>
      <w:bookmarkStart w:id="46" w:name="_Toc461986215"/>
      <w:r>
        <w:rPr>
          <w:rFonts w:ascii="Times New Roman" w:hAnsi="Times New Roman"/>
          <w:b w:val="0"/>
          <w:bCs/>
          <w:kern w:val="28"/>
          <w:sz w:val="32"/>
          <w:szCs w:val="32"/>
        </w:rPr>
        <w:t>4  项目选址环境合理性分析</w:t>
      </w:r>
      <w:bookmarkEnd w:id="44"/>
      <w:bookmarkEnd w:id="45"/>
      <w:bookmarkEnd w:id="46"/>
    </w:p>
    <w:p>
      <w:pPr>
        <w:snapToGrid w:val="0"/>
        <w:ind w:firstLine="465"/>
        <w:rPr>
          <w:rFonts w:ascii="Times New Roman" w:hAnsi="Times New Roman" w:eastAsiaTheme="minorEastAsia"/>
          <w:b/>
          <w:sz w:val="24"/>
          <w:szCs w:val="24"/>
        </w:rPr>
      </w:pPr>
      <w:r>
        <w:rPr>
          <w:rFonts w:ascii="Times New Roman" w:hAnsi="Times New Roman" w:eastAsiaTheme="minorEastAsia"/>
          <w:b/>
          <w:sz w:val="24"/>
          <w:szCs w:val="24"/>
        </w:rPr>
        <w:t>（1）《畜禽养殖业污染防治技术规范》（HJT81-2001）</w:t>
      </w:r>
    </w:p>
    <w:p>
      <w:pPr>
        <w:snapToGrid w:val="0"/>
        <w:ind w:firstLine="465"/>
        <w:rPr>
          <w:rFonts w:ascii="Times New Roman" w:hAnsi="Times New Roman" w:eastAsiaTheme="minorEastAsia"/>
          <w:sz w:val="24"/>
          <w:szCs w:val="24"/>
        </w:rPr>
      </w:pPr>
      <w:r>
        <w:rPr>
          <w:rFonts w:ascii="Times New Roman" w:hAnsi="Times New Roman" w:eastAsiaTheme="minorEastAsia"/>
          <w:sz w:val="24"/>
          <w:szCs w:val="24"/>
        </w:rPr>
        <w:t>根据该技术规范要求，畜禽养殖场应避开以下禁建区域：</w:t>
      </w:r>
    </w:p>
    <w:p>
      <w:pPr>
        <w:snapToGrid w:val="0"/>
        <w:ind w:firstLine="465"/>
        <w:rPr>
          <w:rFonts w:ascii="Times New Roman" w:hAnsi="Times New Roman" w:eastAsiaTheme="minorEastAsia"/>
          <w:sz w:val="24"/>
          <w:szCs w:val="24"/>
        </w:rPr>
      </w:pPr>
      <w:r>
        <w:rPr>
          <w:rFonts w:ascii="Times New Roman" w:hAnsi="Times New Roman" w:eastAsiaTheme="minorEastAsia"/>
          <w:sz w:val="24"/>
          <w:szCs w:val="24"/>
        </w:rPr>
        <w:t>生活饮用水水源保护区、风景名胜区、自然保护区的核心区及缓冲区；</w:t>
      </w:r>
    </w:p>
    <w:p>
      <w:pPr>
        <w:snapToGrid w:val="0"/>
        <w:ind w:firstLine="465"/>
        <w:rPr>
          <w:rFonts w:ascii="Times New Roman" w:hAnsi="Times New Roman" w:eastAsiaTheme="minorEastAsia"/>
          <w:sz w:val="24"/>
          <w:szCs w:val="24"/>
        </w:rPr>
      </w:pPr>
      <w:r>
        <w:rPr>
          <w:rFonts w:ascii="Times New Roman" w:hAnsi="Times New Roman" w:eastAsiaTheme="minorEastAsia"/>
          <w:sz w:val="24"/>
          <w:szCs w:val="24"/>
        </w:rPr>
        <w:t>城市和城镇居民区，包括文教科研区、医疗区、商业区、工业区、游览区等人口集中地区；</w:t>
      </w:r>
    </w:p>
    <w:p>
      <w:pPr>
        <w:snapToGrid w:val="0"/>
        <w:ind w:firstLine="465"/>
        <w:rPr>
          <w:rFonts w:ascii="Times New Roman" w:hAnsi="Times New Roman" w:eastAsiaTheme="minorEastAsia"/>
          <w:sz w:val="24"/>
          <w:szCs w:val="24"/>
        </w:rPr>
      </w:pPr>
      <w:r>
        <w:rPr>
          <w:rFonts w:ascii="Times New Roman" w:hAnsi="Times New Roman" w:eastAsiaTheme="minorEastAsia"/>
          <w:sz w:val="24"/>
          <w:szCs w:val="24"/>
        </w:rPr>
        <w:t>县级人民政府依法划定的禁养区域；</w:t>
      </w:r>
    </w:p>
    <w:p>
      <w:pPr>
        <w:snapToGrid w:val="0"/>
        <w:ind w:firstLine="465"/>
        <w:rPr>
          <w:rFonts w:ascii="Times New Roman" w:hAnsi="Times New Roman" w:eastAsiaTheme="minorEastAsia"/>
          <w:sz w:val="24"/>
          <w:szCs w:val="24"/>
        </w:rPr>
      </w:pPr>
      <w:r>
        <w:rPr>
          <w:rFonts w:ascii="Times New Roman" w:hAnsi="Times New Roman" w:eastAsiaTheme="minorEastAsia"/>
          <w:sz w:val="24"/>
          <w:szCs w:val="24"/>
        </w:rPr>
        <w:t>国家或地方法律、法规规定需特殊保护的其他区域；</w:t>
      </w:r>
    </w:p>
    <w:p>
      <w:pPr>
        <w:snapToGrid w:val="0"/>
        <w:ind w:firstLine="465"/>
        <w:rPr>
          <w:rFonts w:ascii="Times New Roman" w:hAnsi="Times New Roman" w:eastAsiaTheme="minorEastAsia"/>
          <w:b/>
          <w:sz w:val="24"/>
          <w:szCs w:val="24"/>
        </w:rPr>
      </w:pPr>
      <w:r>
        <w:rPr>
          <w:rFonts w:ascii="Times New Roman" w:hAnsi="Times New Roman" w:eastAsiaTheme="minorEastAsia"/>
          <w:b/>
          <w:sz w:val="24"/>
          <w:szCs w:val="24"/>
        </w:rPr>
        <w:t>本项目拟选场址不属于禁止建设的区域，且位于冉义镇常年主导风向（东北风）侧风向。</w:t>
      </w:r>
    </w:p>
    <w:p>
      <w:pPr>
        <w:ind w:firstLine="465"/>
        <w:contextualSpacing/>
        <w:rPr>
          <w:rFonts w:ascii="Times New Roman" w:hAnsi="Times New Roman" w:eastAsiaTheme="minorEastAsia"/>
          <w:b/>
          <w:sz w:val="24"/>
          <w:szCs w:val="24"/>
        </w:rPr>
      </w:pPr>
      <w:r>
        <w:rPr>
          <w:rFonts w:ascii="Times New Roman" w:hAnsi="Times New Roman" w:eastAsiaTheme="minorEastAsia"/>
          <w:b/>
          <w:sz w:val="24"/>
          <w:szCs w:val="24"/>
        </w:rPr>
        <w:t>（2）《农产品安全质量—无公害畜禽肉产地环境要求》（GB/T18407）</w:t>
      </w:r>
    </w:p>
    <w:p>
      <w:pPr>
        <w:ind w:firstLine="465"/>
        <w:contextualSpacing/>
        <w:rPr>
          <w:rFonts w:ascii="Times New Roman" w:hAnsi="Times New Roman" w:eastAsiaTheme="minorEastAsia"/>
          <w:sz w:val="24"/>
          <w:szCs w:val="24"/>
        </w:rPr>
      </w:pPr>
      <w:r>
        <w:rPr>
          <w:rFonts w:ascii="Times New Roman" w:hAnsi="Times New Roman" w:eastAsiaTheme="minorEastAsia"/>
          <w:sz w:val="24"/>
          <w:szCs w:val="24"/>
        </w:rPr>
        <w:t>根据该标准规定： “畜禽养殖地必须选择在生态环境良好、无或不直接受工业“三废”及农业、城镇生活、医疗废弃物污染的生产区域。</w:t>
      </w:r>
    </w:p>
    <w:p>
      <w:pPr>
        <w:ind w:firstLine="465"/>
        <w:contextualSpacing/>
        <w:rPr>
          <w:rFonts w:ascii="Times New Roman" w:hAnsi="Times New Roman" w:eastAsiaTheme="minorEastAsia"/>
          <w:b/>
          <w:sz w:val="24"/>
          <w:szCs w:val="24"/>
        </w:rPr>
      </w:pPr>
      <w:r>
        <w:rPr>
          <w:rFonts w:ascii="Times New Roman" w:hAnsi="Times New Roman" w:eastAsiaTheme="minorEastAsia"/>
          <w:b/>
          <w:sz w:val="24"/>
          <w:szCs w:val="24"/>
        </w:rPr>
        <w:t>据调查，本项目拟建场址周围无工业等污染源分布，无水源防护区、风景名胜区、人口密集区等环境敏感地区，符合该规定要求。</w:t>
      </w:r>
    </w:p>
    <w:p>
      <w:pPr>
        <w:ind w:firstLine="465"/>
        <w:contextualSpacing/>
        <w:rPr>
          <w:rFonts w:ascii="Times New Roman" w:hAnsi="Times New Roman" w:eastAsiaTheme="minorEastAsia"/>
          <w:b/>
          <w:sz w:val="24"/>
          <w:szCs w:val="24"/>
        </w:rPr>
      </w:pPr>
      <w:r>
        <w:rPr>
          <w:rFonts w:ascii="Times New Roman" w:hAnsi="Times New Roman" w:eastAsiaTheme="minorEastAsia"/>
          <w:b/>
          <w:sz w:val="24"/>
          <w:szCs w:val="24"/>
        </w:rPr>
        <w:t>（3）《畜禽规模养殖污染防治条例》（国务院令第643号）</w:t>
      </w:r>
    </w:p>
    <w:p>
      <w:pPr>
        <w:ind w:firstLine="480"/>
        <w:contextualSpacing/>
        <w:rPr>
          <w:rFonts w:ascii="Times New Roman" w:hAnsi="Times New Roman" w:eastAsiaTheme="minorEastAsia"/>
          <w:sz w:val="24"/>
          <w:szCs w:val="24"/>
          <w:shd w:val="clear" w:color="auto" w:fill="FFFFFF"/>
        </w:rPr>
      </w:pPr>
      <w:r>
        <w:rPr>
          <w:rFonts w:ascii="Times New Roman" w:hAnsi="Times New Roman" w:eastAsiaTheme="minorEastAsia"/>
          <w:sz w:val="24"/>
          <w:szCs w:val="24"/>
          <w:shd w:val="clear" w:color="auto" w:fill="FFFFFF"/>
        </w:rPr>
        <w:t>该条例规定禁止在下列区域内建设畜禽养殖场、养殖小区：</w:t>
      </w:r>
    </w:p>
    <w:p>
      <w:pPr>
        <w:ind w:firstLine="480"/>
        <w:contextualSpacing/>
        <w:rPr>
          <w:rFonts w:ascii="Times New Roman" w:hAnsi="Times New Roman" w:eastAsiaTheme="minorEastAsia"/>
          <w:sz w:val="24"/>
          <w:szCs w:val="24"/>
          <w:shd w:val="clear" w:color="auto" w:fill="FFFFFF"/>
        </w:rPr>
      </w:pPr>
      <w:r>
        <w:rPr>
          <w:rFonts w:ascii="Times New Roman" w:hAnsi="Times New Roman" w:eastAsiaTheme="minorEastAsia"/>
          <w:sz w:val="24"/>
          <w:szCs w:val="24"/>
          <w:shd w:val="clear" w:color="auto" w:fill="FFFFFF"/>
        </w:rPr>
        <w:t>（一）饮用水水源保护区，风景名胜区；</w:t>
      </w:r>
    </w:p>
    <w:p>
      <w:pPr>
        <w:ind w:firstLine="480"/>
        <w:contextualSpacing/>
        <w:rPr>
          <w:rFonts w:ascii="Times New Roman" w:hAnsi="Times New Roman" w:eastAsiaTheme="minorEastAsia"/>
          <w:sz w:val="24"/>
          <w:szCs w:val="24"/>
          <w:shd w:val="clear" w:color="auto" w:fill="FFFFFF"/>
        </w:rPr>
      </w:pPr>
      <w:r>
        <w:rPr>
          <w:rFonts w:ascii="Times New Roman" w:hAnsi="Times New Roman" w:eastAsiaTheme="minorEastAsia"/>
          <w:sz w:val="24"/>
          <w:szCs w:val="24"/>
        </w:rPr>
        <w:t>（</w:t>
      </w:r>
      <w:r>
        <w:rPr>
          <w:rFonts w:ascii="Times New Roman" w:hAnsi="Times New Roman" w:eastAsiaTheme="minorEastAsia"/>
          <w:sz w:val="24"/>
          <w:szCs w:val="24"/>
          <w:shd w:val="clear" w:color="auto" w:fill="FFFFFF"/>
        </w:rPr>
        <w:t>二）自然保护区的核心区和缓冲区；</w:t>
      </w:r>
    </w:p>
    <w:p>
      <w:pPr>
        <w:ind w:firstLine="480"/>
        <w:contextualSpacing/>
        <w:rPr>
          <w:rFonts w:ascii="Times New Roman" w:hAnsi="Times New Roman" w:eastAsiaTheme="minorEastAsia"/>
          <w:sz w:val="24"/>
          <w:szCs w:val="24"/>
          <w:shd w:val="clear" w:color="auto" w:fill="FFFFFF"/>
        </w:rPr>
      </w:pPr>
      <w:r>
        <w:rPr>
          <w:rFonts w:ascii="Times New Roman" w:hAnsi="Times New Roman" w:eastAsiaTheme="minorEastAsia"/>
          <w:sz w:val="24"/>
          <w:szCs w:val="24"/>
          <w:shd w:val="clear" w:color="auto" w:fill="FFFFFF"/>
        </w:rPr>
        <w:t>（三）城镇居民区、文化教育科学研究区等人口集中区域；</w:t>
      </w:r>
    </w:p>
    <w:p>
      <w:pPr>
        <w:ind w:firstLine="480"/>
        <w:contextualSpacing/>
        <w:rPr>
          <w:rFonts w:ascii="Times New Roman" w:hAnsi="Times New Roman" w:eastAsiaTheme="minorEastAsia"/>
          <w:sz w:val="24"/>
          <w:szCs w:val="24"/>
          <w:shd w:val="clear" w:color="auto" w:fill="FFFFFF"/>
        </w:rPr>
      </w:pPr>
      <w:r>
        <w:rPr>
          <w:rFonts w:ascii="Times New Roman" w:hAnsi="Times New Roman" w:eastAsiaTheme="minorEastAsia"/>
          <w:sz w:val="24"/>
          <w:szCs w:val="24"/>
          <w:shd w:val="clear" w:color="auto" w:fill="FFFFFF"/>
        </w:rPr>
        <w:t>（四）法律、法规规定的其他禁止养殖区域。</w:t>
      </w:r>
    </w:p>
    <w:p>
      <w:pPr>
        <w:ind w:firstLine="465"/>
        <w:contextualSpacing/>
        <w:rPr>
          <w:rFonts w:ascii="Times New Roman" w:hAnsi="Times New Roman" w:eastAsiaTheme="minorEastAsia"/>
          <w:b/>
          <w:sz w:val="24"/>
          <w:szCs w:val="24"/>
        </w:rPr>
      </w:pPr>
      <w:r>
        <w:rPr>
          <w:rFonts w:ascii="Times New Roman" w:hAnsi="Times New Roman" w:eastAsiaTheme="minorEastAsia"/>
          <w:b/>
          <w:sz w:val="24"/>
          <w:szCs w:val="24"/>
        </w:rPr>
        <w:t>据调查，本项目拟选场址不属于上述禁止建设的区域，符合该条例要求。</w:t>
      </w:r>
    </w:p>
    <w:p>
      <w:pPr>
        <w:ind w:firstLine="465"/>
        <w:contextualSpacing/>
        <w:rPr>
          <w:rFonts w:ascii="Times New Roman" w:hAnsi="Times New Roman" w:eastAsiaTheme="minorEastAsia"/>
          <w:b/>
          <w:sz w:val="24"/>
          <w:szCs w:val="24"/>
        </w:rPr>
      </w:pPr>
      <w:r>
        <w:rPr>
          <w:rFonts w:ascii="Times New Roman" w:hAnsi="Times New Roman" w:eastAsiaTheme="minorEastAsia"/>
          <w:b/>
          <w:sz w:val="24"/>
          <w:szCs w:val="24"/>
        </w:rPr>
        <w:t>（4）地方对养殖规划的要求</w:t>
      </w:r>
    </w:p>
    <w:p>
      <w:pPr>
        <w:ind w:firstLine="480"/>
        <w:rPr>
          <w:rFonts w:ascii="Times New Roman" w:hAnsi="Times New Roman" w:eastAsiaTheme="minorEastAsia"/>
          <w:sz w:val="24"/>
          <w:szCs w:val="24"/>
        </w:rPr>
      </w:pPr>
      <w:r>
        <w:rPr>
          <w:rFonts w:ascii="Times New Roman" w:hAnsi="Times New Roman" w:eastAsiaTheme="minorEastAsia"/>
          <w:kern w:val="0"/>
          <w:sz w:val="24"/>
          <w:szCs w:val="24"/>
        </w:rPr>
        <w:t>根据《邛崃市人民政府关于规范种植养殖业配套设施用地管理的实施意见》</w:t>
      </w:r>
      <w:r>
        <w:rPr>
          <w:rFonts w:ascii="Times New Roman" w:hAnsi="Times New Roman" w:eastAsiaTheme="minorEastAsia"/>
          <w:sz w:val="24"/>
          <w:szCs w:val="24"/>
        </w:rPr>
        <w:t>（邛府函[2007]140号）、《邛崃市人大常委会关于加强畜禽养殖污染防治的决定》(邛人发〔2009〕28号)等文件的要求，邛崃市划定畜禽养殖禁养区为：</w:t>
      </w:r>
    </w:p>
    <w:p>
      <w:pPr>
        <w:ind w:firstLine="480"/>
        <w:rPr>
          <w:rFonts w:ascii="Times New Roman" w:hAnsi="Times New Roman" w:eastAsiaTheme="minorEastAsia"/>
          <w:sz w:val="24"/>
          <w:szCs w:val="24"/>
        </w:rPr>
      </w:pPr>
      <w:r>
        <w:rPr>
          <w:rFonts w:hint="eastAsia" w:ascii="宋体" w:hAnsi="宋体" w:cs="宋体"/>
          <w:sz w:val="24"/>
          <w:szCs w:val="24"/>
        </w:rPr>
        <w:t>①</w:t>
      </w:r>
      <w:r>
        <w:rPr>
          <w:rFonts w:ascii="Times New Roman" w:hAnsi="Times New Roman" w:eastAsiaTheme="minorEastAsia"/>
          <w:sz w:val="24"/>
          <w:szCs w:val="24"/>
        </w:rPr>
        <w:t>城市和镇乡、村集中式饮用水水源保护区，即城区自来水三厂取水点南河、出江河上游3500米至下游100米的水域及其河岸两侧纵深各200米的陆域；各镇乡、村集中供水点采用地下水源的，以取水点（井）为中心，半径200米范围以内。</w:t>
      </w:r>
    </w:p>
    <w:p>
      <w:pPr>
        <w:ind w:firstLine="480"/>
        <w:rPr>
          <w:rFonts w:ascii="Times New Roman" w:hAnsi="Times New Roman" w:eastAsiaTheme="minorEastAsia"/>
          <w:sz w:val="24"/>
          <w:szCs w:val="24"/>
        </w:rPr>
      </w:pPr>
      <w:r>
        <w:rPr>
          <w:rFonts w:hint="eastAsia" w:ascii="宋体" w:hAnsi="宋体" w:cs="宋体"/>
          <w:sz w:val="24"/>
          <w:szCs w:val="24"/>
        </w:rPr>
        <w:t>②</w:t>
      </w:r>
      <w:r>
        <w:rPr>
          <w:rFonts w:ascii="Times New Roman" w:hAnsi="Times New Roman" w:eastAsiaTheme="minorEastAsia"/>
          <w:sz w:val="24"/>
          <w:szCs w:val="24"/>
        </w:rPr>
        <w:t>天台山景区、平乐古镇景区、白鹤山景区等重要风景名胜区的核心区及缓冲区。</w:t>
      </w:r>
    </w:p>
    <w:p>
      <w:pPr>
        <w:ind w:firstLine="480"/>
        <w:rPr>
          <w:rFonts w:ascii="Times New Roman" w:hAnsi="Times New Roman" w:eastAsiaTheme="minorEastAsia"/>
          <w:sz w:val="24"/>
          <w:szCs w:val="24"/>
        </w:rPr>
      </w:pPr>
      <w:r>
        <w:rPr>
          <w:rFonts w:hint="eastAsia" w:ascii="宋体" w:hAnsi="宋体" w:cs="宋体"/>
          <w:sz w:val="24"/>
          <w:szCs w:val="24"/>
        </w:rPr>
        <w:t>③</w:t>
      </w:r>
      <w:r>
        <w:rPr>
          <w:rFonts w:ascii="Times New Roman" w:hAnsi="Times New Roman" w:eastAsiaTheme="minorEastAsia"/>
          <w:sz w:val="24"/>
          <w:szCs w:val="24"/>
        </w:rPr>
        <w:t>城市规划区和镇乡集镇规划区、农村集中居住区及市内南河、文井江、白沫江、出江河、斜江河等河流及主要干渠两岸纵深100米范围内。</w:t>
      </w:r>
    </w:p>
    <w:p>
      <w:pPr>
        <w:ind w:firstLine="480"/>
        <w:rPr>
          <w:rFonts w:ascii="Times New Roman" w:hAnsi="Times New Roman" w:eastAsiaTheme="minorEastAsia"/>
          <w:sz w:val="24"/>
          <w:szCs w:val="24"/>
        </w:rPr>
      </w:pPr>
      <w:r>
        <w:rPr>
          <w:rFonts w:hint="eastAsia" w:ascii="宋体" w:hAnsi="宋体" w:cs="宋体"/>
          <w:sz w:val="24"/>
          <w:szCs w:val="24"/>
        </w:rPr>
        <w:t>④</w:t>
      </w:r>
      <w:r>
        <w:rPr>
          <w:rFonts w:ascii="Times New Roman" w:hAnsi="Times New Roman" w:eastAsiaTheme="minorEastAsia"/>
          <w:sz w:val="24"/>
          <w:szCs w:val="24"/>
        </w:rPr>
        <w:t>市内成温邛高速公路、邛名路、新邛路、天台山旅游环线等主要干道两侧纵深50米范围内。</w:t>
      </w:r>
    </w:p>
    <w:p>
      <w:pPr>
        <w:ind w:firstLine="480"/>
        <w:rPr>
          <w:rFonts w:ascii="Times New Roman" w:hAnsi="Times New Roman" w:eastAsiaTheme="minorEastAsia"/>
          <w:b/>
          <w:sz w:val="24"/>
          <w:szCs w:val="24"/>
        </w:rPr>
      </w:pPr>
      <w:r>
        <w:rPr>
          <w:rFonts w:ascii="Times New Roman" w:hAnsi="Times New Roman" w:eastAsiaTheme="minorEastAsia"/>
          <w:b/>
          <w:sz w:val="24"/>
          <w:szCs w:val="24"/>
        </w:rPr>
        <w:t>本项目所在地冉义镇白玉村不属于上述养殖禁养区范围，厂址距离斜江河480m，不在两岸纵深100m范围内，不在上述禁止区域内，符合相关文件要求。</w:t>
      </w:r>
    </w:p>
    <w:p>
      <w:pPr>
        <w:ind w:firstLine="482"/>
        <w:rPr>
          <w:rFonts w:ascii="Times New Roman" w:hAnsi="Times New Roman" w:eastAsiaTheme="minorEastAsia"/>
          <w:b/>
          <w:sz w:val="24"/>
          <w:szCs w:val="24"/>
        </w:rPr>
      </w:pPr>
      <w:r>
        <w:rPr>
          <w:rFonts w:ascii="Times New Roman" w:hAnsi="Times New Roman" w:eastAsiaTheme="minorEastAsia"/>
          <w:b/>
          <w:sz w:val="24"/>
          <w:szCs w:val="24"/>
        </w:rPr>
        <w:t>（5）项目选址与相关规定的对比分析</w:t>
      </w:r>
    </w:p>
    <w:p>
      <w:pPr>
        <w:ind w:firstLine="480"/>
        <w:rPr>
          <w:rFonts w:ascii="Times New Roman" w:hAnsi="Times New Roman" w:eastAsiaTheme="minorEastAsia"/>
          <w:sz w:val="24"/>
          <w:szCs w:val="24"/>
        </w:rPr>
      </w:pPr>
      <w:r>
        <w:rPr>
          <w:rFonts w:ascii="Times New Roman" w:hAnsi="Times New Roman" w:eastAsiaTheme="minorEastAsia"/>
          <w:sz w:val="24"/>
          <w:szCs w:val="24"/>
        </w:rPr>
        <w:t>项目选址与相关规定的对比分析情况详见下表。</w:t>
      </w:r>
    </w:p>
    <w:p>
      <w:pPr>
        <w:spacing w:line="480" w:lineRule="exact"/>
        <w:ind w:firstLine="482"/>
        <w:jc w:val="center"/>
        <w:rPr>
          <w:rFonts w:ascii="Times New Roman" w:hAnsi="Times New Roman" w:eastAsia="黑体"/>
          <w:sz w:val="21"/>
          <w:szCs w:val="21"/>
        </w:rPr>
      </w:pPr>
      <w:r>
        <w:rPr>
          <w:rFonts w:ascii="Times New Roman" w:hAnsi="Times New Roman" w:eastAsia="黑体"/>
          <w:sz w:val="21"/>
          <w:szCs w:val="21"/>
        </w:rPr>
        <w:t>表1.4-1  场址选址要求与本项目场址情况比对表</w:t>
      </w:r>
    </w:p>
    <w:tbl>
      <w:tblPr>
        <w:tblStyle w:val="90"/>
        <w:tblW w:w="8525"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588"/>
        <w:gridCol w:w="3600"/>
        <w:gridCol w:w="3000"/>
        <w:gridCol w:w="133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序号</w:t>
            </w:r>
          </w:p>
        </w:tc>
        <w:tc>
          <w:tcPr>
            <w:tcW w:w="3600"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相关规范和要求</w:t>
            </w:r>
          </w:p>
        </w:tc>
        <w:tc>
          <w:tcPr>
            <w:tcW w:w="3000"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本项目场址情况</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比对情况</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禁止在城市和城镇居民区，包括文教科研区、医疗区、商业区、工业区、游览区等人口集中地区建设畜禽养殖场</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本项目地处农村地区，目前场界周围100m范围内有近2户散居农户，已和企业签订协议和知情同意书，200m范围内北面有大邑县泉水村10余户（距离场区150m）</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满足要求，不属于集中居住区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禁止在生活饮用水水源保护区（包括地表水源保护区和地下水源保护区）、风景名胜区、自然保护区的核心区及缓冲区建设畜禽养殖场</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本项目周边主要为农田、林地，无生活饮用水水源保护区、风景名胜区、自然保护区的核心区及缓冲区</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056" w:hRule="atLeast"/>
        </w:trPr>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禁止在县级人民政府依法划定的禁养区域建设畜禽养殖场</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本项目拟建地不属于县级人民政府依法划定的禁养区域建设畜禽养殖场</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禁止在国家或地方法律、法规规定需特殊保护的其它区域建设畜禽养殖场本项目拟建地不属于国家或地方法律、法规规定需特殊保护的其它区域</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本项目周围无兽医机构,畜禽屠宰厂，距离居民区4km。位于集中居民区的常年主导风向的侧风向</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.建设用地应符合当地村镇发展规划和土地利用规划及生产要求</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本项目占地97亩，邛崃市国土资源局出具了项目用地备案通知书</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应建在地势高、干燥、背风向阳、排水良好、符合防疫要求</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项目地拟建地地势高、地势开阔，干燥、背风向阳、排水良好、符合防疫要求</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7</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邛崃市规划区和镇乡集镇规划区、农村集中居住区及市内南河、文井江、白沫江、出江河、斜江河等河流及主要干渠两岸纵深100米范围不得建设养殖小区</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距离斜江河400m</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88"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8</w:t>
            </w:r>
          </w:p>
        </w:tc>
        <w:tc>
          <w:tcPr>
            <w:tcW w:w="36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粪便贮存设施设施的位置必须远离各能地表水体（距离不得小于 400m）</w:t>
            </w:r>
          </w:p>
        </w:tc>
        <w:tc>
          <w:tcPr>
            <w:tcW w:w="3000" w:type="dxa"/>
            <w:vAlign w:val="center"/>
          </w:tcPr>
          <w:p>
            <w:pPr>
              <w:spacing w:line="280" w:lineRule="exact"/>
              <w:rPr>
                <w:rFonts w:ascii="Times New Roman" w:hAnsi="Times New Roman" w:eastAsiaTheme="minorEastAsia"/>
                <w:sz w:val="21"/>
                <w:szCs w:val="21"/>
              </w:rPr>
            </w:pPr>
            <w:r>
              <w:rPr>
                <w:rFonts w:ascii="Times New Roman" w:hAnsi="Times New Roman" w:eastAsiaTheme="minorEastAsia"/>
                <w:sz w:val="21"/>
                <w:szCs w:val="21"/>
              </w:rPr>
              <w:t>本项目厂区边界距地斜江河最近距离约 400m，粪便通过深度干湿分离，分离出的固体粪渣进行堆肥，用作生物肥原料。对分场所位于厂区中部，距离斜江河岸560m</w:t>
            </w:r>
          </w:p>
        </w:tc>
        <w:tc>
          <w:tcPr>
            <w:tcW w:w="133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满足要求</w:t>
            </w:r>
          </w:p>
        </w:tc>
      </w:tr>
    </w:tbl>
    <w:p>
      <w:pPr>
        <w:snapToGrid w:val="0"/>
        <w:ind w:firstLine="465"/>
        <w:rPr>
          <w:rFonts w:ascii="Times New Roman" w:hAnsi="Times New Roman"/>
          <w:sz w:val="24"/>
          <w:szCs w:val="24"/>
        </w:rPr>
      </w:pPr>
      <w:r>
        <w:rPr>
          <w:rFonts w:ascii="Times New Roman" w:hAnsi="Times New Roman"/>
          <w:sz w:val="24"/>
          <w:szCs w:val="24"/>
        </w:rPr>
        <w:t>根据上表可知，本项目拟选场址位于邛崃市冉义镇园林村（原白玉村），不属于城镇居民生活区内，项目周围属农村环境，不涉及水源保护区、风景名胜区、自然保护区等环境敏感区，外环境较为单一，场址周围无明显环境制约因素，不在邛崃市划定的畜禽养殖禁养区范围内，与相关规范及要求相符合。</w:t>
      </w:r>
    </w:p>
    <w:p>
      <w:pPr>
        <w:adjustRightInd w:val="0"/>
        <w:snapToGrid w:val="0"/>
        <w:ind w:firstLine="480" w:firstLineChars="200"/>
        <w:rPr>
          <w:rFonts w:ascii="Times New Roman" w:hAnsi="Times New Roman"/>
          <w:sz w:val="24"/>
          <w:szCs w:val="24"/>
        </w:rPr>
      </w:pPr>
      <w:r>
        <w:rPr>
          <w:rFonts w:ascii="Times New Roman" w:hAnsi="Times New Roman"/>
          <w:sz w:val="24"/>
          <w:szCs w:val="24"/>
        </w:rPr>
        <w:t>综上分析，本项目拟建场址基本选址合理。</w:t>
      </w:r>
    </w:p>
    <w:p>
      <w:pPr>
        <w:pStyle w:val="103"/>
        <w:numPr>
          <w:ilvl w:val="0"/>
          <w:numId w:val="0"/>
        </w:numPr>
        <w:rPr>
          <w:rFonts w:ascii="Times New Roman" w:hAnsi="Times New Roman"/>
          <w:b w:val="0"/>
          <w:bCs/>
          <w:kern w:val="28"/>
          <w:sz w:val="32"/>
          <w:szCs w:val="32"/>
        </w:rPr>
      </w:pPr>
      <w:bookmarkStart w:id="47" w:name="_Toc9873290"/>
      <w:r>
        <w:rPr>
          <w:rFonts w:ascii="Times New Roman" w:hAnsi="Times New Roman"/>
          <w:b w:val="0"/>
          <w:bCs/>
          <w:kern w:val="28"/>
          <w:sz w:val="32"/>
          <w:szCs w:val="32"/>
        </w:rPr>
        <w:t>1.5  评价因子</w:t>
      </w:r>
      <w:bookmarkEnd w:id="47"/>
    </w:p>
    <w:p>
      <w:pPr>
        <w:adjustRightInd w:val="0"/>
        <w:snapToGrid w:val="0"/>
        <w:ind w:firstLine="480" w:firstLineChars="200"/>
        <w:rPr>
          <w:rFonts w:ascii="Times New Roman" w:hAnsi="Times New Roman"/>
          <w:sz w:val="24"/>
          <w:szCs w:val="24"/>
        </w:rPr>
      </w:pPr>
      <w:r>
        <w:rPr>
          <w:rFonts w:ascii="Times New Roman" w:hAnsi="Times New Roman"/>
          <w:sz w:val="24"/>
          <w:szCs w:val="24"/>
        </w:rPr>
        <w:t>结合评价区域环境及本项目主要污染物产生特点，确定本项目现状评价因子和环境影响预测因子如下：</w:t>
      </w:r>
    </w:p>
    <w:p>
      <w:pPr>
        <w:spacing w:line="480" w:lineRule="exact"/>
        <w:jc w:val="center"/>
        <w:rPr>
          <w:rFonts w:ascii="Times New Roman" w:hAnsi="Times New Roman" w:eastAsia="黑体"/>
          <w:sz w:val="21"/>
          <w:szCs w:val="21"/>
        </w:rPr>
      </w:pPr>
      <w:r>
        <w:rPr>
          <w:rFonts w:ascii="Times New Roman" w:hAnsi="Times New Roman" w:eastAsia="黑体"/>
          <w:sz w:val="21"/>
          <w:szCs w:val="21"/>
        </w:rPr>
        <w:t>表1.5-1  评价因子确定表</w:t>
      </w:r>
    </w:p>
    <w:tbl>
      <w:tblPr>
        <w:tblStyle w:val="90"/>
        <w:tblW w:w="8529"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308"/>
        <w:gridCol w:w="1980"/>
        <w:gridCol w:w="5241"/>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08"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环境要素</w:t>
            </w: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评价类别</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评价内容及因子</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41" w:hRule="atLeast"/>
          <w:jc w:val="center"/>
        </w:trPr>
        <w:tc>
          <w:tcPr>
            <w:tcW w:w="1308" w:type="dxa"/>
            <w:vMerge w:val="restart"/>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大气环境</w:t>
            </w: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现状评价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TSP、PM</w:t>
            </w:r>
            <w:r>
              <w:rPr>
                <w:rFonts w:ascii="Times New Roman" w:hAnsi="Times New Roman" w:eastAsiaTheme="minorEastAsia"/>
                <w:sz w:val="21"/>
                <w:szCs w:val="21"/>
                <w:vertAlign w:val="subscript"/>
              </w:rPr>
              <w:t>2.5</w:t>
            </w:r>
            <w:r>
              <w:rPr>
                <w:rFonts w:ascii="Times New Roman" w:hAnsi="Times New Roman" w:eastAsiaTheme="minorEastAsia"/>
                <w:sz w:val="21"/>
                <w:szCs w:val="21"/>
              </w:rPr>
              <w:t>、PM</w:t>
            </w:r>
            <w:r>
              <w:rPr>
                <w:rFonts w:ascii="Times New Roman" w:hAnsi="Times New Roman" w:eastAsiaTheme="minorEastAsia"/>
                <w:sz w:val="21"/>
                <w:szCs w:val="21"/>
                <w:vertAlign w:val="subscript"/>
              </w:rPr>
              <w:t>10</w:t>
            </w:r>
            <w:r>
              <w:rPr>
                <w:rFonts w:ascii="Times New Roman" w:hAnsi="Times New Roman" w:eastAsiaTheme="minorEastAsia"/>
                <w:sz w:val="21"/>
                <w:szCs w:val="21"/>
              </w:rPr>
              <w:t>、SO</w:t>
            </w:r>
            <w:r>
              <w:rPr>
                <w:rFonts w:ascii="Times New Roman" w:hAnsi="Times New Roman" w:eastAsiaTheme="minorEastAsia"/>
                <w:sz w:val="21"/>
                <w:szCs w:val="21"/>
                <w:vertAlign w:val="subscript"/>
              </w:rPr>
              <w:t>2</w:t>
            </w:r>
            <w:r>
              <w:rPr>
                <w:rFonts w:ascii="Times New Roman" w:hAnsi="Times New Roman" w:eastAsiaTheme="minorEastAsia"/>
                <w:sz w:val="21"/>
                <w:szCs w:val="21"/>
              </w:rPr>
              <w:t>、NO</w:t>
            </w:r>
            <w:r>
              <w:rPr>
                <w:rFonts w:ascii="Times New Roman" w:hAnsi="Times New Roman" w:eastAsiaTheme="minorEastAsia"/>
                <w:sz w:val="21"/>
                <w:szCs w:val="21"/>
                <w:vertAlign w:val="subscript"/>
              </w:rPr>
              <w:t>2</w:t>
            </w: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r>
              <w:rPr>
                <w:rFonts w:ascii="Times New Roman" w:hAnsi="Times New Roman" w:eastAsiaTheme="minorEastAsia"/>
                <w:sz w:val="21"/>
                <w:szCs w:val="21"/>
              </w:rPr>
              <w:t>、H</w:t>
            </w:r>
            <w:r>
              <w:rPr>
                <w:rFonts w:ascii="Times New Roman" w:hAnsi="Times New Roman" w:eastAsiaTheme="minorEastAsia"/>
                <w:sz w:val="21"/>
                <w:szCs w:val="21"/>
                <w:vertAlign w:val="subscript"/>
              </w:rPr>
              <w:t>2</w:t>
            </w:r>
            <w:r>
              <w:rPr>
                <w:rFonts w:ascii="Times New Roman" w:hAnsi="Times New Roman" w:eastAsiaTheme="minorEastAsia"/>
                <w:sz w:val="21"/>
                <w:szCs w:val="21"/>
              </w:rPr>
              <w:t>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continue"/>
            <w:vAlign w:val="center"/>
          </w:tcPr>
          <w:p>
            <w:pPr>
              <w:spacing w:line="360" w:lineRule="exact"/>
              <w:jc w:val="center"/>
              <w:rPr>
                <w:rFonts w:ascii="Times New Roman" w:hAnsi="Times New Roman" w:eastAsiaTheme="minorEastAsia"/>
                <w:sz w:val="21"/>
                <w:szCs w:val="21"/>
              </w:rPr>
            </w:pP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影响预测评价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恶臭气体（NH</w:t>
            </w:r>
            <w:r>
              <w:rPr>
                <w:rFonts w:ascii="Times New Roman" w:hAnsi="Times New Roman" w:eastAsiaTheme="minorEastAsia"/>
                <w:sz w:val="21"/>
                <w:szCs w:val="21"/>
                <w:vertAlign w:val="subscript"/>
              </w:rPr>
              <w:t>3</w:t>
            </w:r>
            <w:r>
              <w:rPr>
                <w:rFonts w:ascii="Times New Roman" w:hAnsi="Times New Roman" w:eastAsiaTheme="minorEastAsia"/>
                <w:sz w:val="21"/>
                <w:szCs w:val="21"/>
              </w:rPr>
              <w:t>、H</w:t>
            </w:r>
            <w:r>
              <w:rPr>
                <w:rFonts w:ascii="Times New Roman" w:hAnsi="Times New Roman" w:eastAsiaTheme="minorEastAsia"/>
                <w:sz w:val="21"/>
                <w:szCs w:val="21"/>
                <w:vertAlign w:val="subscript"/>
              </w:rPr>
              <w:t>2</w:t>
            </w:r>
            <w:r>
              <w:rPr>
                <w:rFonts w:ascii="Times New Roman" w:hAnsi="Times New Roman" w:eastAsiaTheme="minorEastAsia"/>
                <w:sz w:val="21"/>
                <w:szCs w:val="21"/>
              </w:rPr>
              <w:t>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restart"/>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地表水</w:t>
            </w: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现状评价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pH值、溶解氧、化学需氧量、氨氮、五日生化需氧量、总磷、总氮、粪大肠菌群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continue"/>
            <w:vAlign w:val="center"/>
          </w:tcPr>
          <w:p>
            <w:pPr>
              <w:spacing w:line="360" w:lineRule="exact"/>
              <w:jc w:val="center"/>
              <w:rPr>
                <w:rFonts w:ascii="Times New Roman" w:hAnsi="Times New Roman" w:eastAsiaTheme="minorEastAsia"/>
                <w:sz w:val="21"/>
                <w:szCs w:val="21"/>
              </w:rPr>
            </w:pP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影响预测评价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因本项目生产废水经处理后全部综合利用，不直接排入地表水体，故重点分析环境保护措施的可行性和可靠性。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restart"/>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地下水</w:t>
            </w: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现状评价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pH、高锰酸盐指数、氯化物、TP、BOD</w:t>
            </w:r>
            <w:r>
              <w:rPr>
                <w:rFonts w:ascii="Times New Roman" w:hAnsi="Times New Roman" w:eastAsiaTheme="minorEastAsia"/>
                <w:sz w:val="21"/>
                <w:szCs w:val="21"/>
                <w:vertAlign w:val="subscript"/>
              </w:rPr>
              <w:t>5</w:t>
            </w: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r>
              <w:rPr>
                <w:rFonts w:ascii="Times New Roman" w:hAnsi="Times New Roman" w:eastAsiaTheme="minorEastAsia"/>
                <w:sz w:val="21"/>
                <w:szCs w:val="21"/>
              </w:rPr>
              <w:t>-N、总大肠菌群、细菌总数；K</w:t>
            </w:r>
            <w:r>
              <w:rPr>
                <w:rFonts w:ascii="Times New Roman" w:hAnsi="Times New Roman" w:eastAsiaTheme="minorEastAsia"/>
                <w:sz w:val="21"/>
                <w:szCs w:val="21"/>
                <w:vertAlign w:val="superscript"/>
              </w:rPr>
              <w:t xml:space="preserve"> +</w:t>
            </w:r>
            <w:r>
              <w:rPr>
                <w:rFonts w:ascii="Times New Roman" w:hAnsi="Times New Roman" w:eastAsiaTheme="minorEastAsia"/>
                <w:sz w:val="21"/>
                <w:szCs w:val="21"/>
              </w:rPr>
              <w:t xml:space="preserve"> +Na</w:t>
            </w:r>
            <w:r>
              <w:rPr>
                <w:rFonts w:ascii="Times New Roman" w:hAnsi="Times New Roman" w:eastAsiaTheme="minorEastAsia"/>
                <w:sz w:val="21"/>
                <w:szCs w:val="21"/>
                <w:vertAlign w:val="superscript"/>
              </w:rPr>
              <w:t xml:space="preserve"> +</w:t>
            </w:r>
            <w:r>
              <w:rPr>
                <w:rFonts w:ascii="Times New Roman" w:hAnsi="Times New Roman" w:eastAsiaTheme="minorEastAsia"/>
                <w:sz w:val="21"/>
                <w:szCs w:val="21"/>
              </w:rPr>
              <w:t xml:space="preserve"> 、Ca</w:t>
            </w:r>
            <w:r>
              <w:rPr>
                <w:rFonts w:ascii="Times New Roman" w:hAnsi="Times New Roman" w:eastAsiaTheme="minorEastAsia"/>
                <w:sz w:val="21"/>
                <w:szCs w:val="21"/>
                <w:vertAlign w:val="superscript"/>
              </w:rPr>
              <w:t xml:space="preserve"> 2+</w:t>
            </w:r>
            <w:r>
              <w:rPr>
                <w:rFonts w:ascii="Times New Roman" w:hAnsi="Times New Roman" w:eastAsiaTheme="minorEastAsia"/>
                <w:sz w:val="21"/>
                <w:szCs w:val="21"/>
              </w:rPr>
              <w:t xml:space="preserve"> 、Mg </w:t>
            </w:r>
            <w:r>
              <w:rPr>
                <w:rFonts w:ascii="Times New Roman" w:hAnsi="Times New Roman" w:eastAsiaTheme="minorEastAsia"/>
                <w:sz w:val="21"/>
                <w:szCs w:val="21"/>
                <w:vertAlign w:val="superscript"/>
              </w:rPr>
              <w:t>2+</w:t>
            </w:r>
            <w:r>
              <w:rPr>
                <w:rFonts w:ascii="Times New Roman" w:hAnsi="Times New Roman" w:eastAsiaTheme="minorEastAsia"/>
                <w:sz w:val="21"/>
                <w:szCs w:val="21"/>
              </w:rPr>
              <w:t xml:space="preserve"> 、CO</w:t>
            </w:r>
            <w:r>
              <w:rPr>
                <w:rFonts w:ascii="Times New Roman" w:hAnsi="Times New Roman" w:eastAsiaTheme="minorEastAsia"/>
                <w:sz w:val="21"/>
                <w:szCs w:val="21"/>
                <w:vertAlign w:val="subscript"/>
              </w:rPr>
              <w:t>3</w:t>
            </w:r>
            <w:r>
              <w:rPr>
                <w:rFonts w:ascii="Times New Roman" w:hAnsi="Times New Roman" w:eastAsiaTheme="minorEastAsia"/>
                <w:sz w:val="21"/>
                <w:szCs w:val="21"/>
                <w:vertAlign w:val="superscript"/>
              </w:rPr>
              <w:t>2-</w:t>
            </w:r>
            <w:r>
              <w:rPr>
                <w:rFonts w:ascii="Times New Roman" w:hAnsi="Times New Roman" w:eastAsiaTheme="minorEastAsia"/>
                <w:sz w:val="21"/>
                <w:szCs w:val="21"/>
              </w:rPr>
              <w:t xml:space="preserve"> 、HCO</w:t>
            </w:r>
            <w:r>
              <w:rPr>
                <w:rFonts w:ascii="Times New Roman" w:hAnsi="Times New Roman" w:eastAsiaTheme="minorEastAsia"/>
                <w:sz w:val="21"/>
                <w:szCs w:val="21"/>
                <w:vertAlign w:val="subscript"/>
              </w:rPr>
              <w:t>3</w:t>
            </w:r>
            <w:r>
              <w:rPr>
                <w:rFonts w:ascii="Times New Roman" w:hAnsi="Times New Roman" w:eastAsiaTheme="minorEastAsia"/>
                <w:sz w:val="21"/>
                <w:szCs w:val="21"/>
              </w:rPr>
              <w:t xml:space="preserve"> </w:t>
            </w:r>
            <w:r>
              <w:rPr>
                <w:rFonts w:ascii="Times New Roman" w:hAnsi="Times New Roman" w:eastAsiaTheme="minorEastAsia"/>
                <w:sz w:val="21"/>
                <w:szCs w:val="21"/>
                <w:vertAlign w:val="superscript"/>
              </w:rPr>
              <w:t>-</w:t>
            </w:r>
            <w:r>
              <w:rPr>
                <w:rFonts w:ascii="Times New Roman" w:hAnsi="Times New Roman" w:eastAsiaTheme="minorEastAsia"/>
                <w:sz w:val="21"/>
                <w:szCs w:val="21"/>
              </w:rPr>
              <w:t xml:space="preserve"> 、Cl</w:t>
            </w:r>
            <w:r>
              <w:rPr>
                <w:rFonts w:ascii="Times New Roman" w:hAnsi="Times New Roman" w:eastAsiaTheme="minorEastAsia"/>
                <w:sz w:val="21"/>
                <w:szCs w:val="21"/>
                <w:vertAlign w:val="superscript"/>
              </w:rPr>
              <w:t xml:space="preserve"> -</w:t>
            </w:r>
            <w:r>
              <w:rPr>
                <w:rFonts w:ascii="Times New Roman" w:hAnsi="Times New Roman" w:eastAsiaTheme="minorEastAsia"/>
                <w:sz w:val="21"/>
                <w:szCs w:val="21"/>
              </w:rPr>
              <w:t xml:space="preserve"> 、SO</w:t>
            </w:r>
            <w:r>
              <w:rPr>
                <w:rFonts w:ascii="Times New Roman" w:hAnsi="Times New Roman" w:eastAsiaTheme="minorEastAsia"/>
                <w:sz w:val="21"/>
                <w:szCs w:val="21"/>
                <w:vertAlign w:val="subscript"/>
              </w:rPr>
              <w:t xml:space="preserve"> 4</w:t>
            </w:r>
            <w:r>
              <w:rPr>
                <w:rFonts w:ascii="Times New Roman" w:hAnsi="Times New Roman" w:eastAsiaTheme="minorEastAsia"/>
                <w:sz w:val="21"/>
                <w:szCs w:val="21"/>
              </w:rPr>
              <w:t xml:space="preserve"> </w:t>
            </w:r>
            <w:r>
              <w:rPr>
                <w:rFonts w:ascii="Times New Roman" w:hAnsi="Times New Roman" w:eastAsiaTheme="minorEastAsia"/>
                <w:sz w:val="21"/>
                <w:szCs w:val="21"/>
                <w:vertAlign w:val="superscript"/>
              </w:rPr>
              <w:t>2-</w:t>
            </w:r>
            <w:r>
              <w:rPr>
                <w:rFonts w:ascii="Times New Roman" w:hAnsi="Times New Roman" w:eastAsiaTheme="minorEastAsia"/>
                <w:sz w:val="21"/>
                <w:szCs w:val="21"/>
              </w:rPr>
              <w:t>等离子浓度。</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continue"/>
            <w:vAlign w:val="center"/>
          </w:tcPr>
          <w:p>
            <w:pPr>
              <w:spacing w:line="360" w:lineRule="exact"/>
              <w:jc w:val="center"/>
              <w:rPr>
                <w:rFonts w:ascii="Times New Roman" w:hAnsi="Times New Roman" w:eastAsiaTheme="minorEastAsia"/>
                <w:sz w:val="21"/>
                <w:szCs w:val="21"/>
              </w:rPr>
            </w:pP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影响预测评价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因本项目地下水评价等级为三级，应考虑渗漏对地下水的影响，并提出场区防渗要求。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restart"/>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声环境</w:t>
            </w: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现状评价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场区及周边昼夜间声环境现状</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09" w:hRule="atLeast"/>
          <w:jc w:val="center"/>
        </w:trPr>
        <w:tc>
          <w:tcPr>
            <w:tcW w:w="1308" w:type="dxa"/>
            <w:vMerge w:val="continue"/>
            <w:vAlign w:val="center"/>
          </w:tcPr>
          <w:p>
            <w:pPr>
              <w:spacing w:line="360" w:lineRule="exact"/>
              <w:jc w:val="center"/>
              <w:rPr>
                <w:rFonts w:ascii="Times New Roman" w:hAnsi="Times New Roman" w:eastAsiaTheme="minorEastAsia"/>
                <w:sz w:val="21"/>
                <w:szCs w:val="21"/>
              </w:rPr>
            </w:pP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影响预测与评价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场界噪声是否达标，对周围敏感点的影响预测</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restart"/>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固废环境</w:t>
            </w: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污染源评价</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粪便、生活垃圾、饲料包装袋、沼渣、污泥</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8" w:type="dxa"/>
            <w:vMerge w:val="continue"/>
            <w:vAlign w:val="center"/>
          </w:tcPr>
          <w:p>
            <w:pPr>
              <w:spacing w:line="360" w:lineRule="exact"/>
              <w:jc w:val="center"/>
              <w:rPr>
                <w:rFonts w:ascii="Times New Roman" w:hAnsi="Times New Roman" w:eastAsiaTheme="minorEastAsia"/>
                <w:sz w:val="21"/>
                <w:szCs w:val="21"/>
              </w:rPr>
            </w:pPr>
          </w:p>
        </w:tc>
        <w:tc>
          <w:tcPr>
            <w:tcW w:w="198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影响分析</w:t>
            </w:r>
          </w:p>
        </w:tc>
        <w:tc>
          <w:tcPr>
            <w:tcW w:w="5241"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粪便、生活垃圾、饲料包装袋、沼渣、污泥、医疗废物、病死猪处置措施及去向</w:t>
            </w:r>
          </w:p>
        </w:tc>
      </w:tr>
    </w:tbl>
    <w:p>
      <w:pPr>
        <w:pStyle w:val="103"/>
        <w:numPr>
          <w:ilvl w:val="0"/>
          <w:numId w:val="0"/>
        </w:numPr>
        <w:contextualSpacing/>
        <w:rPr>
          <w:rFonts w:ascii="Times New Roman" w:hAnsi="Times New Roman"/>
          <w:b w:val="0"/>
        </w:rPr>
      </w:pPr>
      <w:bookmarkStart w:id="48" w:name="_Toc5179608"/>
      <w:bookmarkStart w:id="49" w:name="_Toc485577697"/>
      <w:bookmarkStart w:id="50" w:name="_Toc9873291"/>
      <w:bookmarkStart w:id="51" w:name="_Toc466449930"/>
      <w:r>
        <w:rPr>
          <w:rFonts w:ascii="Times New Roman" w:hAnsi="Times New Roman"/>
          <w:b w:val="0"/>
        </w:rPr>
        <w:t>1.6　</w:t>
      </w:r>
      <w:bookmarkStart w:id="52" w:name="_Toc490332984"/>
      <w:r>
        <w:rPr>
          <w:rFonts w:ascii="Times New Roman" w:hAnsi="Times New Roman"/>
          <w:b w:val="0"/>
        </w:rPr>
        <w:t>环境功能区划及污染控制目标</w:t>
      </w:r>
      <w:bookmarkEnd w:id="48"/>
      <w:bookmarkEnd w:id="49"/>
      <w:bookmarkEnd w:id="50"/>
      <w:bookmarkEnd w:id="52"/>
    </w:p>
    <w:p>
      <w:pPr>
        <w:pStyle w:val="108"/>
      </w:pPr>
      <w:bookmarkStart w:id="53" w:name="_Toc9873292"/>
      <w:r>
        <w:t>1.6.1　环境功能区划</w:t>
      </w:r>
      <w:bookmarkEnd w:id="53"/>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（1）环境空气功能区划：根据大气环境质量功能区分类，本项目位于农村地区，根据《大气环境质量标准》（GB3095-2012），评价区的大气环境功能区划属二类区；</w:t>
      </w:r>
    </w:p>
    <w:p>
      <w:pPr>
        <w:autoSpaceDE w:val="0"/>
        <w:autoSpaceDN w:val="0"/>
        <w:adjustRightInd w:val="0"/>
        <w:ind w:firstLine="480" w:firstLineChars="200"/>
        <w:rPr>
          <w:rFonts w:ascii="Times New Roman" w:hAnsi="Times New Roman"/>
          <w:sz w:val="24"/>
        </w:rPr>
      </w:pPr>
      <w:r>
        <w:rPr>
          <w:rFonts w:ascii="Times New Roman" w:hAnsi="Times New Roman"/>
          <w:sz w:val="24"/>
          <w:szCs w:val="24"/>
        </w:rPr>
        <w:t>（2）地表水环境功能区划：根据《四川省水环境功能区划》资料，项目所在区域的主要地面水体为斜江河，区域水质目标为III类。</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（3）声环境功能区划：项目区域地处邛崃市冉义镇园林村，区域以畜牧业生产为主，声功能区为2类区。</w:t>
      </w:r>
    </w:p>
    <w:p>
      <w:pPr>
        <w:pStyle w:val="108"/>
      </w:pPr>
      <w:bookmarkStart w:id="54" w:name="_Toc9873293"/>
      <w:r>
        <w:t>1.6.2　污染</w:t>
      </w:r>
      <w:r>
        <w:rPr>
          <w:szCs w:val="22"/>
        </w:rPr>
        <w:t>控制</w:t>
      </w:r>
      <w:r>
        <w:t>目标</w:t>
      </w:r>
      <w:bookmarkEnd w:id="54"/>
    </w:p>
    <w:bookmarkEnd w:id="51"/>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（1）确保项目产生的各类污染物满足相应环境保护标准要求，粪污水综合利用，不排入地表水体。</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（2）项目产生的恶臭得到有效控制，不对周围环境产生明显影响。</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（3）项目产生的固体废物得到有效处置，不对周围环境产生明显影响。</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（4）控制工程可能产生的噪声，确保场界噪声达标，不对周围环境产生明显影响。</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（5）加强污水处理设施管理，杜绝废水事故排放造成水环境污染，保护地表水、地下水环境质量。</w:t>
      </w:r>
    </w:p>
    <w:p>
      <w:pPr>
        <w:pStyle w:val="103"/>
        <w:numPr>
          <w:ilvl w:val="0"/>
          <w:numId w:val="0"/>
        </w:numPr>
        <w:contextualSpacing/>
        <w:rPr>
          <w:rFonts w:ascii="Times New Roman" w:hAnsi="Times New Roman"/>
          <w:b w:val="0"/>
        </w:rPr>
      </w:pPr>
      <w:bookmarkStart w:id="55" w:name="_Toc485577698"/>
      <w:bookmarkStart w:id="56" w:name="_Toc5179609"/>
      <w:bookmarkStart w:id="57" w:name="_Toc490332985"/>
      <w:bookmarkStart w:id="58" w:name="_Toc9873294"/>
      <w:r>
        <w:rPr>
          <w:rFonts w:ascii="Times New Roman" w:hAnsi="Times New Roman"/>
          <w:b w:val="0"/>
        </w:rPr>
        <w:t>1.7 评价标准</w:t>
      </w:r>
      <w:bookmarkEnd w:id="55"/>
      <w:bookmarkEnd w:id="56"/>
      <w:bookmarkEnd w:id="57"/>
      <w:bookmarkEnd w:id="58"/>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根据区域环境功能区划及污染控制目标，确定项目评价标准如下。</w:t>
      </w:r>
    </w:p>
    <w:p>
      <w:pPr>
        <w:pStyle w:val="108"/>
        <w:rPr>
          <w:b/>
        </w:rPr>
      </w:pPr>
      <w:bookmarkStart w:id="59" w:name="_Toc9873295"/>
      <w:bookmarkStart w:id="60" w:name="_Toc411330274"/>
      <w:r>
        <w:t>1.7.1　环境质量标准</w:t>
      </w:r>
      <w:bookmarkEnd w:id="59"/>
      <w:bookmarkEnd w:id="60"/>
    </w:p>
    <w:p>
      <w:pPr>
        <w:ind w:firstLine="482" w:firstLineChars="200"/>
        <w:contextualSpacing/>
        <w:rPr>
          <w:rFonts w:ascii="Times New Roman" w:hAnsi="Times New Roman"/>
          <w:b/>
          <w:sz w:val="24"/>
          <w:szCs w:val="24"/>
        </w:rPr>
      </w:pPr>
      <w:r>
        <w:rPr>
          <w:rFonts w:ascii="Times New Roman" w:hAnsi="Times New Roman"/>
          <w:b/>
          <w:sz w:val="24"/>
          <w:szCs w:val="24"/>
        </w:rPr>
        <w:t>（1）地表水环境质量标准</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项目所在区域的主要地面水体为斜江河，斜江河的主要功能为农灌、纳污及行洪等，据调查本项目下游10km范围内，无生活饮用水源保护区。根据地方环保部门的意见，本水域功能为地表水</w:t>
      </w:r>
      <w:r>
        <w:rPr>
          <w:rFonts w:hint="eastAsia" w:ascii="宋体" w:hAnsi="宋体" w:cs="宋体"/>
          <w:sz w:val="24"/>
          <w:szCs w:val="24"/>
        </w:rPr>
        <w:t>Ⅲ</w:t>
      </w:r>
      <w:r>
        <w:rPr>
          <w:rFonts w:ascii="Times New Roman" w:hAnsi="Times New Roman"/>
          <w:sz w:val="24"/>
          <w:szCs w:val="24"/>
        </w:rPr>
        <w:t>类，评价标准执行《地表水环境质量标准》（GB3838-2002）中的</w:t>
      </w:r>
      <w:r>
        <w:rPr>
          <w:rFonts w:hint="eastAsia" w:ascii="宋体" w:hAnsi="宋体" w:cs="宋体"/>
          <w:sz w:val="24"/>
          <w:szCs w:val="24"/>
        </w:rPr>
        <w:t>Ⅲ</w:t>
      </w:r>
      <w:r>
        <w:rPr>
          <w:rFonts w:ascii="Times New Roman" w:hAnsi="Times New Roman"/>
          <w:sz w:val="24"/>
          <w:szCs w:val="24"/>
        </w:rPr>
        <w:t>类水域标准，具体限值见表1.7-1。</w:t>
      </w:r>
    </w:p>
    <w:p>
      <w:pPr>
        <w:spacing w:line="300" w:lineRule="exact"/>
        <w:jc w:val="center"/>
        <w:rPr>
          <w:rFonts w:ascii="Times New Roman" w:hAnsi="Times New Roman" w:eastAsia="黑体"/>
          <w:sz w:val="21"/>
          <w:szCs w:val="21"/>
        </w:rPr>
      </w:pPr>
      <w:r>
        <w:rPr>
          <w:rFonts w:ascii="Times New Roman" w:hAnsi="Times New Roman" w:eastAsia="黑体"/>
          <w:sz w:val="21"/>
          <w:szCs w:val="21"/>
        </w:rPr>
        <w:t>表1.7-1  地表水水质评价标准（GB3838-2002）  单位：mg/L</w:t>
      </w:r>
    </w:p>
    <w:tbl>
      <w:tblPr>
        <w:tblStyle w:val="90"/>
        <w:tblW w:w="8365" w:type="dxa"/>
        <w:jc w:val="center"/>
        <w:tblInd w:w="648"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198"/>
        <w:gridCol w:w="416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07" w:hRule="atLeast"/>
          <w:tblHeader/>
          <w:jc w:val="center"/>
        </w:trPr>
        <w:tc>
          <w:tcPr>
            <w:tcW w:w="4198" w:type="dxa"/>
          </w:tcPr>
          <w:p>
            <w:pPr>
              <w:spacing w:line="320" w:lineRule="exact"/>
              <w:jc w:val="center"/>
              <w:rPr>
                <w:rFonts w:ascii="Times New Roman" w:hAnsi="Times New Roman" w:eastAsiaTheme="minorEastAsia"/>
                <w:sz w:val="21"/>
                <w:szCs w:val="21"/>
              </w:rPr>
            </w:pPr>
            <w:r>
              <w:rPr>
                <w:rFonts w:ascii="Times New Roman" w:hAnsi="Times New Roman" w:eastAsiaTheme="minorEastAsia"/>
                <w:sz w:val="21"/>
                <w:szCs w:val="21"/>
              </w:rPr>
              <w:t>项    目</w:t>
            </w:r>
          </w:p>
        </w:tc>
        <w:tc>
          <w:tcPr>
            <w:tcW w:w="4167" w:type="dxa"/>
          </w:tcPr>
          <w:p>
            <w:pPr>
              <w:spacing w:line="320" w:lineRule="exact"/>
              <w:jc w:val="center"/>
              <w:rPr>
                <w:rFonts w:ascii="Times New Roman" w:hAnsi="Times New Roman" w:eastAsiaTheme="minorEastAsia"/>
                <w:sz w:val="21"/>
                <w:szCs w:val="21"/>
              </w:rPr>
            </w:pPr>
            <w:r>
              <w:rPr>
                <w:rFonts w:hint="eastAsia" w:ascii="宋体" w:hAnsi="宋体" w:cs="宋体"/>
                <w:sz w:val="21"/>
                <w:szCs w:val="21"/>
              </w:rPr>
              <w:t>Ⅲ</w:t>
            </w:r>
            <w:r>
              <w:rPr>
                <w:rFonts w:ascii="Times New Roman" w:hAnsi="Times New Roman" w:eastAsiaTheme="minorEastAsia"/>
                <w:sz w:val="21"/>
                <w:szCs w:val="21"/>
              </w:rPr>
              <w:t>类水域标准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pH（无量纲）</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6～9</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2"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DO</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COD</w:t>
            </w:r>
            <w:r>
              <w:rPr>
                <w:rFonts w:ascii="Times New Roman" w:hAnsi="Times New Roman" w:eastAsiaTheme="minorEastAsia"/>
                <w:sz w:val="21"/>
                <w:szCs w:val="21"/>
                <w:vertAlign w:val="subscript"/>
              </w:rPr>
              <w:t>Cr</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bCs/>
                <w:sz w:val="21"/>
                <w:szCs w:val="21"/>
              </w:rPr>
              <w:t>≤20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BOD</w:t>
            </w:r>
            <w:r>
              <w:rPr>
                <w:rFonts w:ascii="Times New Roman" w:hAnsi="Times New Roman" w:eastAsiaTheme="minorEastAsia"/>
                <w:sz w:val="21"/>
                <w:szCs w:val="21"/>
                <w:vertAlign w:val="subscript"/>
              </w:rPr>
              <w:t>5</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bCs/>
                <w:sz w:val="21"/>
                <w:szCs w:val="21"/>
              </w:rPr>
              <w:t>≤4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2"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氨 氮</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bCs/>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总 氮</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bCs/>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总 磷</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bCs/>
                <w:sz w:val="21"/>
                <w:szCs w:val="21"/>
              </w:rPr>
              <w:t>≤0.2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2" w:hRule="atLeast"/>
          <w:jc w:val="center"/>
        </w:trPr>
        <w:tc>
          <w:tcPr>
            <w:tcW w:w="4198"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粪大肠菌群（个/L）</w:t>
            </w:r>
          </w:p>
        </w:tc>
        <w:tc>
          <w:tcPr>
            <w:tcW w:w="416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≤10000</w:t>
            </w:r>
          </w:p>
        </w:tc>
      </w:tr>
    </w:tbl>
    <w:p>
      <w:pPr>
        <w:ind w:firstLine="482" w:firstLineChars="200"/>
        <w:contextualSpacing/>
        <w:rPr>
          <w:rFonts w:ascii="Times New Roman" w:hAnsi="Times New Roman"/>
          <w:b/>
          <w:sz w:val="24"/>
          <w:szCs w:val="24"/>
        </w:rPr>
      </w:pPr>
      <w:r>
        <w:rPr>
          <w:rFonts w:ascii="Times New Roman" w:hAnsi="Times New Roman"/>
          <w:b/>
          <w:sz w:val="24"/>
          <w:szCs w:val="24"/>
        </w:rPr>
        <w:t>（2）环境空气质量标准</w:t>
      </w:r>
    </w:p>
    <w:p>
      <w:pPr>
        <w:spacing w:line="480" w:lineRule="exact"/>
        <w:ind w:firstLine="480" w:firstLineChars="200"/>
        <w:rPr>
          <w:rFonts w:ascii="Times New Roman" w:hAnsi="Times New Roman"/>
          <w:sz w:val="24"/>
        </w:rPr>
      </w:pPr>
      <w:r>
        <w:rPr>
          <w:rFonts w:ascii="Times New Roman" w:hAnsi="Times New Roman"/>
          <w:sz w:val="24"/>
          <w:szCs w:val="24"/>
        </w:rPr>
        <w:t>项目区域地处邛崃市冉义镇园林村，</w:t>
      </w:r>
      <w:r>
        <w:rPr>
          <w:rFonts w:ascii="Times New Roman" w:hAnsi="Times New Roman"/>
          <w:sz w:val="24"/>
        </w:rPr>
        <w:t>环境空气质量执行《环境空气质量标准》（GB3095-2012）中的二级标准要求，特征污染物</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r>
        <w:rPr>
          <w:rFonts w:ascii="Times New Roman" w:hAnsi="Times New Roman"/>
          <w:sz w:val="24"/>
        </w:rPr>
        <w:t>《环境影响评价技术导则 大气环境》（HJ2.2-2018）附录D中小时浓度限值。评价因子标准限值见表1.7-2。</w:t>
      </w:r>
    </w:p>
    <w:p>
      <w:pPr>
        <w:spacing w:line="300" w:lineRule="exact"/>
        <w:jc w:val="center"/>
        <w:rPr>
          <w:rFonts w:ascii="Times New Roman" w:hAnsi="Times New Roman" w:eastAsia="黑体"/>
          <w:sz w:val="21"/>
          <w:szCs w:val="21"/>
        </w:rPr>
      </w:pPr>
      <w:r>
        <w:rPr>
          <w:rFonts w:ascii="Times New Roman" w:hAnsi="Times New Roman" w:eastAsia="黑体"/>
          <w:sz w:val="21"/>
          <w:szCs w:val="21"/>
        </w:rPr>
        <w:t>表1.7-2  环境空气评价标准</w:t>
      </w:r>
    </w:p>
    <w:tbl>
      <w:tblPr>
        <w:tblStyle w:val="90"/>
        <w:tblW w:w="8482" w:type="dxa"/>
        <w:jc w:val="center"/>
        <w:tblInd w:w="239"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08"/>
        <w:gridCol w:w="1134"/>
        <w:gridCol w:w="2447"/>
        <w:gridCol w:w="1843"/>
        <w:gridCol w:w="992"/>
        <w:gridCol w:w="1358"/>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序号</w:t>
            </w:r>
          </w:p>
        </w:tc>
        <w:tc>
          <w:tcPr>
            <w:tcW w:w="1134"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污染项目</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评价时间</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浓度限值</w:t>
            </w:r>
          </w:p>
        </w:tc>
        <w:tc>
          <w:tcPr>
            <w:tcW w:w="992"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单位</w:t>
            </w:r>
          </w:p>
        </w:tc>
        <w:tc>
          <w:tcPr>
            <w:tcW w:w="1358"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标准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w:t>
            </w:r>
          </w:p>
        </w:tc>
        <w:tc>
          <w:tcPr>
            <w:tcW w:w="1134"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二氧化硫</w:t>
            </w:r>
          </w:p>
          <w:p>
            <w:pPr>
              <w:wordWrap w:val="0"/>
              <w:spacing w:line="240" w:lineRule="auto"/>
              <w:jc w:val="center"/>
              <w:rPr>
                <w:rFonts w:ascii="Times New Roman" w:hAnsi="Times New Roman"/>
                <w:bCs/>
                <w:sz w:val="21"/>
                <w:szCs w:val="21"/>
              </w:rPr>
            </w:pPr>
            <w:r>
              <w:rPr>
                <w:rFonts w:ascii="Times New Roman" w:hAnsi="Times New Roman"/>
                <w:bCs/>
                <w:sz w:val="21"/>
                <w:szCs w:val="21"/>
              </w:rPr>
              <w:t>（SO</w:t>
            </w:r>
            <w:r>
              <w:rPr>
                <w:rFonts w:ascii="Times New Roman" w:hAnsi="Times New Roman"/>
                <w:bCs/>
                <w:sz w:val="21"/>
                <w:szCs w:val="21"/>
                <w:vertAlign w:val="subscript"/>
              </w:rPr>
              <w:t>2</w:t>
            </w:r>
            <w:r>
              <w:rPr>
                <w:rFonts w:ascii="Times New Roman" w:hAnsi="Times New Roman"/>
                <w:bCs/>
                <w:sz w:val="21"/>
                <w:szCs w:val="21"/>
              </w:rPr>
              <w:t>）</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年平均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60</w:t>
            </w:r>
          </w:p>
        </w:tc>
        <w:tc>
          <w:tcPr>
            <w:tcW w:w="992"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ug/m</w:t>
            </w:r>
            <w:r>
              <w:rPr>
                <w:rFonts w:ascii="Times New Roman" w:hAnsi="Times New Roman"/>
                <w:bCs/>
                <w:sz w:val="21"/>
                <w:szCs w:val="21"/>
                <w:vertAlign w:val="superscript"/>
              </w:rPr>
              <w:t>3</w:t>
            </w:r>
          </w:p>
        </w:tc>
        <w:tc>
          <w:tcPr>
            <w:tcW w:w="135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GB3095-2012中的二级标准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24小时平均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150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500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w:t>
            </w:r>
          </w:p>
        </w:tc>
        <w:tc>
          <w:tcPr>
            <w:tcW w:w="1134"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氮氧化物</w:t>
            </w:r>
          </w:p>
          <w:p>
            <w:pPr>
              <w:wordWrap w:val="0"/>
              <w:spacing w:line="240" w:lineRule="auto"/>
              <w:jc w:val="center"/>
              <w:rPr>
                <w:rFonts w:ascii="Times New Roman" w:hAnsi="Times New Roman"/>
                <w:bCs/>
                <w:sz w:val="21"/>
                <w:szCs w:val="21"/>
              </w:rPr>
            </w:pPr>
            <w:r>
              <w:rPr>
                <w:rFonts w:ascii="Times New Roman" w:hAnsi="Times New Roman"/>
                <w:bCs/>
                <w:sz w:val="21"/>
                <w:szCs w:val="21"/>
              </w:rPr>
              <w:t>（NO</w:t>
            </w:r>
            <w:r>
              <w:rPr>
                <w:rFonts w:ascii="Times New Roman" w:hAnsi="Times New Roman"/>
                <w:bCs/>
                <w:sz w:val="21"/>
                <w:szCs w:val="21"/>
                <w:vertAlign w:val="subscript"/>
              </w:rPr>
              <w:t>2</w:t>
            </w:r>
            <w:r>
              <w:rPr>
                <w:rFonts w:ascii="Times New Roman" w:hAnsi="Times New Roman"/>
                <w:bCs/>
                <w:sz w:val="21"/>
                <w:szCs w:val="21"/>
              </w:rPr>
              <w:t>）</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年平均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40</w:t>
            </w:r>
          </w:p>
        </w:tc>
        <w:tc>
          <w:tcPr>
            <w:tcW w:w="992" w:type="dxa"/>
            <w:vMerge w:val="continue"/>
            <w:vAlign w:val="center"/>
          </w:tcPr>
          <w:p>
            <w:pPr>
              <w:wordWrap w:val="0"/>
              <w:spacing w:line="240" w:lineRule="auto"/>
              <w:ind w:firstLine="420"/>
              <w:jc w:val="center"/>
              <w:rPr>
                <w:rFonts w:ascii="Times New Roman" w:hAnsi="Times New Roman"/>
                <w:bCs/>
                <w:sz w:val="21"/>
                <w:szCs w:val="21"/>
              </w:rPr>
            </w:pPr>
          </w:p>
        </w:tc>
        <w:tc>
          <w:tcPr>
            <w:tcW w:w="1358" w:type="dxa"/>
            <w:vMerge w:val="continue"/>
            <w:vAlign w:val="center"/>
          </w:tcPr>
          <w:p>
            <w:pPr>
              <w:wordWrap w:val="0"/>
              <w:spacing w:line="240" w:lineRule="auto"/>
              <w:ind w:firstLine="420"/>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24小时平均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80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200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3</w:t>
            </w:r>
          </w:p>
        </w:tc>
        <w:tc>
          <w:tcPr>
            <w:tcW w:w="1134"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颗粒物</w:t>
            </w:r>
          </w:p>
          <w:p>
            <w:pPr>
              <w:wordWrap w:val="0"/>
              <w:spacing w:line="240" w:lineRule="auto"/>
              <w:jc w:val="center"/>
              <w:rPr>
                <w:rFonts w:ascii="Times New Roman" w:hAnsi="Times New Roman"/>
                <w:bCs/>
                <w:sz w:val="21"/>
                <w:szCs w:val="21"/>
              </w:rPr>
            </w:pPr>
            <w:r>
              <w:rPr>
                <w:rFonts w:ascii="Times New Roman" w:hAnsi="Times New Roman"/>
                <w:bCs/>
                <w:sz w:val="21"/>
                <w:szCs w:val="21"/>
              </w:rPr>
              <w:t>（PM</w:t>
            </w:r>
            <w:r>
              <w:rPr>
                <w:rFonts w:ascii="Times New Roman" w:hAnsi="Times New Roman"/>
                <w:bCs/>
                <w:sz w:val="21"/>
                <w:szCs w:val="21"/>
                <w:vertAlign w:val="subscript"/>
              </w:rPr>
              <w:t>10</w:t>
            </w:r>
            <w:r>
              <w:rPr>
                <w:rFonts w:ascii="Times New Roman" w:hAnsi="Times New Roman"/>
                <w:bCs/>
                <w:sz w:val="21"/>
                <w:szCs w:val="21"/>
              </w:rPr>
              <w:t>）</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年平均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70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24小时平均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150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4</w:t>
            </w:r>
          </w:p>
        </w:tc>
        <w:tc>
          <w:tcPr>
            <w:tcW w:w="1134"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细颗粒物</w:t>
            </w:r>
          </w:p>
          <w:p>
            <w:pPr>
              <w:wordWrap w:val="0"/>
              <w:spacing w:line="240" w:lineRule="auto"/>
              <w:jc w:val="center"/>
              <w:rPr>
                <w:rFonts w:ascii="Times New Roman" w:hAnsi="Times New Roman"/>
                <w:bCs/>
                <w:sz w:val="21"/>
                <w:szCs w:val="21"/>
              </w:rPr>
            </w:pPr>
            <w:r>
              <w:rPr>
                <w:rFonts w:ascii="Times New Roman" w:hAnsi="Times New Roman"/>
                <w:bCs/>
                <w:sz w:val="21"/>
                <w:szCs w:val="21"/>
              </w:rPr>
              <w:t>（PM</w:t>
            </w:r>
            <w:r>
              <w:rPr>
                <w:rFonts w:ascii="Times New Roman" w:hAnsi="Times New Roman"/>
                <w:bCs/>
                <w:sz w:val="21"/>
                <w:szCs w:val="21"/>
                <w:vertAlign w:val="subscript"/>
              </w:rPr>
              <w:t>2.5</w:t>
            </w:r>
            <w:r>
              <w:rPr>
                <w:rFonts w:ascii="Times New Roman" w:hAnsi="Times New Roman"/>
                <w:bCs/>
                <w:sz w:val="21"/>
                <w:szCs w:val="21"/>
              </w:rPr>
              <w:t>）</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年平均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35</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24小时平均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70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5</w:t>
            </w:r>
          </w:p>
        </w:tc>
        <w:tc>
          <w:tcPr>
            <w:tcW w:w="1134"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一氧化碳</w:t>
            </w:r>
          </w:p>
          <w:p>
            <w:pPr>
              <w:wordWrap w:val="0"/>
              <w:spacing w:line="240" w:lineRule="auto"/>
              <w:jc w:val="center"/>
              <w:rPr>
                <w:rFonts w:ascii="Times New Roman" w:hAnsi="Times New Roman"/>
                <w:bCs/>
                <w:sz w:val="21"/>
                <w:szCs w:val="21"/>
              </w:rPr>
            </w:pPr>
            <w:r>
              <w:rPr>
                <w:rFonts w:ascii="Times New Roman" w:hAnsi="Times New Roman"/>
                <w:bCs/>
                <w:sz w:val="21"/>
                <w:szCs w:val="21"/>
              </w:rPr>
              <w:t>（CO）</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24小时平均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4</w:t>
            </w:r>
          </w:p>
        </w:tc>
        <w:tc>
          <w:tcPr>
            <w:tcW w:w="992"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mg/m</w:t>
            </w:r>
            <w:r>
              <w:rPr>
                <w:rFonts w:ascii="Times New Roman" w:hAnsi="Times New Roman"/>
                <w:bCs/>
                <w:sz w:val="21"/>
                <w:szCs w:val="21"/>
                <w:vertAlign w:val="superscript"/>
              </w:rPr>
              <w:t>3</w:t>
            </w: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jc w:val="center"/>
              <w:rPr>
                <w:rFonts w:ascii="Times New Roman" w:hAnsi="Times New Roman"/>
                <w:bCs/>
                <w:sz w:val="21"/>
                <w:szCs w:val="21"/>
              </w:rPr>
            </w:pPr>
          </w:p>
        </w:tc>
        <w:tc>
          <w:tcPr>
            <w:tcW w:w="1134" w:type="dxa"/>
            <w:vMerge w:val="continue"/>
            <w:vAlign w:val="center"/>
          </w:tcPr>
          <w:p>
            <w:pPr>
              <w:wordWrap w:val="0"/>
              <w:spacing w:line="240" w:lineRule="auto"/>
              <w:jc w:val="center"/>
              <w:rPr>
                <w:rFonts w:ascii="Times New Roman" w:hAnsi="Times New Roman"/>
                <w:bCs/>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10</w:t>
            </w:r>
          </w:p>
        </w:tc>
        <w:tc>
          <w:tcPr>
            <w:tcW w:w="992" w:type="dxa"/>
            <w:vMerge w:val="continue"/>
            <w:vAlign w:val="center"/>
          </w:tcPr>
          <w:p>
            <w:pPr>
              <w:wordWrap w:val="0"/>
              <w:spacing w:line="240" w:lineRule="auto"/>
              <w:jc w:val="center"/>
              <w:rPr>
                <w:rFonts w:ascii="Times New Roman" w:hAnsi="Times New Roman"/>
                <w:bCs/>
                <w:sz w:val="21"/>
                <w:szCs w:val="21"/>
              </w:rPr>
            </w:pP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6</w:t>
            </w:r>
          </w:p>
        </w:tc>
        <w:tc>
          <w:tcPr>
            <w:tcW w:w="1134"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臭氧</w:t>
            </w:r>
          </w:p>
          <w:p>
            <w:pPr>
              <w:wordWrap w:val="0"/>
              <w:spacing w:line="240" w:lineRule="auto"/>
              <w:jc w:val="center"/>
              <w:rPr>
                <w:rFonts w:ascii="Times New Roman" w:hAnsi="Times New Roman"/>
                <w:bCs/>
                <w:sz w:val="21"/>
                <w:szCs w:val="21"/>
              </w:rPr>
            </w:pPr>
            <w:r>
              <w:rPr>
                <w:rFonts w:ascii="Times New Roman" w:hAnsi="Times New Roman"/>
                <w:bCs/>
                <w:sz w:val="21"/>
                <w:szCs w:val="21"/>
              </w:rPr>
              <w:t>（O</w:t>
            </w:r>
            <w:r>
              <w:rPr>
                <w:rFonts w:ascii="Times New Roman" w:hAnsi="Times New Roman"/>
                <w:bCs/>
                <w:sz w:val="21"/>
                <w:szCs w:val="21"/>
                <w:vertAlign w:val="subscript"/>
              </w:rPr>
              <w:t>3</w:t>
            </w:r>
            <w:r>
              <w:rPr>
                <w:rFonts w:ascii="Times New Roman" w:hAnsi="Times New Roman"/>
                <w:bCs/>
                <w:sz w:val="21"/>
                <w:szCs w:val="21"/>
              </w:rPr>
              <w:t>）</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日最大8小时平均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160</w:t>
            </w:r>
          </w:p>
        </w:tc>
        <w:tc>
          <w:tcPr>
            <w:tcW w:w="992" w:type="dxa"/>
            <w:vMerge w:val="restart"/>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ug/m</w:t>
            </w:r>
            <w:r>
              <w:rPr>
                <w:rFonts w:ascii="Times New Roman" w:hAnsi="Times New Roman"/>
                <w:bCs/>
                <w:sz w:val="21"/>
                <w:szCs w:val="21"/>
                <w:vertAlign w:val="superscript"/>
              </w:rPr>
              <w:t>3</w:t>
            </w:r>
          </w:p>
        </w:tc>
        <w:tc>
          <w:tcPr>
            <w:tcW w:w="1358" w:type="dxa"/>
            <w:vMerge w:val="continue"/>
            <w:vAlign w:val="center"/>
          </w:tcPr>
          <w:p>
            <w:pPr>
              <w:wordWrap w:val="0"/>
              <w:spacing w:line="240" w:lineRule="auto"/>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Merge w:val="continue"/>
            <w:vAlign w:val="center"/>
          </w:tcPr>
          <w:p>
            <w:pPr>
              <w:wordWrap w:val="0"/>
              <w:spacing w:line="240" w:lineRule="auto"/>
              <w:ind w:firstLine="420"/>
              <w:jc w:val="center"/>
              <w:rPr>
                <w:rFonts w:ascii="Times New Roman" w:hAnsi="Times New Roman"/>
                <w:sz w:val="21"/>
                <w:szCs w:val="21"/>
              </w:rPr>
            </w:pPr>
          </w:p>
        </w:tc>
        <w:tc>
          <w:tcPr>
            <w:tcW w:w="1134" w:type="dxa"/>
            <w:vMerge w:val="continue"/>
            <w:vAlign w:val="center"/>
          </w:tcPr>
          <w:p>
            <w:pPr>
              <w:wordWrap w:val="0"/>
              <w:spacing w:line="240" w:lineRule="auto"/>
              <w:ind w:firstLine="420"/>
              <w:jc w:val="center"/>
              <w:rPr>
                <w:rFonts w:ascii="Times New Roman" w:hAnsi="Times New Roman"/>
                <w:sz w:val="21"/>
                <w:szCs w:val="21"/>
              </w:rPr>
            </w:pP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200</w:t>
            </w:r>
          </w:p>
        </w:tc>
        <w:tc>
          <w:tcPr>
            <w:tcW w:w="992" w:type="dxa"/>
            <w:vMerge w:val="continue"/>
            <w:vAlign w:val="center"/>
          </w:tcPr>
          <w:p>
            <w:pPr>
              <w:wordWrap w:val="0"/>
              <w:spacing w:line="240" w:lineRule="auto"/>
              <w:ind w:firstLine="420"/>
              <w:jc w:val="center"/>
              <w:rPr>
                <w:rFonts w:ascii="Times New Roman" w:hAnsi="Times New Roman"/>
                <w:sz w:val="21"/>
                <w:szCs w:val="21"/>
              </w:rPr>
            </w:pPr>
          </w:p>
        </w:tc>
        <w:tc>
          <w:tcPr>
            <w:tcW w:w="1358" w:type="dxa"/>
            <w:vMerge w:val="continue"/>
            <w:vAlign w:val="center"/>
          </w:tcPr>
          <w:p>
            <w:pPr>
              <w:wordWrap w:val="0"/>
              <w:spacing w:line="240" w:lineRule="auto"/>
              <w:ind w:firstLine="420"/>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Align w:val="center"/>
          </w:tcPr>
          <w:p>
            <w:pPr>
              <w:spacing w:line="240" w:lineRule="auto"/>
              <w:jc w:val="center"/>
              <w:rPr>
                <w:rFonts w:ascii="Times New Roman" w:hAnsi="Times New Roman"/>
                <w:sz w:val="21"/>
                <w:szCs w:val="21"/>
              </w:rPr>
            </w:pPr>
            <w:r>
              <w:rPr>
                <w:rFonts w:ascii="Times New Roman" w:hAnsi="Times New Roman"/>
                <w:sz w:val="21"/>
                <w:szCs w:val="21"/>
              </w:rPr>
              <w:t>7</w:t>
            </w:r>
          </w:p>
        </w:tc>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氨</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0.2</w:t>
            </w:r>
          </w:p>
        </w:tc>
        <w:tc>
          <w:tcPr>
            <w:tcW w:w="992" w:type="dxa"/>
            <w:vMerge w:val="restart"/>
            <w:vAlign w:val="center"/>
          </w:tcPr>
          <w:p>
            <w:pPr>
              <w:spacing w:line="240" w:lineRule="auto"/>
              <w:jc w:val="center"/>
              <w:rPr>
                <w:rFonts w:ascii="Times New Roman" w:hAnsi="Times New Roman"/>
                <w:sz w:val="21"/>
                <w:szCs w:val="21"/>
              </w:rPr>
            </w:pPr>
            <w:r>
              <w:rPr>
                <w:rFonts w:ascii="Times New Roman" w:hAnsi="Times New Roman"/>
                <w:bCs/>
                <w:sz w:val="21"/>
                <w:szCs w:val="21"/>
              </w:rPr>
              <w:t>mg/m</w:t>
            </w:r>
            <w:r>
              <w:rPr>
                <w:rFonts w:ascii="Times New Roman" w:hAnsi="Times New Roman"/>
                <w:bCs/>
                <w:sz w:val="21"/>
                <w:szCs w:val="21"/>
                <w:vertAlign w:val="superscript"/>
              </w:rPr>
              <w:t>3</w:t>
            </w:r>
          </w:p>
        </w:tc>
        <w:tc>
          <w:tcPr>
            <w:tcW w:w="1358" w:type="dxa"/>
            <w:vMerge w:val="restart"/>
            <w:vAlign w:val="center"/>
          </w:tcPr>
          <w:p>
            <w:pPr>
              <w:wordWrap w:val="0"/>
              <w:spacing w:line="240" w:lineRule="auto"/>
              <w:rPr>
                <w:rFonts w:ascii="Times New Roman" w:hAnsi="Times New Roman"/>
                <w:sz w:val="21"/>
                <w:szCs w:val="21"/>
              </w:rPr>
            </w:pPr>
            <w:r>
              <w:rPr>
                <w:rFonts w:ascii="Times New Roman" w:hAnsi="Times New Roman"/>
                <w:sz w:val="21"/>
                <w:szCs w:val="21"/>
              </w:rPr>
              <w:t>HJ2.2-2018附录D中小时浓度限值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8" w:type="dxa"/>
            <w:vAlign w:val="center"/>
          </w:tcPr>
          <w:p>
            <w:pPr>
              <w:wordWrap w:val="0"/>
              <w:spacing w:line="240" w:lineRule="auto"/>
              <w:jc w:val="center"/>
              <w:rPr>
                <w:rFonts w:ascii="Times New Roman" w:hAnsi="Times New Roman"/>
                <w:sz w:val="21"/>
                <w:szCs w:val="21"/>
              </w:rPr>
            </w:pPr>
            <w:r>
              <w:rPr>
                <w:rFonts w:ascii="Times New Roman" w:hAnsi="Times New Roman"/>
                <w:sz w:val="21"/>
                <w:szCs w:val="21"/>
              </w:rPr>
              <w:t>8</w:t>
            </w:r>
          </w:p>
        </w:tc>
        <w:tc>
          <w:tcPr>
            <w:tcW w:w="1134" w:type="dxa"/>
            <w:vAlign w:val="center"/>
          </w:tcPr>
          <w:p>
            <w:pPr>
              <w:wordWrap w:val="0"/>
              <w:spacing w:line="240" w:lineRule="auto"/>
              <w:jc w:val="center"/>
              <w:rPr>
                <w:rFonts w:ascii="Times New Roman" w:hAnsi="Times New Roman"/>
                <w:sz w:val="21"/>
                <w:szCs w:val="21"/>
              </w:rPr>
            </w:pPr>
            <w:r>
              <w:rPr>
                <w:rFonts w:ascii="Times New Roman" w:hAnsi="Times New Roman"/>
                <w:sz w:val="21"/>
                <w:szCs w:val="21"/>
              </w:rPr>
              <w:t>硫化氢</w:t>
            </w:r>
          </w:p>
        </w:tc>
        <w:tc>
          <w:tcPr>
            <w:tcW w:w="2447"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1小时平均</w:t>
            </w:r>
          </w:p>
        </w:tc>
        <w:tc>
          <w:tcPr>
            <w:tcW w:w="1843" w:type="dxa"/>
            <w:vAlign w:val="center"/>
          </w:tcPr>
          <w:p>
            <w:pPr>
              <w:wordWrap w:val="0"/>
              <w:spacing w:line="240" w:lineRule="auto"/>
              <w:jc w:val="center"/>
              <w:rPr>
                <w:rFonts w:ascii="Times New Roman" w:hAnsi="Times New Roman"/>
                <w:bCs/>
                <w:sz w:val="21"/>
                <w:szCs w:val="21"/>
              </w:rPr>
            </w:pPr>
            <w:r>
              <w:rPr>
                <w:rFonts w:ascii="Times New Roman" w:hAnsi="Times New Roman"/>
                <w:bCs/>
                <w:sz w:val="21"/>
                <w:szCs w:val="21"/>
              </w:rPr>
              <w:t>0.01</w:t>
            </w:r>
          </w:p>
        </w:tc>
        <w:tc>
          <w:tcPr>
            <w:tcW w:w="992" w:type="dxa"/>
            <w:vMerge w:val="continue"/>
            <w:vAlign w:val="center"/>
          </w:tcPr>
          <w:p>
            <w:pPr>
              <w:wordWrap w:val="0"/>
              <w:spacing w:line="240" w:lineRule="auto"/>
              <w:ind w:firstLine="420"/>
              <w:jc w:val="center"/>
              <w:rPr>
                <w:rFonts w:ascii="Times New Roman" w:hAnsi="Times New Roman"/>
                <w:sz w:val="21"/>
                <w:szCs w:val="21"/>
              </w:rPr>
            </w:pPr>
          </w:p>
        </w:tc>
        <w:tc>
          <w:tcPr>
            <w:tcW w:w="1358" w:type="dxa"/>
            <w:vMerge w:val="continue"/>
            <w:vAlign w:val="center"/>
          </w:tcPr>
          <w:p>
            <w:pPr>
              <w:wordWrap w:val="0"/>
              <w:spacing w:line="240" w:lineRule="auto"/>
              <w:ind w:firstLine="420"/>
              <w:jc w:val="center"/>
              <w:rPr>
                <w:rFonts w:ascii="Times New Roman" w:hAnsi="Times New Roman"/>
                <w:sz w:val="21"/>
                <w:szCs w:val="21"/>
              </w:rPr>
            </w:pPr>
          </w:p>
        </w:tc>
      </w:tr>
    </w:tbl>
    <w:p>
      <w:pPr>
        <w:ind w:firstLine="482" w:firstLineChars="200"/>
        <w:contextualSpacing/>
        <w:rPr>
          <w:rFonts w:ascii="Times New Roman" w:hAnsi="Times New Roman"/>
          <w:b/>
          <w:sz w:val="24"/>
          <w:szCs w:val="24"/>
        </w:rPr>
      </w:pPr>
      <w:r>
        <w:rPr>
          <w:rFonts w:ascii="Times New Roman" w:hAnsi="Times New Roman"/>
          <w:b/>
          <w:sz w:val="24"/>
          <w:szCs w:val="24"/>
        </w:rPr>
        <w:t>（3）声环境质量标准</w:t>
      </w:r>
    </w:p>
    <w:p>
      <w:pPr>
        <w:ind w:firstLine="480" w:firstLineChars="200"/>
        <w:rPr>
          <w:rFonts w:ascii="Times New Roman" w:hAnsi="Times New Roman"/>
          <w:sz w:val="24"/>
        </w:rPr>
      </w:pPr>
      <w:r>
        <w:rPr>
          <w:rFonts w:ascii="Times New Roman" w:hAnsi="Times New Roman"/>
          <w:sz w:val="24"/>
        </w:rPr>
        <w:t>施工期噪声执行《建筑施工场界噪声限值》（GB12523-2011）中的相关标准，见表1.7-3；营运期项目周边区域环境噪声执行《声环境质量标准》（GB3096-2008）中的2类，具体指标见表1.7-4。</w:t>
      </w:r>
    </w:p>
    <w:p>
      <w:pPr>
        <w:spacing w:line="300" w:lineRule="exact"/>
        <w:jc w:val="center"/>
        <w:rPr>
          <w:rFonts w:ascii="Times New Roman" w:hAnsi="Times New Roman" w:eastAsia="黑体"/>
          <w:sz w:val="21"/>
          <w:szCs w:val="21"/>
        </w:rPr>
      </w:pPr>
      <w:r>
        <w:rPr>
          <w:rFonts w:ascii="Times New Roman" w:hAnsi="Times New Roman" w:eastAsia="黑体"/>
          <w:sz w:val="21"/>
          <w:szCs w:val="21"/>
        </w:rPr>
        <w:t>表1.7-3  建筑施工场界噪声限值（GB12523-2011）</w:t>
      </w:r>
    </w:p>
    <w:tbl>
      <w:tblPr>
        <w:tblStyle w:val="90"/>
        <w:tblW w:w="7975"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097"/>
        <w:gridCol w:w="3878"/>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377" w:hRule="atLeast"/>
          <w:jc w:val="center"/>
        </w:trPr>
        <w:tc>
          <w:tcPr>
            <w:tcW w:w="7975" w:type="dxa"/>
            <w:gridSpan w:val="2"/>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噪声限值（dB）</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377" w:hRule="atLeast"/>
          <w:jc w:val="center"/>
        </w:trPr>
        <w:tc>
          <w:tcPr>
            <w:tcW w:w="4097" w:type="dxa"/>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昼间</w:t>
            </w:r>
          </w:p>
        </w:tc>
        <w:tc>
          <w:tcPr>
            <w:tcW w:w="3878" w:type="dxa"/>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夜间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377" w:hRule="atLeast"/>
          <w:jc w:val="center"/>
        </w:trPr>
        <w:tc>
          <w:tcPr>
            <w:tcW w:w="4097" w:type="dxa"/>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70</w:t>
            </w:r>
          </w:p>
        </w:tc>
        <w:tc>
          <w:tcPr>
            <w:tcW w:w="3878" w:type="dxa"/>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55</w:t>
            </w:r>
          </w:p>
        </w:tc>
      </w:tr>
    </w:tbl>
    <w:p>
      <w:pPr>
        <w:spacing w:line="200" w:lineRule="exact"/>
        <w:jc w:val="center"/>
        <w:rPr>
          <w:rFonts w:ascii="Times New Roman" w:hAnsi="Times New Roman" w:eastAsia="黑体"/>
        </w:rPr>
      </w:pPr>
    </w:p>
    <w:p>
      <w:pPr>
        <w:jc w:val="center"/>
        <w:rPr>
          <w:rFonts w:ascii="Times New Roman" w:hAnsi="Times New Roman" w:eastAsia="黑体"/>
          <w:sz w:val="21"/>
          <w:szCs w:val="21"/>
        </w:rPr>
      </w:pPr>
      <w:r>
        <w:rPr>
          <w:rFonts w:ascii="Times New Roman" w:hAnsi="Times New Roman" w:eastAsia="黑体"/>
          <w:sz w:val="21"/>
          <w:szCs w:val="21"/>
        </w:rPr>
        <w:t>表1.7-4  声环境质量标准（GB3096-2008） (dB(A))</w:t>
      </w:r>
    </w:p>
    <w:tbl>
      <w:tblPr>
        <w:tblStyle w:val="90"/>
        <w:tblW w:w="7948"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3042"/>
        <w:gridCol w:w="1635"/>
        <w:gridCol w:w="1635"/>
        <w:gridCol w:w="163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84" w:hRule="atLeast"/>
          <w:jc w:val="center"/>
        </w:trPr>
        <w:tc>
          <w:tcPr>
            <w:tcW w:w="3042"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评价目标</w:t>
            </w:r>
          </w:p>
        </w:tc>
        <w:tc>
          <w:tcPr>
            <w:tcW w:w="1635"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标准类别</w:t>
            </w:r>
          </w:p>
        </w:tc>
        <w:tc>
          <w:tcPr>
            <w:tcW w:w="1635"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昼间</w:t>
            </w:r>
          </w:p>
        </w:tc>
        <w:tc>
          <w:tcPr>
            <w:tcW w:w="1636"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夜间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2" w:hRule="atLeast"/>
          <w:jc w:val="center"/>
        </w:trPr>
        <w:tc>
          <w:tcPr>
            <w:tcW w:w="3042"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项目周围区域</w:t>
            </w:r>
          </w:p>
        </w:tc>
        <w:tc>
          <w:tcPr>
            <w:tcW w:w="1635" w:type="dxa"/>
            <w:vAlign w:val="center"/>
          </w:tcPr>
          <w:p>
            <w:pPr>
              <w:spacing w:line="400" w:lineRule="exact"/>
              <w:jc w:val="center"/>
              <w:rPr>
                <w:rFonts w:ascii="Times New Roman" w:hAnsi="Times New Roman" w:eastAsiaTheme="minorEastAsia"/>
                <w:sz w:val="21"/>
                <w:szCs w:val="21"/>
              </w:rPr>
            </w:pPr>
            <w:r>
              <w:rPr>
                <w:rFonts w:ascii="Times New Roman" w:hAnsi="Times New Roman" w:eastAsiaTheme="minorEastAsia"/>
                <w:sz w:val="21"/>
                <w:szCs w:val="21"/>
              </w:rPr>
              <w:t>2类</w:t>
            </w:r>
          </w:p>
        </w:tc>
        <w:tc>
          <w:tcPr>
            <w:tcW w:w="1635" w:type="dxa"/>
            <w:vAlign w:val="center"/>
          </w:tcPr>
          <w:p>
            <w:pPr>
              <w:spacing w:line="400" w:lineRule="exact"/>
              <w:jc w:val="center"/>
              <w:rPr>
                <w:rFonts w:ascii="Times New Roman" w:hAnsi="Times New Roman" w:eastAsiaTheme="minorEastAsia"/>
                <w:sz w:val="21"/>
                <w:szCs w:val="21"/>
              </w:rPr>
            </w:pPr>
            <w:r>
              <w:rPr>
                <w:rFonts w:ascii="Times New Roman" w:hAnsi="Times New Roman" w:eastAsiaTheme="minorEastAsia"/>
                <w:sz w:val="21"/>
                <w:szCs w:val="21"/>
              </w:rPr>
              <w:t>60</w:t>
            </w:r>
          </w:p>
        </w:tc>
        <w:tc>
          <w:tcPr>
            <w:tcW w:w="1636" w:type="dxa"/>
            <w:vAlign w:val="center"/>
          </w:tcPr>
          <w:p>
            <w:pPr>
              <w:spacing w:line="400" w:lineRule="exact"/>
              <w:jc w:val="center"/>
              <w:rPr>
                <w:rFonts w:ascii="Times New Roman" w:hAnsi="Times New Roman" w:eastAsiaTheme="minorEastAsia"/>
                <w:sz w:val="21"/>
                <w:szCs w:val="21"/>
              </w:rPr>
            </w:pPr>
            <w:r>
              <w:rPr>
                <w:rFonts w:ascii="Times New Roman" w:hAnsi="Times New Roman" w:eastAsiaTheme="minorEastAsia"/>
                <w:sz w:val="21"/>
                <w:szCs w:val="21"/>
              </w:rPr>
              <w:t>50</w:t>
            </w:r>
          </w:p>
        </w:tc>
      </w:tr>
    </w:tbl>
    <w:p>
      <w:pPr>
        <w:spacing w:before="240"/>
        <w:ind w:firstLine="482" w:firstLineChars="200"/>
        <w:contextualSpacing/>
        <w:rPr>
          <w:rFonts w:ascii="Times New Roman" w:hAnsi="Times New Roman"/>
          <w:b/>
          <w:sz w:val="24"/>
          <w:szCs w:val="24"/>
        </w:rPr>
      </w:pPr>
      <w:r>
        <w:rPr>
          <w:rFonts w:ascii="Times New Roman" w:hAnsi="Times New Roman"/>
          <w:b/>
          <w:sz w:val="24"/>
          <w:szCs w:val="24"/>
        </w:rPr>
        <w:t>（4）地下水环境</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地下水执行《地下水质量标准》（GB/T14848-2017）</w:t>
      </w:r>
      <w:r>
        <w:rPr>
          <w:rFonts w:hint="eastAsia" w:ascii="宋体" w:hAnsi="宋体" w:cs="宋体"/>
          <w:sz w:val="24"/>
          <w:szCs w:val="24"/>
        </w:rPr>
        <w:t>Ⅲ</w:t>
      </w:r>
      <w:r>
        <w:rPr>
          <w:rFonts w:ascii="Times New Roman" w:hAnsi="Times New Roman"/>
          <w:sz w:val="24"/>
          <w:szCs w:val="24"/>
        </w:rPr>
        <w:t>类标准。评价因子标准限值见表1.7-5。</w:t>
      </w:r>
    </w:p>
    <w:p>
      <w:pPr>
        <w:spacing w:line="300" w:lineRule="exact"/>
        <w:jc w:val="center"/>
        <w:rPr>
          <w:rFonts w:ascii="Times New Roman" w:hAnsi="Times New Roman" w:eastAsia="黑体"/>
          <w:sz w:val="21"/>
          <w:szCs w:val="21"/>
        </w:rPr>
      </w:pPr>
      <w:r>
        <w:rPr>
          <w:rFonts w:ascii="Times New Roman" w:hAnsi="Times New Roman" w:eastAsia="黑体"/>
          <w:sz w:val="21"/>
          <w:szCs w:val="21"/>
        </w:rPr>
        <w:t>表1.7-5  地下水水质评价标准</w:t>
      </w:r>
    </w:p>
    <w:tbl>
      <w:tblPr>
        <w:tblStyle w:val="90"/>
        <w:tblW w:w="8578"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408"/>
        <w:gridCol w:w="2620"/>
        <w:gridCol w:w="1849"/>
        <w:gridCol w:w="1701"/>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blHeader/>
          <w:jc w:val="center"/>
        </w:trPr>
        <w:tc>
          <w:tcPr>
            <w:tcW w:w="2408" w:type="dxa"/>
            <w:vMerge w:val="restart"/>
            <w:vAlign w:val="center"/>
          </w:tcPr>
          <w:p>
            <w:pPr>
              <w:wordWrap w:val="0"/>
              <w:snapToGrid w:val="0"/>
              <w:jc w:val="center"/>
              <w:rPr>
                <w:rFonts w:ascii="Times New Roman" w:hAnsi="Times New Roman" w:eastAsiaTheme="minorEastAsia"/>
                <w:b/>
                <w:sz w:val="21"/>
                <w:szCs w:val="21"/>
              </w:rPr>
            </w:pPr>
            <w:r>
              <w:rPr>
                <w:rFonts w:ascii="Times New Roman" w:hAnsi="Times New Roman" w:eastAsiaTheme="minorEastAsia"/>
                <w:b/>
                <w:sz w:val="21"/>
                <w:szCs w:val="21"/>
              </w:rPr>
              <w:t>标准名称</w:t>
            </w:r>
          </w:p>
        </w:tc>
        <w:tc>
          <w:tcPr>
            <w:tcW w:w="2620" w:type="dxa"/>
            <w:vMerge w:val="restart"/>
            <w:vAlign w:val="center"/>
          </w:tcPr>
          <w:p>
            <w:pPr>
              <w:wordWrap w:val="0"/>
              <w:snapToGrid w:val="0"/>
              <w:jc w:val="center"/>
              <w:rPr>
                <w:rFonts w:ascii="Times New Roman" w:hAnsi="Times New Roman" w:eastAsiaTheme="minorEastAsia"/>
                <w:b/>
                <w:sz w:val="21"/>
                <w:szCs w:val="21"/>
              </w:rPr>
            </w:pPr>
            <w:r>
              <w:rPr>
                <w:rFonts w:ascii="Times New Roman" w:hAnsi="Times New Roman" w:eastAsiaTheme="minorEastAsia"/>
                <w:b/>
                <w:sz w:val="21"/>
                <w:szCs w:val="21"/>
              </w:rPr>
              <w:t>项目</w:t>
            </w:r>
          </w:p>
        </w:tc>
        <w:tc>
          <w:tcPr>
            <w:tcW w:w="3550" w:type="dxa"/>
            <w:gridSpan w:val="2"/>
            <w:vAlign w:val="center"/>
          </w:tcPr>
          <w:p>
            <w:pPr>
              <w:wordWrap w:val="0"/>
              <w:snapToGrid w:val="0"/>
              <w:jc w:val="center"/>
              <w:rPr>
                <w:rFonts w:ascii="Times New Roman" w:hAnsi="Times New Roman" w:eastAsiaTheme="minorEastAsia"/>
                <w:b/>
                <w:sz w:val="21"/>
                <w:szCs w:val="21"/>
              </w:rPr>
            </w:pPr>
            <w:r>
              <w:rPr>
                <w:rFonts w:hint="eastAsia" w:ascii="宋体" w:hAnsi="宋体" w:cs="宋体"/>
                <w:b/>
                <w:sz w:val="21"/>
                <w:szCs w:val="21"/>
              </w:rPr>
              <w:t>Ⅲ</w:t>
            </w:r>
            <w:r>
              <w:rPr>
                <w:rFonts w:ascii="Times New Roman" w:hAnsi="Times New Roman" w:eastAsiaTheme="minorEastAsia"/>
                <w:b/>
                <w:sz w:val="21"/>
                <w:szCs w:val="21"/>
              </w:rPr>
              <w:t>类标准值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blHeader/>
          <w:jc w:val="center"/>
        </w:trPr>
        <w:tc>
          <w:tcPr>
            <w:tcW w:w="2408" w:type="dxa"/>
            <w:vMerge w:val="continue"/>
            <w:vAlign w:val="center"/>
          </w:tcPr>
          <w:p>
            <w:pPr>
              <w:wordWrap w:val="0"/>
              <w:snapToGrid w:val="0"/>
              <w:jc w:val="center"/>
              <w:rPr>
                <w:rFonts w:ascii="Times New Roman" w:hAnsi="Times New Roman" w:eastAsiaTheme="minorEastAsia"/>
                <w:b/>
                <w:sz w:val="21"/>
                <w:szCs w:val="21"/>
              </w:rPr>
            </w:pPr>
          </w:p>
        </w:tc>
        <w:tc>
          <w:tcPr>
            <w:tcW w:w="2620" w:type="dxa"/>
            <w:vMerge w:val="continue"/>
            <w:vAlign w:val="center"/>
          </w:tcPr>
          <w:p>
            <w:pPr>
              <w:wordWrap w:val="0"/>
              <w:snapToGrid w:val="0"/>
              <w:jc w:val="center"/>
              <w:rPr>
                <w:rFonts w:ascii="Times New Roman" w:hAnsi="Times New Roman" w:eastAsiaTheme="minorEastAsia"/>
                <w:b/>
                <w:sz w:val="21"/>
                <w:szCs w:val="21"/>
              </w:rPr>
            </w:pPr>
          </w:p>
        </w:tc>
        <w:tc>
          <w:tcPr>
            <w:tcW w:w="1849" w:type="dxa"/>
            <w:vAlign w:val="center"/>
          </w:tcPr>
          <w:p>
            <w:pPr>
              <w:wordWrap w:val="0"/>
              <w:snapToGrid w:val="0"/>
              <w:jc w:val="center"/>
              <w:rPr>
                <w:rFonts w:ascii="Times New Roman" w:hAnsi="Times New Roman" w:eastAsiaTheme="minorEastAsia"/>
                <w:b/>
                <w:sz w:val="21"/>
                <w:szCs w:val="21"/>
              </w:rPr>
            </w:pPr>
            <w:r>
              <w:rPr>
                <w:rFonts w:ascii="Times New Roman" w:hAnsi="Times New Roman" w:eastAsiaTheme="minorEastAsia"/>
                <w:b/>
                <w:sz w:val="21"/>
                <w:szCs w:val="21"/>
              </w:rPr>
              <w:t>单位</w:t>
            </w:r>
          </w:p>
        </w:tc>
        <w:tc>
          <w:tcPr>
            <w:tcW w:w="1701" w:type="dxa"/>
            <w:vAlign w:val="center"/>
          </w:tcPr>
          <w:p>
            <w:pPr>
              <w:wordWrap w:val="0"/>
              <w:snapToGrid w:val="0"/>
              <w:jc w:val="center"/>
              <w:rPr>
                <w:rFonts w:ascii="Times New Roman" w:hAnsi="Times New Roman" w:eastAsiaTheme="minorEastAsia"/>
                <w:b/>
                <w:sz w:val="21"/>
                <w:szCs w:val="21"/>
              </w:rPr>
            </w:pPr>
            <w:r>
              <w:rPr>
                <w:rFonts w:ascii="Times New Roman" w:hAnsi="Times New Roman" w:eastAsiaTheme="minorEastAsia"/>
                <w:b/>
                <w:sz w:val="21"/>
                <w:szCs w:val="21"/>
              </w:rPr>
              <w:t>限值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restart"/>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《地下水质量标准》(GB/T 14848-2017)</w:t>
            </w: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1849" w:type="dxa"/>
            <w:vMerge w:val="restart"/>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mg/L（pH除外）</w:t>
            </w: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6.5～8.5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溶解性总固体</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napToGrid w:val="0"/>
                <w:kern w:val="0"/>
                <w:sz w:val="21"/>
                <w:szCs w:val="21"/>
              </w:rPr>
              <w:t>≤</w:t>
            </w:r>
            <w:r>
              <w:rPr>
                <w:rFonts w:ascii="Times New Roman" w:hAnsi="Times New Roman" w:eastAsiaTheme="minorEastAsia"/>
                <w:sz w:val="21"/>
                <w:szCs w:val="21"/>
              </w:rPr>
              <w:t>1000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总硬度</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≤450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耗氧量（COD</w:t>
            </w:r>
            <w:r>
              <w:rPr>
                <w:rFonts w:ascii="Times New Roman" w:hAnsi="Times New Roman" w:eastAsiaTheme="minorEastAsia"/>
                <w:sz w:val="21"/>
                <w:szCs w:val="21"/>
                <w:vertAlign w:val="subscript"/>
              </w:rPr>
              <w:t>Mn</w:t>
            </w:r>
            <w:r>
              <w:rPr>
                <w:rFonts w:ascii="Times New Roman" w:hAnsi="Times New Roman" w:eastAsiaTheme="minorEastAsia"/>
                <w:sz w:val="21"/>
                <w:szCs w:val="21"/>
              </w:rPr>
              <w:t>）</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napToGrid w:val="0"/>
                <w:kern w:val="0"/>
                <w:sz w:val="21"/>
                <w:szCs w:val="21"/>
              </w:rPr>
              <w:t>≤3.0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氨氮</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≤0.5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Na</w:t>
            </w:r>
            <w:r>
              <w:rPr>
                <w:rFonts w:ascii="Times New Roman" w:hAnsi="Times New Roman" w:eastAsiaTheme="minorEastAsia"/>
                <w:sz w:val="21"/>
                <w:szCs w:val="21"/>
                <w:vertAlign w:val="superscript"/>
              </w:rPr>
              <w:t>+</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≤200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硫酸盐</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≤250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氯化物</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≤250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硝酸盐（以N计）</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≤20.0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napToGrid w:val="0"/>
                <w:kern w:val="0"/>
                <w:sz w:val="21"/>
                <w:szCs w:val="21"/>
              </w:rPr>
              <w:t>亚</w:t>
            </w:r>
            <w:r>
              <w:rPr>
                <w:rFonts w:ascii="Times New Roman" w:hAnsi="Times New Roman" w:eastAsiaTheme="minorEastAsia"/>
                <w:sz w:val="21"/>
                <w:szCs w:val="21"/>
              </w:rPr>
              <w:t>硝酸盐（以N计）</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≤1.00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2408" w:type="dxa"/>
            <w:vMerge w:val="continue"/>
            <w:vAlign w:val="center"/>
          </w:tcPr>
          <w:p>
            <w:pPr>
              <w:wordWrap w:val="0"/>
              <w:snapToGrid w:val="0"/>
              <w:jc w:val="center"/>
              <w:rPr>
                <w:rFonts w:ascii="Times New Roman" w:hAnsi="Times New Roman" w:eastAsiaTheme="minorEastAsia"/>
                <w:sz w:val="21"/>
                <w:szCs w:val="21"/>
              </w:rPr>
            </w:pPr>
          </w:p>
        </w:tc>
        <w:tc>
          <w:tcPr>
            <w:tcW w:w="2620"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氟化物</w:t>
            </w:r>
          </w:p>
        </w:tc>
        <w:tc>
          <w:tcPr>
            <w:tcW w:w="1849" w:type="dxa"/>
            <w:vMerge w:val="continue"/>
            <w:vAlign w:val="center"/>
          </w:tcPr>
          <w:p>
            <w:pPr>
              <w:wordWrap w:val="0"/>
              <w:snapToGrid w:val="0"/>
              <w:jc w:val="center"/>
              <w:rPr>
                <w:rFonts w:ascii="Times New Roman" w:hAnsi="Times New Roman" w:eastAsiaTheme="minorEastAsia"/>
                <w:sz w:val="21"/>
                <w:szCs w:val="21"/>
              </w:rPr>
            </w:pPr>
          </w:p>
        </w:tc>
        <w:tc>
          <w:tcPr>
            <w:tcW w:w="1701" w:type="dxa"/>
            <w:vAlign w:val="center"/>
          </w:tcPr>
          <w:p>
            <w:pPr>
              <w:wordWrap w:val="0"/>
              <w:snapToGrid w:val="0"/>
              <w:jc w:val="center"/>
              <w:rPr>
                <w:rFonts w:ascii="Times New Roman" w:hAnsi="Times New Roman" w:eastAsiaTheme="minorEastAsia"/>
                <w:sz w:val="21"/>
                <w:szCs w:val="21"/>
              </w:rPr>
            </w:pPr>
            <w:r>
              <w:rPr>
                <w:rFonts w:ascii="Times New Roman" w:hAnsi="Times New Roman" w:eastAsiaTheme="minorEastAsia"/>
                <w:sz w:val="21"/>
                <w:szCs w:val="21"/>
              </w:rPr>
              <w:t>≤1.0</w:t>
            </w:r>
          </w:p>
        </w:tc>
      </w:tr>
    </w:tbl>
    <w:p>
      <w:pPr>
        <w:spacing w:before="240"/>
        <w:ind w:firstLine="482" w:firstLineChars="200"/>
        <w:contextualSpacing/>
        <w:rPr>
          <w:rFonts w:ascii="Times New Roman" w:hAnsi="Times New Roman"/>
          <w:b/>
          <w:sz w:val="24"/>
          <w:szCs w:val="24"/>
        </w:rPr>
      </w:pPr>
      <w:r>
        <w:rPr>
          <w:rFonts w:ascii="Times New Roman" w:hAnsi="Times New Roman"/>
          <w:b/>
          <w:sz w:val="24"/>
          <w:szCs w:val="24"/>
        </w:rPr>
        <w:t>（5）土壤环境质量标准</w:t>
      </w:r>
    </w:p>
    <w:p>
      <w:pPr>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项目所在地土壤环境评价标准执行《土壤环境质量 建设用地土壤污染风险管控标准（试行）》（GB36600-2018）中第二类用地标准，评价因子标准限值见下表。</w:t>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表1.7-6   土壤环境质量标准值        单位：mg/kg</w:t>
      </w:r>
    </w:p>
    <w:tbl>
      <w:tblPr>
        <w:tblStyle w:val="90"/>
        <w:tblW w:w="836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3292"/>
        <w:gridCol w:w="2535"/>
        <w:gridCol w:w="253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idowControl/>
              <w:wordWrap w:val="0"/>
              <w:spacing w:line="240" w:lineRule="auto"/>
              <w:jc w:val="center"/>
              <w:rPr>
                <w:rFonts w:ascii="Times New Roman" w:hAnsi="Times New Roman" w:eastAsiaTheme="minorEastAsia"/>
                <w:b/>
                <w:bCs/>
                <w:sz w:val="21"/>
                <w:szCs w:val="21"/>
              </w:rPr>
            </w:pPr>
            <w:r>
              <w:rPr>
                <w:rFonts w:ascii="Times New Roman" w:hAnsi="Times New Roman" w:eastAsiaTheme="minorEastAsia"/>
                <w:b/>
                <w:bCs/>
                <w:sz w:val="21"/>
                <w:szCs w:val="21"/>
              </w:rPr>
              <w:t>项目</w:t>
            </w:r>
          </w:p>
        </w:tc>
        <w:tc>
          <w:tcPr>
            <w:tcW w:w="2535" w:type="dxa"/>
            <w:vAlign w:val="center"/>
          </w:tcPr>
          <w:p>
            <w:pPr>
              <w:widowControl/>
              <w:wordWrap w:val="0"/>
              <w:spacing w:line="240" w:lineRule="auto"/>
              <w:jc w:val="center"/>
              <w:rPr>
                <w:rFonts w:ascii="Times New Roman" w:hAnsi="Times New Roman" w:eastAsiaTheme="minorEastAsia"/>
                <w:b/>
                <w:bCs/>
                <w:sz w:val="21"/>
                <w:szCs w:val="21"/>
              </w:rPr>
            </w:pPr>
            <w:r>
              <w:rPr>
                <w:rFonts w:ascii="Times New Roman" w:hAnsi="Times New Roman" w:eastAsiaTheme="minorEastAsia"/>
                <w:b/>
                <w:bCs/>
                <w:sz w:val="21"/>
                <w:szCs w:val="21"/>
              </w:rPr>
              <w:t>第二类用地筛选值</w:t>
            </w:r>
          </w:p>
        </w:tc>
        <w:tc>
          <w:tcPr>
            <w:tcW w:w="2535" w:type="dxa"/>
            <w:vAlign w:val="center"/>
          </w:tcPr>
          <w:p>
            <w:pPr>
              <w:widowControl/>
              <w:wordWrap w:val="0"/>
              <w:spacing w:line="240" w:lineRule="auto"/>
              <w:jc w:val="center"/>
              <w:rPr>
                <w:rFonts w:ascii="Times New Roman" w:hAnsi="Times New Roman" w:eastAsiaTheme="minorEastAsia"/>
                <w:b/>
                <w:bCs/>
                <w:sz w:val="21"/>
                <w:szCs w:val="21"/>
              </w:rPr>
            </w:pPr>
            <w:r>
              <w:rPr>
                <w:rFonts w:ascii="Times New Roman" w:hAnsi="Times New Roman" w:eastAsiaTheme="minorEastAsia"/>
                <w:b/>
                <w:bCs/>
                <w:sz w:val="21"/>
                <w:szCs w:val="21"/>
              </w:rPr>
              <w:t>第二类用地管制值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镉</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65</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172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铅</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800</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2500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汞</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38</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82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砷</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60</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140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总铬</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铜</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18000</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3600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锌</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镍</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900</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有机质（g/kg）</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3292"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阴离子交换量（cmol/kg）</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2535" w:type="dxa"/>
            <w:vAlign w:val="center"/>
          </w:tcPr>
          <w:p>
            <w:pPr>
              <w:wordWrap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bl>
    <w:p>
      <w:pPr>
        <w:pStyle w:val="108"/>
      </w:pPr>
    </w:p>
    <w:p>
      <w:pPr>
        <w:pStyle w:val="108"/>
      </w:pPr>
      <w:bookmarkStart w:id="61" w:name="_Toc9873296"/>
      <w:r>
        <w:t>1.7.2  污染物排放标准</w:t>
      </w:r>
      <w:bookmarkEnd w:id="61"/>
    </w:p>
    <w:p>
      <w:pPr>
        <w:ind w:firstLine="482" w:firstLineChars="200"/>
        <w:contextualSpacing/>
        <w:rPr>
          <w:rFonts w:ascii="Times New Roman" w:hAnsi="Times New Roman"/>
          <w:b/>
          <w:sz w:val="24"/>
          <w:szCs w:val="24"/>
        </w:rPr>
      </w:pPr>
      <w:r>
        <w:rPr>
          <w:rFonts w:ascii="Times New Roman" w:hAnsi="Times New Roman"/>
          <w:b/>
          <w:sz w:val="24"/>
          <w:szCs w:val="24"/>
        </w:rPr>
        <w:t>（1）水污染物排放标准</w:t>
      </w:r>
    </w:p>
    <w:p>
      <w:pPr>
        <w:pStyle w:val="118"/>
        <w:widowControl w:val="0"/>
        <w:spacing w:line="360" w:lineRule="auto"/>
        <w:ind w:firstLine="482"/>
        <w:contextualSpacing/>
        <w:rPr>
          <w:rFonts w:ascii="Times New Roman" w:hAnsi="Times New Roman" w:cs="Times New Roman"/>
        </w:rPr>
      </w:pPr>
      <w:r>
        <w:rPr>
          <w:rFonts w:ascii="Times New Roman" w:hAnsi="Times New Roman" w:cs="Times New Roman"/>
        </w:rPr>
        <w:t>按照《畜禽养殖业污染防治技术规范》（HJT81-2001）和邛崃市林业和林业局及环保局的要求，养殖粪便必须做到零排放，并实施圈舍雨污分流，粪污干湿分离，建设一个干粪堆场，并配套建设沼气池、蓄粪池。</w:t>
      </w:r>
    </w:p>
    <w:p>
      <w:pPr>
        <w:pStyle w:val="118"/>
        <w:widowControl w:val="0"/>
        <w:spacing w:line="360" w:lineRule="auto"/>
        <w:ind w:firstLine="482"/>
        <w:contextualSpacing/>
        <w:rPr>
          <w:rFonts w:ascii="Times New Roman" w:hAnsi="Times New Roman" w:cs="Times New Roman"/>
        </w:rPr>
      </w:pPr>
      <w:r>
        <w:rPr>
          <w:rFonts w:ascii="Times New Roman" w:hAnsi="Times New Roman" w:cs="Times New Roman"/>
        </w:rPr>
        <w:t>本项目生产废水不直接排入地表水体，经处理达到相应标准后用于冉义镇的农田施肥，全部综合利用。养殖废水执行《畜禽养殖业污染物排放标准》（GB18596-2001）中集约化畜禽养殖业干清粪工艺最高允许排水量标准限值和相应排放标准，具体指标见下表。</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表1.7-7  集约化畜禽养殖业干清粪工艺最高允许排水量</w:t>
      </w:r>
    </w:p>
    <w:tbl>
      <w:tblPr>
        <w:tblStyle w:val="90"/>
        <w:tblW w:w="8313"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
      <w:tblGrid>
        <w:gridCol w:w="2335"/>
        <w:gridCol w:w="2989"/>
        <w:gridCol w:w="298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2335"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种类</w:t>
            </w:r>
          </w:p>
        </w:tc>
        <w:tc>
          <w:tcPr>
            <w:tcW w:w="5978" w:type="dxa"/>
            <w:gridSpan w:val="2"/>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猪（m</w:t>
            </w:r>
            <w:r>
              <w:rPr>
                <w:rFonts w:ascii="Times New Roman" w:hAnsi="Times New Roman" w:eastAsiaTheme="minorEastAsia"/>
                <w:b/>
                <w:sz w:val="21"/>
                <w:szCs w:val="21"/>
                <w:vertAlign w:val="superscript"/>
              </w:rPr>
              <w:t>3</w:t>
            </w:r>
            <w:r>
              <w:rPr>
                <w:rFonts w:ascii="Times New Roman" w:hAnsi="Times New Roman" w:eastAsiaTheme="minorEastAsia"/>
                <w:b/>
                <w:sz w:val="21"/>
                <w:szCs w:val="21"/>
              </w:rPr>
              <w:t>/百头·d）</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233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季节</w:t>
            </w:r>
          </w:p>
        </w:tc>
        <w:tc>
          <w:tcPr>
            <w:tcW w:w="298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冬季</w:t>
            </w:r>
          </w:p>
        </w:tc>
        <w:tc>
          <w:tcPr>
            <w:tcW w:w="298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夏季</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233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标准值</w:t>
            </w:r>
          </w:p>
        </w:tc>
        <w:tc>
          <w:tcPr>
            <w:tcW w:w="298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1.2</w:t>
            </w:r>
          </w:p>
        </w:tc>
        <w:tc>
          <w:tcPr>
            <w:tcW w:w="298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1.8</w:t>
            </w:r>
          </w:p>
        </w:tc>
      </w:tr>
    </w:tbl>
    <w:p>
      <w:pPr>
        <w:pStyle w:val="118"/>
        <w:widowControl w:val="0"/>
        <w:snapToGrid w:val="0"/>
        <w:spacing w:line="360" w:lineRule="auto"/>
        <w:ind w:firstLine="480"/>
        <w:rPr>
          <w:rFonts w:ascii="Times New Roman" w:hAnsi="Times New Roman" w:cs="Times New Roman"/>
          <w:sz w:val="18"/>
          <w:szCs w:val="18"/>
        </w:rPr>
      </w:pPr>
      <w:r>
        <w:rPr>
          <w:rFonts w:ascii="Times New Roman" w:hAnsi="Times New Roman" w:cs="Times New Roman"/>
          <w:sz w:val="18"/>
          <w:szCs w:val="18"/>
        </w:rPr>
        <w:t>注：百头指存栏数。春，秋季污水最高允许排放量按冬、夏两季的平均值计算。</w:t>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表1.7-8  畜禽养殖业水污染物最高允许日均排放标准  （mg/L）</w:t>
      </w:r>
    </w:p>
    <w:tbl>
      <w:tblPr>
        <w:tblStyle w:val="90"/>
        <w:tblW w:w="8178"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43"/>
        <w:gridCol w:w="829"/>
        <w:gridCol w:w="671"/>
        <w:gridCol w:w="839"/>
        <w:gridCol w:w="891"/>
        <w:gridCol w:w="710"/>
        <w:gridCol w:w="1501"/>
        <w:gridCol w:w="199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3"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项目</w:t>
            </w:r>
          </w:p>
        </w:tc>
        <w:tc>
          <w:tcPr>
            <w:tcW w:w="829" w:type="dxa"/>
            <w:vAlign w:val="center"/>
          </w:tcPr>
          <w:p>
            <w:pPr>
              <w:pStyle w:val="154"/>
              <w:spacing w:line="300" w:lineRule="exact"/>
              <w:ind w:left="-140" w:leftChars="-50" w:right="-140" w:rightChars="-50" w:firstLine="0"/>
              <w:jc w:val="center"/>
              <w:rPr>
                <w:rFonts w:ascii="Times New Roman" w:hAnsi="Times New Roman" w:cs="Times New Roman"/>
                <w:b w:val="0"/>
                <w:sz w:val="21"/>
                <w:szCs w:val="21"/>
              </w:rPr>
            </w:pPr>
            <w:r>
              <w:rPr>
                <w:rFonts w:ascii="Times New Roman" w:hAnsi="Times New Roman" w:cs="Times New Roman"/>
                <w:b w:val="0"/>
                <w:sz w:val="21"/>
                <w:szCs w:val="21"/>
              </w:rPr>
              <w:t>BOD</w:t>
            </w:r>
            <w:r>
              <w:rPr>
                <w:rFonts w:ascii="Times New Roman" w:hAnsi="Times New Roman" w:cs="Times New Roman"/>
                <w:b w:val="0"/>
                <w:sz w:val="21"/>
                <w:szCs w:val="21"/>
                <w:vertAlign w:val="subscript"/>
              </w:rPr>
              <w:t>5</w:t>
            </w:r>
          </w:p>
        </w:tc>
        <w:tc>
          <w:tcPr>
            <w:tcW w:w="671"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COD</w:t>
            </w:r>
          </w:p>
        </w:tc>
        <w:tc>
          <w:tcPr>
            <w:tcW w:w="839"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SS</w:t>
            </w:r>
          </w:p>
        </w:tc>
        <w:tc>
          <w:tcPr>
            <w:tcW w:w="891"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NH</w:t>
            </w:r>
            <w:r>
              <w:rPr>
                <w:rFonts w:ascii="Times New Roman" w:hAnsi="Times New Roman" w:cs="Times New Roman"/>
                <w:b w:val="0"/>
                <w:sz w:val="21"/>
                <w:szCs w:val="21"/>
                <w:vertAlign w:val="subscript"/>
              </w:rPr>
              <w:t>3</w:t>
            </w:r>
            <w:r>
              <w:rPr>
                <w:rFonts w:ascii="Times New Roman" w:hAnsi="Times New Roman" w:cs="Times New Roman"/>
                <w:b w:val="0"/>
                <w:sz w:val="21"/>
                <w:szCs w:val="21"/>
              </w:rPr>
              <w:t>-N</w:t>
            </w:r>
          </w:p>
        </w:tc>
        <w:tc>
          <w:tcPr>
            <w:tcW w:w="710"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总磷</w:t>
            </w:r>
          </w:p>
        </w:tc>
        <w:tc>
          <w:tcPr>
            <w:tcW w:w="1501"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粪大肠菌群</w:t>
            </w:r>
          </w:p>
        </w:tc>
        <w:tc>
          <w:tcPr>
            <w:tcW w:w="1994"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执行标准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3" w:type="dxa"/>
            <w:vAlign w:val="center"/>
          </w:tcPr>
          <w:p>
            <w:pPr>
              <w:pStyle w:val="154"/>
              <w:spacing w:line="300" w:lineRule="exact"/>
              <w:ind w:left="-140" w:leftChars="-50" w:right="-140" w:rightChars="-50" w:firstLine="0"/>
              <w:jc w:val="center"/>
              <w:rPr>
                <w:rFonts w:ascii="Times New Roman" w:hAnsi="Times New Roman" w:cs="Times New Roman"/>
                <w:b w:val="0"/>
                <w:spacing w:val="-6"/>
                <w:sz w:val="21"/>
                <w:szCs w:val="21"/>
              </w:rPr>
            </w:pPr>
            <w:r>
              <w:rPr>
                <w:rFonts w:ascii="Times New Roman" w:hAnsi="Times New Roman" w:cs="Times New Roman"/>
                <w:b w:val="0"/>
                <w:spacing w:val="-6"/>
                <w:sz w:val="21"/>
                <w:szCs w:val="21"/>
              </w:rPr>
              <w:t>标准值</w:t>
            </w:r>
          </w:p>
        </w:tc>
        <w:tc>
          <w:tcPr>
            <w:tcW w:w="829"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150</w:t>
            </w:r>
          </w:p>
        </w:tc>
        <w:tc>
          <w:tcPr>
            <w:tcW w:w="671"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400</w:t>
            </w:r>
          </w:p>
        </w:tc>
        <w:tc>
          <w:tcPr>
            <w:tcW w:w="839"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200</w:t>
            </w:r>
          </w:p>
        </w:tc>
        <w:tc>
          <w:tcPr>
            <w:tcW w:w="891"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80</w:t>
            </w:r>
          </w:p>
        </w:tc>
        <w:tc>
          <w:tcPr>
            <w:tcW w:w="710"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8.0</w:t>
            </w:r>
          </w:p>
        </w:tc>
        <w:tc>
          <w:tcPr>
            <w:tcW w:w="1501"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1000(个/100ml)</w:t>
            </w:r>
          </w:p>
        </w:tc>
        <w:tc>
          <w:tcPr>
            <w:tcW w:w="1994" w:type="dxa"/>
            <w:vAlign w:val="center"/>
          </w:tcPr>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(GB18596-2001)</w:t>
            </w:r>
          </w:p>
          <w:p>
            <w:pPr>
              <w:pStyle w:val="154"/>
              <w:spacing w:line="300" w:lineRule="exact"/>
              <w:ind w:firstLine="0"/>
              <w:jc w:val="center"/>
              <w:rPr>
                <w:rFonts w:ascii="Times New Roman" w:hAnsi="Times New Roman" w:cs="Times New Roman"/>
                <w:b w:val="0"/>
                <w:sz w:val="21"/>
                <w:szCs w:val="21"/>
              </w:rPr>
            </w:pPr>
            <w:r>
              <w:rPr>
                <w:rFonts w:ascii="Times New Roman" w:hAnsi="Times New Roman" w:cs="Times New Roman"/>
                <w:b w:val="0"/>
                <w:sz w:val="21"/>
                <w:szCs w:val="21"/>
              </w:rPr>
              <w:t>表4</w:t>
            </w:r>
          </w:p>
        </w:tc>
      </w:tr>
    </w:tbl>
    <w:p>
      <w:pPr>
        <w:pStyle w:val="154"/>
        <w:spacing w:line="320" w:lineRule="exact"/>
        <w:ind w:firstLine="0"/>
        <w:rPr>
          <w:rFonts w:ascii="Times New Roman" w:hAnsi="Times New Roman" w:cs="Times New Roman"/>
          <w:sz w:val="18"/>
          <w:szCs w:val="18"/>
        </w:rPr>
      </w:pPr>
      <w:r>
        <w:rPr>
          <w:rFonts w:ascii="Times New Roman" w:hAnsi="Times New Roman" w:cs="Times New Roman"/>
          <w:sz w:val="18"/>
          <w:szCs w:val="18"/>
        </w:rPr>
        <w:t xml:space="preserve">       注：养殖场排水标准限值。 </w:t>
      </w:r>
    </w:p>
    <w:p>
      <w:pPr>
        <w:spacing w:line="460" w:lineRule="exact"/>
        <w:ind w:firstLine="482" w:firstLineChars="200"/>
        <w:rPr>
          <w:rFonts w:ascii="Times New Roman" w:hAnsi="Times New Roman" w:eastAsia="黑体"/>
          <w:sz w:val="24"/>
        </w:rPr>
      </w:pPr>
      <w:r>
        <w:rPr>
          <w:rFonts w:ascii="Times New Roman" w:hAnsi="Times New Roman"/>
          <w:b/>
          <w:sz w:val="24"/>
          <w:szCs w:val="24"/>
        </w:rPr>
        <w:t>（2）大气污染物排放标准</w:t>
      </w:r>
    </w:p>
    <w:p>
      <w:pPr>
        <w:pStyle w:val="118"/>
        <w:widowControl w:val="0"/>
        <w:snapToGrid w:val="0"/>
        <w:spacing w:line="360" w:lineRule="auto"/>
        <w:ind w:firstLine="480"/>
        <w:rPr>
          <w:rFonts w:ascii="Times New Roman" w:hAnsi="Times New Roman" w:cs="Times New Roman" w:eastAsiaTheme="minorEastAsia"/>
        </w:rPr>
      </w:pPr>
      <w:r>
        <w:rPr>
          <w:rFonts w:ascii="Times New Roman" w:hAnsi="Times New Roman" w:cs="Times New Roman" w:eastAsiaTheme="minorEastAsia"/>
        </w:rPr>
        <w:t>项目营运过程中产生的废气污染物主要为恶臭，厂界无组织排放标准分别执行《恶臭污染物排放标准》（GB14554-93）中场界标准限值二级标准和《畜禽养殖业污染物排放标准》（GB18596-2001），其浓度限值详见下表：</w:t>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表1.7-9  废气排放标准限值一览表</w:t>
      </w:r>
    </w:p>
    <w:tbl>
      <w:tblPr>
        <w:tblStyle w:val="90"/>
        <w:tblW w:w="8369"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1448"/>
        <w:gridCol w:w="2270"/>
        <w:gridCol w:w="4651"/>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cantSplit/>
          <w:trHeight w:val="304" w:hRule="atLeast"/>
          <w:tblHeader/>
          <w:jc w:val="center"/>
        </w:trPr>
        <w:tc>
          <w:tcPr>
            <w:tcW w:w="1448" w:type="dxa"/>
            <w:vAlign w:val="center"/>
          </w:tcPr>
          <w:p>
            <w:pPr>
              <w:snapToGrid w:val="0"/>
              <w:jc w:val="center"/>
              <w:rPr>
                <w:rFonts w:ascii="Times New Roman" w:hAnsi="Times New Roman" w:eastAsiaTheme="majorEastAsia"/>
                <w:b/>
                <w:sz w:val="21"/>
                <w:szCs w:val="21"/>
              </w:rPr>
            </w:pPr>
            <w:r>
              <w:rPr>
                <w:rFonts w:ascii="Times New Roman" w:hAnsi="Times New Roman" w:eastAsiaTheme="majorEastAsia"/>
                <w:b/>
                <w:sz w:val="21"/>
                <w:szCs w:val="21"/>
              </w:rPr>
              <w:t>项目</w:t>
            </w:r>
          </w:p>
        </w:tc>
        <w:tc>
          <w:tcPr>
            <w:tcW w:w="2270" w:type="dxa"/>
            <w:vAlign w:val="center"/>
          </w:tcPr>
          <w:p>
            <w:pPr>
              <w:snapToGrid w:val="0"/>
              <w:jc w:val="center"/>
              <w:rPr>
                <w:rFonts w:ascii="Times New Roman" w:hAnsi="Times New Roman" w:eastAsiaTheme="majorEastAsia"/>
                <w:b/>
                <w:sz w:val="21"/>
                <w:szCs w:val="21"/>
              </w:rPr>
            </w:pPr>
            <w:r>
              <w:rPr>
                <w:rFonts w:ascii="Times New Roman" w:hAnsi="Times New Roman" w:eastAsiaTheme="majorEastAsia"/>
                <w:b/>
                <w:sz w:val="21"/>
                <w:szCs w:val="21"/>
              </w:rPr>
              <w:t>浓度限值</w:t>
            </w:r>
          </w:p>
        </w:tc>
        <w:tc>
          <w:tcPr>
            <w:tcW w:w="4651" w:type="dxa"/>
            <w:vAlign w:val="center"/>
          </w:tcPr>
          <w:p>
            <w:pPr>
              <w:snapToGrid w:val="0"/>
              <w:jc w:val="center"/>
              <w:rPr>
                <w:rFonts w:ascii="Times New Roman" w:hAnsi="Times New Roman" w:eastAsiaTheme="majorEastAsia"/>
                <w:b/>
                <w:sz w:val="21"/>
                <w:szCs w:val="21"/>
              </w:rPr>
            </w:pPr>
            <w:r>
              <w:rPr>
                <w:rFonts w:ascii="Times New Roman" w:hAnsi="Times New Roman" w:eastAsiaTheme="majorEastAsia"/>
                <w:b/>
                <w:sz w:val="21"/>
                <w:szCs w:val="21"/>
              </w:rPr>
              <w:t>标准来源</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cantSplit/>
          <w:trHeight w:val="304" w:hRule="atLeast"/>
          <w:jc w:val="center"/>
        </w:trPr>
        <w:tc>
          <w:tcPr>
            <w:tcW w:w="1448" w:type="dxa"/>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硫化氢</w:t>
            </w:r>
          </w:p>
        </w:tc>
        <w:tc>
          <w:tcPr>
            <w:tcW w:w="2270" w:type="dxa"/>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0.06 mg/m</w:t>
            </w:r>
            <w:r>
              <w:rPr>
                <w:rFonts w:ascii="Times New Roman" w:hAnsi="Times New Roman" w:eastAsiaTheme="majorEastAsia"/>
                <w:sz w:val="21"/>
                <w:szCs w:val="21"/>
                <w:vertAlign w:val="superscript"/>
              </w:rPr>
              <w:t>3</w:t>
            </w:r>
          </w:p>
        </w:tc>
        <w:tc>
          <w:tcPr>
            <w:tcW w:w="4651" w:type="dxa"/>
            <w:vMerge w:val="restart"/>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《恶臭污染物排放标准》(GB14554-93)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cantSplit/>
          <w:trHeight w:val="304" w:hRule="atLeast"/>
          <w:jc w:val="center"/>
        </w:trPr>
        <w:tc>
          <w:tcPr>
            <w:tcW w:w="1448" w:type="dxa"/>
            <w:vAlign w:val="center"/>
          </w:tcPr>
          <w:p>
            <w:pPr>
              <w:snapToGrid w:val="0"/>
              <w:ind w:right="154" w:rightChars="55"/>
              <w:jc w:val="center"/>
              <w:rPr>
                <w:rFonts w:ascii="Times New Roman" w:hAnsi="Times New Roman" w:eastAsiaTheme="majorEastAsia"/>
                <w:sz w:val="21"/>
                <w:szCs w:val="21"/>
              </w:rPr>
            </w:pPr>
            <w:r>
              <w:rPr>
                <w:rFonts w:ascii="Times New Roman" w:hAnsi="Times New Roman" w:eastAsiaTheme="majorEastAsia"/>
                <w:sz w:val="21"/>
                <w:szCs w:val="21"/>
              </w:rPr>
              <w:t>氨</w:t>
            </w:r>
          </w:p>
        </w:tc>
        <w:tc>
          <w:tcPr>
            <w:tcW w:w="2270" w:type="dxa"/>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1.5 mg/m</w:t>
            </w:r>
            <w:r>
              <w:rPr>
                <w:rFonts w:ascii="Times New Roman" w:hAnsi="Times New Roman" w:eastAsiaTheme="majorEastAsia"/>
                <w:sz w:val="21"/>
                <w:szCs w:val="21"/>
                <w:vertAlign w:val="superscript"/>
              </w:rPr>
              <w:t>3</w:t>
            </w:r>
          </w:p>
        </w:tc>
        <w:tc>
          <w:tcPr>
            <w:tcW w:w="4651" w:type="dxa"/>
            <w:vMerge w:val="continue"/>
            <w:vAlign w:val="center"/>
          </w:tcPr>
          <w:p>
            <w:pPr>
              <w:snapToGrid w:val="0"/>
              <w:jc w:val="center"/>
              <w:rPr>
                <w:rFonts w:ascii="Times New Roman" w:hAnsi="Times New Roman" w:eastAsiaTheme="maj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cantSplit/>
          <w:trHeight w:val="304" w:hRule="atLeast"/>
          <w:jc w:val="center"/>
        </w:trPr>
        <w:tc>
          <w:tcPr>
            <w:tcW w:w="1448" w:type="dxa"/>
            <w:vAlign w:val="center"/>
          </w:tcPr>
          <w:p>
            <w:pPr>
              <w:snapToGrid w:val="0"/>
              <w:ind w:right="154" w:rightChars="55"/>
              <w:jc w:val="center"/>
              <w:rPr>
                <w:rFonts w:ascii="Times New Roman" w:hAnsi="Times New Roman" w:eastAsiaTheme="majorEastAsia"/>
                <w:sz w:val="21"/>
                <w:szCs w:val="21"/>
              </w:rPr>
            </w:pPr>
            <w:r>
              <w:rPr>
                <w:rFonts w:ascii="Times New Roman" w:hAnsi="Times New Roman" w:eastAsiaTheme="majorEastAsia"/>
                <w:sz w:val="21"/>
                <w:szCs w:val="21"/>
              </w:rPr>
              <w:t>臭气浓度</w:t>
            </w:r>
          </w:p>
        </w:tc>
        <w:tc>
          <w:tcPr>
            <w:tcW w:w="2270" w:type="dxa"/>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20（无量纲）</w:t>
            </w:r>
          </w:p>
        </w:tc>
        <w:tc>
          <w:tcPr>
            <w:tcW w:w="4651" w:type="dxa"/>
            <w:vMerge w:val="continue"/>
            <w:vAlign w:val="center"/>
          </w:tcPr>
          <w:p>
            <w:pPr>
              <w:snapToGrid w:val="0"/>
              <w:jc w:val="center"/>
              <w:rPr>
                <w:rFonts w:ascii="Times New Roman" w:hAnsi="Times New Roman" w:eastAsiaTheme="maj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cantSplit/>
          <w:trHeight w:val="304" w:hRule="atLeast"/>
          <w:jc w:val="center"/>
        </w:trPr>
        <w:tc>
          <w:tcPr>
            <w:tcW w:w="1448" w:type="dxa"/>
            <w:vAlign w:val="center"/>
          </w:tcPr>
          <w:p>
            <w:pPr>
              <w:snapToGrid w:val="0"/>
              <w:ind w:right="154" w:rightChars="55"/>
              <w:jc w:val="center"/>
              <w:rPr>
                <w:rFonts w:ascii="Times New Roman" w:hAnsi="Times New Roman" w:eastAsiaTheme="majorEastAsia"/>
                <w:sz w:val="21"/>
                <w:szCs w:val="21"/>
              </w:rPr>
            </w:pPr>
            <w:r>
              <w:rPr>
                <w:rFonts w:ascii="Times New Roman" w:hAnsi="Times New Roman" w:eastAsiaTheme="majorEastAsia"/>
                <w:sz w:val="21"/>
                <w:szCs w:val="21"/>
              </w:rPr>
              <w:t>臭气浓度</w:t>
            </w:r>
          </w:p>
        </w:tc>
        <w:tc>
          <w:tcPr>
            <w:tcW w:w="2270" w:type="dxa"/>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70（无量纲）</w:t>
            </w:r>
          </w:p>
        </w:tc>
        <w:tc>
          <w:tcPr>
            <w:tcW w:w="4651" w:type="dxa"/>
            <w:vAlign w:val="center"/>
          </w:tcPr>
          <w:p>
            <w:pPr>
              <w:snapToGrid w:val="0"/>
              <w:jc w:val="center"/>
              <w:rPr>
                <w:rFonts w:ascii="Times New Roman" w:hAnsi="Times New Roman" w:eastAsiaTheme="majorEastAsia"/>
                <w:sz w:val="21"/>
                <w:szCs w:val="21"/>
              </w:rPr>
            </w:pPr>
            <w:r>
              <w:rPr>
                <w:rFonts w:ascii="Times New Roman" w:hAnsi="Times New Roman" w:eastAsiaTheme="majorEastAsia"/>
                <w:sz w:val="21"/>
                <w:szCs w:val="21"/>
              </w:rPr>
              <w:t>《畜禽养殖业污染物排放标准》（GB18596-2001）</w:t>
            </w:r>
          </w:p>
        </w:tc>
      </w:tr>
    </w:tbl>
    <w:p>
      <w:pPr>
        <w:pStyle w:val="118"/>
        <w:widowControl w:val="0"/>
        <w:snapToGrid w:val="0"/>
        <w:spacing w:before="156" w:beforeLines="50" w:line="360" w:lineRule="auto"/>
        <w:ind w:firstLine="482"/>
        <w:rPr>
          <w:rFonts w:ascii="Times New Roman" w:hAnsi="Times New Roman" w:cs="Times New Roman"/>
          <w:b/>
        </w:rPr>
      </w:pPr>
      <w:r>
        <w:rPr>
          <w:rFonts w:ascii="Times New Roman" w:hAnsi="Times New Roman" w:cs="Times New Roman"/>
          <w:b/>
        </w:rPr>
        <w:t>（3）噪声排放标准</w:t>
      </w:r>
    </w:p>
    <w:p>
      <w:pPr>
        <w:wordWrap w:val="0"/>
        <w:adjustRightInd w:val="0"/>
        <w:ind w:firstLine="480" w:firstLineChars="200"/>
        <w:rPr>
          <w:rFonts w:ascii="Times New Roman" w:hAnsi="Times New Roman"/>
          <w:sz w:val="24"/>
        </w:rPr>
      </w:pPr>
      <w:r>
        <w:rPr>
          <w:rFonts w:ascii="Times New Roman" w:hAnsi="Times New Roman"/>
          <w:sz w:val="24"/>
        </w:rPr>
        <w:t>施工期施工场地边界线处的噪声执行《建筑施工场界环境噪声排放标准》（GB12523-2011），具体指标见下表。</w:t>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表1.7-10  建筑施工场界环境噪声排放限值（单位：dB(A)）</w:t>
      </w:r>
    </w:p>
    <w:tbl>
      <w:tblPr>
        <w:tblStyle w:val="90"/>
        <w:tblW w:w="8528"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263"/>
        <w:gridCol w:w="426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3" w:type="dxa"/>
            <w:vAlign w:val="center"/>
          </w:tcPr>
          <w:p>
            <w:pPr>
              <w:wordWrap w:val="0"/>
              <w:jc w:val="center"/>
              <w:rPr>
                <w:rFonts w:ascii="Times New Roman" w:hAnsi="Times New Roman" w:eastAsiaTheme="minorEastAsia"/>
                <w:b/>
                <w:bCs/>
                <w:sz w:val="21"/>
                <w:szCs w:val="21"/>
              </w:rPr>
            </w:pPr>
            <w:r>
              <w:rPr>
                <w:rFonts w:ascii="Times New Roman" w:hAnsi="Times New Roman" w:eastAsiaTheme="minorEastAsia"/>
                <w:b/>
                <w:bCs/>
                <w:sz w:val="21"/>
                <w:szCs w:val="21"/>
              </w:rPr>
              <w:t>昼间</w:t>
            </w:r>
          </w:p>
        </w:tc>
        <w:tc>
          <w:tcPr>
            <w:tcW w:w="4265" w:type="dxa"/>
            <w:vAlign w:val="center"/>
          </w:tcPr>
          <w:p>
            <w:pPr>
              <w:wordWrap w:val="0"/>
              <w:jc w:val="center"/>
              <w:rPr>
                <w:rFonts w:ascii="Times New Roman" w:hAnsi="Times New Roman" w:eastAsiaTheme="minorEastAsia"/>
                <w:b/>
                <w:bCs/>
                <w:sz w:val="21"/>
                <w:szCs w:val="21"/>
              </w:rPr>
            </w:pPr>
            <w:r>
              <w:rPr>
                <w:rFonts w:ascii="Times New Roman" w:hAnsi="Times New Roman" w:eastAsiaTheme="minorEastAsia"/>
                <w:b/>
                <w:bCs/>
                <w:sz w:val="21"/>
                <w:szCs w:val="21"/>
              </w:rPr>
              <w:t>夜间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3" w:type="dxa"/>
            <w:vAlign w:val="center"/>
          </w:tcPr>
          <w:p>
            <w:pPr>
              <w:wordWrap w:val="0"/>
              <w:jc w:val="center"/>
              <w:rPr>
                <w:rFonts w:ascii="Times New Roman" w:hAnsi="Times New Roman" w:eastAsiaTheme="minorEastAsia"/>
                <w:sz w:val="21"/>
                <w:szCs w:val="21"/>
              </w:rPr>
            </w:pPr>
            <w:r>
              <w:rPr>
                <w:rFonts w:ascii="Times New Roman" w:hAnsi="Times New Roman" w:eastAsiaTheme="minorEastAsia"/>
                <w:sz w:val="21"/>
                <w:szCs w:val="21"/>
              </w:rPr>
              <w:t>70</w:t>
            </w:r>
          </w:p>
        </w:tc>
        <w:tc>
          <w:tcPr>
            <w:tcW w:w="4265" w:type="dxa"/>
            <w:vAlign w:val="center"/>
          </w:tcPr>
          <w:p>
            <w:pPr>
              <w:wordWrap w:val="0"/>
              <w:jc w:val="center"/>
              <w:rPr>
                <w:rFonts w:ascii="Times New Roman" w:hAnsi="Times New Roman" w:eastAsiaTheme="minorEastAsia"/>
                <w:sz w:val="21"/>
                <w:szCs w:val="21"/>
              </w:rPr>
            </w:pPr>
            <w:r>
              <w:rPr>
                <w:rFonts w:ascii="Times New Roman" w:hAnsi="Times New Roman" w:eastAsiaTheme="minorEastAsia"/>
                <w:sz w:val="21"/>
                <w:szCs w:val="21"/>
              </w:rPr>
              <w:t>55</w:t>
            </w:r>
          </w:p>
        </w:tc>
      </w:tr>
    </w:tbl>
    <w:p>
      <w:pPr>
        <w:pStyle w:val="32"/>
        <w:wordWrap w:val="0"/>
        <w:spacing w:before="156" w:beforeLines="50" w:after="0"/>
        <w:ind w:left="0" w:leftChars="0" w:firstLine="480" w:firstLineChars="200"/>
        <w:rPr>
          <w:rFonts w:cs="Times New Roman"/>
        </w:rPr>
      </w:pPr>
      <w:r>
        <w:rPr>
          <w:rFonts w:cs="Times New Roman"/>
        </w:rPr>
        <w:t>项目厂界噪声执行《工业企业厂界环境噪声排放标准》（GB12348-2008）中2类标准，见下表。</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表1.7-11  工业企业厂界环境噪声排放标准（单位：dB(A)）</w:t>
      </w:r>
    </w:p>
    <w:tbl>
      <w:tblPr>
        <w:tblStyle w:val="90"/>
        <w:tblW w:w="8528"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278"/>
        <w:gridCol w:w="2773"/>
        <w:gridCol w:w="247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36" w:hRule="exact"/>
          <w:jc w:val="center"/>
        </w:trPr>
        <w:tc>
          <w:tcPr>
            <w:tcW w:w="3278" w:type="dxa"/>
            <w:vAlign w:val="center"/>
          </w:tcPr>
          <w:p>
            <w:pPr>
              <w:wordWrap w:val="0"/>
              <w:jc w:val="center"/>
              <w:rPr>
                <w:rFonts w:ascii="Times New Roman" w:hAnsi="Times New Roman" w:eastAsiaTheme="majorEastAsia"/>
                <w:b/>
                <w:sz w:val="21"/>
                <w:szCs w:val="21"/>
              </w:rPr>
            </w:pPr>
            <w:r>
              <w:rPr>
                <w:rFonts w:ascii="Times New Roman" w:hAnsi="Times New Roman" w:eastAsiaTheme="majorEastAsia"/>
                <w:b/>
                <w:sz w:val="21"/>
                <w:szCs w:val="21"/>
              </w:rPr>
              <w:t>类别</w:t>
            </w:r>
          </w:p>
        </w:tc>
        <w:tc>
          <w:tcPr>
            <w:tcW w:w="2773" w:type="dxa"/>
            <w:vAlign w:val="center"/>
          </w:tcPr>
          <w:p>
            <w:pPr>
              <w:wordWrap w:val="0"/>
              <w:jc w:val="center"/>
              <w:rPr>
                <w:rFonts w:ascii="Times New Roman" w:hAnsi="Times New Roman" w:eastAsiaTheme="majorEastAsia"/>
                <w:b/>
                <w:sz w:val="21"/>
                <w:szCs w:val="21"/>
              </w:rPr>
            </w:pPr>
            <w:r>
              <w:rPr>
                <w:rFonts w:ascii="Times New Roman" w:hAnsi="Times New Roman" w:eastAsiaTheme="majorEastAsia"/>
                <w:b/>
                <w:sz w:val="21"/>
                <w:szCs w:val="21"/>
              </w:rPr>
              <w:t>昼 间</w:t>
            </w:r>
          </w:p>
        </w:tc>
        <w:tc>
          <w:tcPr>
            <w:tcW w:w="2477" w:type="dxa"/>
            <w:vAlign w:val="center"/>
          </w:tcPr>
          <w:p>
            <w:pPr>
              <w:wordWrap w:val="0"/>
              <w:jc w:val="center"/>
              <w:rPr>
                <w:rFonts w:ascii="Times New Roman" w:hAnsi="Times New Roman" w:eastAsiaTheme="majorEastAsia"/>
                <w:b/>
                <w:sz w:val="21"/>
                <w:szCs w:val="21"/>
              </w:rPr>
            </w:pPr>
            <w:r>
              <w:rPr>
                <w:rFonts w:ascii="Times New Roman" w:hAnsi="Times New Roman" w:eastAsiaTheme="majorEastAsia"/>
                <w:b/>
                <w:sz w:val="21"/>
                <w:szCs w:val="21"/>
              </w:rPr>
              <w:t>夜 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13" w:hRule="exact"/>
          <w:jc w:val="center"/>
        </w:trPr>
        <w:tc>
          <w:tcPr>
            <w:tcW w:w="3278" w:type="dxa"/>
            <w:vAlign w:val="center"/>
          </w:tcPr>
          <w:p>
            <w:pPr>
              <w:wordWrap w:val="0"/>
              <w:jc w:val="center"/>
              <w:rPr>
                <w:rFonts w:ascii="Times New Roman" w:hAnsi="Times New Roman" w:eastAsiaTheme="majorEastAsia"/>
                <w:bCs/>
                <w:sz w:val="21"/>
                <w:szCs w:val="21"/>
              </w:rPr>
            </w:pPr>
            <w:r>
              <w:rPr>
                <w:rFonts w:ascii="Times New Roman" w:hAnsi="Times New Roman" w:eastAsiaTheme="majorEastAsia"/>
                <w:bCs/>
                <w:sz w:val="21"/>
                <w:szCs w:val="21"/>
              </w:rPr>
              <w:t>2类</w:t>
            </w:r>
          </w:p>
        </w:tc>
        <w:tc>
          <w:tcPr>
            <w:tcW w:w="2773" w:type="dxa"/>
            <w:vAlign w:val="center"/>
          </w:tcPr>
          <w:p>
            <w:pPr>
              <w:wordWrap w:val="0"/>
              <w:jc w:val="center"/>
              <w:rPr>
                <w:rFonts w:ascii="Times New Roman" w:hAnsi="Times New Roman" w:eastAsiaTheme="majorEastAsia"/>
                <w:bCs/>
                <w:sz w:val="21"/>
                <w:szCs w:val="21"/>
              </w:rPr>
            </w:pPr>
            <w:r>
              <w:rPr>
                <w:rFonts w:ascii="Times New Roman" w:hAnsi="Times New Roman" w:eastAsiaTheme="majorEastAsia"/>
                <w:bCs/>
                <w:sz w:val="21"/>
                <w:szCs w:val="21"/>
              </w:rPr>
              <w:t>60</w:t>
            </w:r>
          </w:p>
        </w:tc>
        <w:tc>
          <w:tcPr>
            <w:tcW w:w="2477" w:type="dxa"/>
            <w:vAlign w:val="center"/>
          </w:tcPr>
          <w:p>
            <w:pPr>
              <w:wordWrap w:val="0"/>
              <w:jc w:val="center"/>
              <w:rPr>
                <w:rFonts w:ascii="Times New Roman" w:hAnsi="Times New Roman" w:eastAsiaTheme="majorEastAsia"/>
                <w:bCs/>
                <w:sz w:val="21"/>
                <w:szCs w:val="21"/>
              </w:rPr>
            </w:pPr>
            <w:r>
              <w:rPr>
                <w:rFonts w:ascii="Times New Roman" w:hAnsi="Times New Roman" w:eastAsiaTheme="majorEastAsia"/>
                <w:bCs/>
                <w:sz w:val="21"/>
                <w:szCs w:val="21"/>
              </w:rPr>
              <w:t>50</w:t>
            </w:r>
          </w:p>
        </w:tc>
      </w:tr>
    </w:tbl>
    <w:p>
      <w:pPr>
        <w:pStyle w:val="118"/>
        <w:widowControl w:val="0"/>
        <w:snapToGrid w:val="0"/>
        <w:spacing w:before="240" w:line="360" w:lineRule="auto"/>
        <w:ind w:firstLine="480"/>
        <w:rPr>
          <w:rFonts w:ascii="Times New Roman" w:hAnsi="Times New Roman" w:cs="Times New Roman"/>
          <w:b/>
        </w:rPr>
      </w:pPr>
      <w:r>
        <w:rPr>
          <w:rFonts w:ascii="Times New Roman" w:hAnsi="Times New Roman" w:cs="Times New Roman"/>
          <w:b/>
        </w:rPr>
        <w:t>（4）固体废物</w:t>
      </w:r>
    </w:p>
    <w:p>
      <w:pPr>
        <w:autoSpaceDE w:val="0"/>
        <w:autoSpaceDN w:val="0"/>
        <w:adjustRightInd w:val="0"/>
        <w:ind w:firstLine="480" w:firstLineChars="200"/>
        <w:jc w:val="left"/>
        <w:rPr>
          <w:rFonts w:ascii="Times New Roman" w:hAnsi="Times New Roman"/>
          <w:sz w:val="24"/>
          <w:szCs w:val="24"/>
        </w:rPr>
      </w:pPr>
      <w:r>
        <w:rPr>
          <w:rFonts w:ascii="Times New Roman" w:hAnsi="Times New Roman"/>
          <w:sz w:val="24"/>
          <w:szCs w:val="24"/>
        </w:rPr>
        <w:t>项目产生的养殖粪便交当地有机肥厂进行处理，并且满足《畜禽养殖业污染物排放标准》（GB18596-2001）中的畜禽养殖业废渣无害化标准。病死猪的处理处置执行《畜禽养殖业污染防治技术规范》（HJ/T81-2001）。</w:t>
      </w:r>
    </w:p>
    <w:p>
      <w:pPr>
        <w:pStyle w:val="103"/>
        <w:numPr>
          <w:ilvl w:val="0"/>
          <w:numId w:val="0"/>
        </w:numPr>
        <w:contextualSpacing/>
        <w:rPr>
          <w:rFonts w:ascii="Times New Roman" w:hAnsi="Times New Roman"/>
          <w:b w:val="0"/>
        </w:rPr>
      </w:pPr>
      <w:bookmarkStart w:id="62" w:name="_Toc363468046"/>
      <w:bookmarkStart w:id="63" w:name="_Toc363468137"/>
      <w:bookmarkStart w:id="64" w:name="_Toc9873297"/>
      <w:bookmarkStart w:id="65" w:name="_Toc5179610"/>
      <w:bookmarkStart w:id="66" w:name="_Toc366503554"/>
      <w:bookmarkStart w:id="67" w:name="_Toc366489509"/>
      <w:bookmarkStart w:id="68" w:name="_Toc411330276"/>
      <w:bookmarkStart w:id="69" w:name="_Toc371189266"/>
      <w:bookmarkStart w:id="70" w:name="_Toc485577699"/>
      <w:r>
        <w:rPr>
          <w:rFonts w:ascii="Times New Roman" w:hAnsi="Times New Roman"/>
          <w:b w:val="0"/>
        </w:rPr>
        <w:t>1.8　</w:t>
      </w:r>
      <w:bookmarkStart w:id="71" w:name="_Toc490332986"/>
      <w:r>
        <w:rPr>
          <w:rFonts w:ascii="Times New Roman" w:hAnsi="Times New Roman"/>
          <w:b w:val="0"/>
        </w:rPr>
        <w:t>评价等级</w:t>
      </w:r>
      <w:bookmarkEnd w:id="62"/>
      <w:bookmarkEnd w:id="63"/>
      <w:r>
        <w:rPr>
          <w:rFonts w:ascii="Times New Roman" w:hAnsi="Times New Roman"/>
          <w:b w:val="0"/>
        </w:rPr>
        <w:t>及评价范围</w:t>
      </w:r>
      <w:bookmarkEnd w:id="64"/>
      <w:bookmarkEnd w:id="65"/>
      <w:bookmarkEnd w:id="66"/>
      <w:bookmarkEnd w:id="67"/>
      <w:bookmarkEnd w:id="68"/>
      <w:bookmarkEnd w:id="69"/>
      <w:bookmarkEnd w:id="70"/>
      <w:bookmarkEnd w:id="71"/>
    </w:p>
    <w:p>
      <w:pPr>
        <w:pStyle w:val="108"/>
        <w:rPr>
          <w:b/>
        </w:rPr>
      </w:pPr>
      <w:bookmarkStart w:id="72" w:name="_Toc411330277"/>
      <w:bookmarkStart w:id="73" w:name="_Toc366489510"/>
      <w:bookmarkStart w:id="74" w:name="_Toc366503555"/>
      <w:bookmarkStart w:id="75" w:name="_Toc9873298"/>
      <w:r>
        <w:t>1.8.1　评价等级</w:t>
      </w:r>
      <w:bookmarkEnd w:id="72"/>
      <w:bookmarkEnd w:id="73"/>
      <w:bookmarkEnd w:id="74"/>
      <w:bookmarkEnd w:id="75"/>
    </w:p>
    <w:p>
      <w:pPr>
        <w:pStyle w:val="104"/>
      </w:pPr>
      <w:r>
        <w:t>1.8.1.1  大气环境评价等级</w:t>
      </w:r>
    </w:p>
    <w:p>
      <w:pPr>
        <w:snapToGrid w:val="0"/>
        <w:ind w:firstLine="480"/>
        <w:rPr>
          <w:rFonts w:ascii="Times New Roman" w:hAnsi="Times New Roman" w:eastAsiaTheme="minorEastAsia"/>
          <w:sz w:val="24"/>
          <w:szCs w:val="24"/>
        </w:rPr>
      </w:pPr>
      <w:r>
        <w:rPr>
          <w:rFonts w:ascii="Times New Roman" w:hAnsi="Times New Roman" w:eastAsiaTheme="minorEastAsia"/>
          <w:sz w:val="24"/>
          <w:szCs w:val="24"/>
        </w:rPr>
        <w:t>根据《环境影响评价技术导则—大气环境》</w:t>
      </w:r>
      <w:r>
        <w:rPr>
          <w:rFonts w:ascii="Times New Roman" w:hAnsi="Times New Roman" w:eastAsiaTheme="minorEastAsia"/>
          <w:iCs/>
          <w:sz w:val="24"/>
          <w:szCs w:val="24"/>
        </w:rPr>
        <w:t>（HJ2.2—2018）</w:t>
      </w:r>
      <w:r>
        <w:rPr>
          <w:rFonts w:ascii="Times New Roman" w:hAnsi="Times New Roman" w:eastAsiaTheme="minorEastAsia"/>
          <w:sz w:val="24"/>
          <w:szCs w:val="24"/>
        </w:rPr>
        <w:t>规定的评价工作级别的划分原则和方法，按下式计算出等标排放量。</w:t>
      </w:r>
    </w:p>
    <w:p>
      <w:pPr>
        <w:jc w:val="center"/>
        <w:rPr>
          <w:rFonts w:ascii="Times New Roman" w:hAnsi="Times New Roman" w:eastAsiaTheme="minorEastAsia"/>
          <w:snapToGrid w:val="0"/>
          <w:sz w:val="24"/>
          <w:szCs w:val="24"/>
        </w:rPr>
      </w:pPr>
      <w:r>
        <w:rPr>
          <w:rFonts w:ascii="Times New Roman" w:hAnsi="Times New Roman" w:eastAsiaTheme="minorEastAsia"/>
          <w:snapToGrid w:val="0"/>
          <w:sz w:val="24"/>
          <w:szCs w:val="24"/>
        </w:rPr>
        <w:t>P</w:t>
      </w:r>
      <w:r>
        <w:rPr>
          <w:rFonts w:ascii="Times New Roman" w:hAnsi="Times New Roman" w:eastAsiaTheme="minorEastAsia"/>
          <w:snapToGrid w:val="0"/>
          <w:sz w:val="24"/>
          <w:szCs w:val="24"/>
          <w:vertAlign w:val="subscript"/>
        </w:rPr>
        <w:t>i</w:t>
      </w:r>
      <w:r>
        <w:rPr>
          <w:rFonts w:ascii="Times New Roman" w:hAnsi="Times New Roman" w:eastAsiaTheme="minorEastAsia"/>
          <w:snapToGrid w:val="0"/>
          <w:sz w:val="24"/>
          <w:szCs w:val="24"/>
        </w:rPr>
        <w:t>=C</w:t>
      </w:r>
      <w:r>
        <w:rPr>
          <w:rFonts w:ascii="Times New Roman" w:hAnsi="Times New Roman" w:eastAsiaTheme="minorEastAsia"/>
          <w:snapToGrid w:val="0"/>
          <w:sz w:val="24"/>
          <w:szCs w:val="24"/>
          <w:vertAlign w:val="subscript"/>
        </w:rPr>
        <w:t>i</w:t>
      </w:r>
      <w:r>
        <w:rPr>
          <w:rFonts w:ascii="Times New Roman" w:hAnsi="Times New Roman" w:eastAsiaTheme="minorEastAsia"/>
          <w:snapToGrid w:val="0"/>
          <w:sz w:val="24"/>
          <w:szCs w:val="24"/>
        </w:rPr>
        <w:t>/C</w:t>
      </w:r>
      <w:r>
        <w:rPr>
          <w:rFonts w:ascii="Times New Roman" w:hAnsi="Times New Roman" w:eastAsiaTheme="minorEastAsia"/>
          <w:snapToGrid w:val="0"/>
          <w:sz w:val="24"/>
          <w:szCs w:val="24"/>
          <w:vertAlign w:val="subscript"/>
        </w:rPr>
        <w:t>oi</w:t>
      </w:r>
      <w:r>
        <w:rPr>
          <w:rFonts w:ascii="Times New Roman" w:hAnsi="Times New Roman" w:eastAsiaTheme="minorEastAsia"/>
          <w:snapToGrid w:val="0"/>
          <w:sz w:val="24"/>
          <w:szCs w:val="24"/>
        </w:rPr>
        <w:t>×100%</w:t>
      </w:r>
    </w:p>
    <w:p>
      <w:pPr>
        <w:ind w:firstLine="480"/>
        <w:rPr>
          <w:rFonts w:ascii="Times New Roman" w:hAnsi="Times New Roman" w:eastAsiaTheme="minorEastAsia"/>
          <w:bCs/>
          <w:iCs/>
          <w:snapToGrid w:val="0"/>
          <w:sz w:val="24"/>
          <w:szCs w:val="24"/>
        </w:rPr>
      </w:pPr>
      <w:r>
        <w:rPr>
          <w:rFonts w:ascii="Times New Roman" w:hAnsi="Times New Roman" w:eastAsiaTheme="minorEastAsia"/>
          <w:bCs/>
          <w:iCs/>
          <w:snapToGrid w:val="0"/>
          <w:sz w:val="24"/>
          <w:szCs w:val="24"/>
        </w:rPr>
        <w:t>式中：P</w:t>
      </w:r>
      <w:r>
        <w:rPr>
          <w:rFonts w:ascii="Times New Roman" w:hAnsi="Times New Roman" w:eastAsiaTheme="minorEastAsia"/>
          <w:bCs/>
          <w:iCs/>
          <w:snapToGrid w:val="0"/>
          <w:sz w:val="24"/>
          <w:szCs w:val="24"/>
          <w:vertAlign w:val="subscript"/>
        </w:rPr>
        <w:t>i</w:t>
      </w:r>
      <w:r>
        <w:rPr>
          <w:rFonts w:ascii="Times New Roman" w:hAnsi="Times New Roman" w:eastAsiaTheme="minorEastAsia"/>
          <w:bCs/>
          <w:iCs/>
          <w:snapToGrid w:val="0"/>
          <w:sz w:val="24"/>
          <w:szCs w:val="24"/>
        </w:rPr>
        <w:t>---第i个污染物的最大地面浓度占标率，%；</w:t>
      </w:r>
    </w:p>
    <w:p>
      <w:pPr>
        <w:ind w:firstLine="480"/>
        <w:rPr>
          <w:rFonts w:ascii="Times New Roman" w:hAnsi="Times New Roman" w:eastAsiaTheme="minorEastAsia"/>
          <w:bCs/>
          <w:iCs/>
          <w:snapToGrid w:val="0"/>
          <w:sz w:val="24"/>
          <w:szCs w:val="24"/>
        </w:rPr>
      </w:pPr>
      <w:r>
        <w:rPr>
          <w:rFonts w:ascii="Times New Roman" w:hAnsi="Times New Roman" w:eastAsiaTheme="minorEastAsia"/>
          <w:bCs/>
          <w:iCs/>
          <w:snapToGrid w:val="0"/>
          <w:sz w:val="24"/>
          <w:szCs w:val="24"/>
        </w:rPr>
        <w:t xml:space="preserve">      C</w:t>
      </w:r>
      <w:r>
        <w:rPr>
          <w:rFonts w:ascii="Times New Roman" w:hAnsi="Times New Roman" w:eastAsiaTheme="minorEastAsia"/>
          <w:bCs/>
          <w:iCs/>
          <w:snapToGrid w:val="0"/>
          <w:sz w:val="24"/>
          <w:szCs w:val="24"/>
          <w:vertAlign w:val="subscript"/>
        </w:rPr>
        <w:t>i</w:t>
      </w:r>
      <w:r>
        <w:rPr>
          <w:rFonts w:ascii="Times New Roman" w:hAnsi="Times New Roman" w:eastAsiaTheme="minorEastAsia"/>
          <w:bCs/>
          <w:iCs/>
          <w:snapToGrid w:val="0"/>
          <w:sz w:val="24"/>
          <w:szCs w:val="24"/>
        </w:rPr>
        <w:t>---采用估算模式计算出的第i个污染物的最大地面浓度，mg/m</w:t>
      </w:r>
      <w:r>
        <w:rPr>
          <w:rFonts w:ascii="Times New Roman" w:hAnsi="Times New Roman" w:eastAsiaTheme="minorEastAsia"/>
          <w:bCs/>
          <w:iCs/>
          <w:snapToGrid w:val="0"/>
          <w:sz w:val="24"/>
          <w:szCs w:val="24"/>
          <w:vertAlign w:val="superscript"/>
        </w:rPr>
        <w:t>3</w:t>
      </w:r>
      <w:r>
        <w:rPr>
          <w:rFonts w:ascii="Times New Roman" w:hAnsi="Times New Roman" w:eastAsiaTheme="minorEastAsia"/>
          <w:bCs/>
          <w:iCs/>
          <w:snapToGrid w:val="0"/>
          <w:sz w:val="24"/>
          <w:szCs w:val="24"/>
        </w:rPr>
        <w:t>；</w:t>
      </w:r>
    </w:p>
    <w:p>
      <w:pPr>
        <w:ind w:firstLine="480"/>
        <w:rPr>
          <w:rFonts w:ascii="Times New Roman" w:hAnsi="Times New Roman" w:eastAsiaTheme="minorEastAsia"/>
          <w:bCs/>
          <w:iCs/>
          <w:snapToGrid w:val="0"/>
          <w:sz w:val="24"/>
          <w:szCs w:val="24"/>
        </w:rPr>
      </w:pPr>
      <w:r>
        <w:rPr>
          <w:rFonts w:ascii="Times New Roman" w:hAnsi="Times New Roman" w:eastAsiaTheme="minorEastAsia"/>
          <w:bCs/>
          <w:iCs/>
          <w:snapToGrid w:val="0"/>
          <w:sz w:val="24"/>
          <w:szCs w:val="24"/>
        </w:rPr>
        <w:t xml:space="preserve">      C</w:t>
      </w:r>
      <w:r>
        <w:rPr>
          <w:rFonts w:ascii="Times New Roman" w:hAnsi="Times New Roman" w:eastAsiaTheme="minorEastAsia"/>
          <w:bCs/>
          <w:iCs/>
          <w:snapToGrid w:val="0"/>
          <w:sz w:val="24"/>
          <w:szCs w:val="24"/>
          <w:vertAlign w:val="subscript"/>
        </w:rPr>
        <w:t>oi</w:t>
      </w:r>
      <w:r>
        <w:rPr>
          <w:rFonts w:ascii="Times New Roman" w:hAnsi="Times New Roman" w:eastAsiaTheme="minorEastAsia"/>
          <w:bCs/>
          <w:iCs/>
          <w:snapToGrid w:val="0"/>
          <w:sz w:val="24"/>
          <w:szCs w:val="24"/>
        </w:rPr>
        <w:t>---第i个污染物的环境空气质量标准，mg/m</w:t>
      </w:r>
      <w:r>
        <w:rPr>
          <w:rFonts w:ascii="Times New Roman" w:hAnsi="Times New Roman" w:eastAsiaTheme="minorEastAsia"/>
          <w:bCs/>
          <w:iCs/>
          <w:snapToGrid w:val="0"/>
          <w:sz w:val="24"/>
          <w:szCs w:val="24"/>
          <w:vertAlign w:val="superscript"/>
        </w:rPr>
        <w:t>3</w:t>
      </w:r>
      <w:r>
        <w:rPr>
          <w:rFonts w:ascii="Times New Roman" w:hAnsi="Times New Roman" w:eastAsiaTheme="minorEastAsia"/>
          <w:bCs/>
          <w:iCs/>
          <w:snapToGrid w:val="0"/>
          <w:sz w:val="24"/>
          <w:szCs w:val="24"/>
        </w:rPr>
        <w:t>。</w:t>
      </w:r>
    </w:p>
    <w:p>
      <w:pPr>
        <w:ind w:firstLine="480"/>
        <w:rPr>
          <w:rFonts w:ascii="Times New Roman" w:hAnsi="Times New Roman" w:eastAsiaTheme="minorEastAsia"/>
          <w:snapToGrid w:val="0"/>
          <w:sz w:val="24"/>
          <w:szCs w:val="24"/>
        </w:rPr>
      </w:pPr>
      <w:r>
        <w:rPr>
          <w:rFonts w:ascii="Times New Roman" w:hAnsi="Times New Roman" w:eastAsiaTheme="minorEastAsia"/>
          <w:snapToGrid w:val="0"/>
          <w:sz w:val="24"/>
          <w:szCs w:val="24"/>
        </w:rPr>
        <w:t>大气环境影响评价工作级别判定如下表：</w:t>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表1.8-1  大气环境影响评价工作等级</w:t>
      </w:r>
    </w:p>
    <w:tbl>
      <w:tblPr>
        <w:tblStyle w:val="90"/>
        <w:tblW w:w="8118"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931"/>
        <w:gridCol w:w="518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2931" w:type="dxa"/>
            <w:tcMar>
              <w:left w:w="28" w:type="dxa"/>
              <w:right w:w="28" w:type="dxa"/>
            </w:tcMar>
            <w:vAlign w:val="center"/>
          </w:tcPr>
          <w:p>
            <w:pPr>
              <w:spacing w:line="360" w:lineRule="exact"/>
              <w:ind w:firstLine="10"/>
              <w:jc w:val="center"/>
              <w:rPr>
                <w:rFonts w:ascii="Times New Roman" w:hAnsi="Times New Roman" w:eastAsiaTheme="majorEastAsia"/>
                <w:snapToGrid w:val="0"/>
                <w:sz w:val="21"/>
                <w:szCs w:val="21"/>
              </w:rPr>
            </w:pPr>
            <w:r>
              <w:rPr>
                <w:rFonts w:ascii="Times New Roman" w:hAnsi="Times New Roman" w:eastAsiaTheme="majorEastAsia"/>
                <w:snapToGrid w:val="0"/>
                <w:sz w:val="21"/>
                <w:szCs w:val="21"/>
              </w:rPr>
              <w:t>评价工作等级</w:t>
            </w:r>
          </w:p>
        </w:tc>
        <w:tc>
          <w:tcPr>
            <w:tcW w:w="5187" w:type="dxa"/>
            <w:tcMar>
              <w:left w:w="28" w:type="dxa"/>
              <w:right w:w="28" w:type="dxa"/>
            </w:tcMar>
            <w:vAlign w:val="center"/>
          </w:tcPr>
          <w:p>
            <w:pPr>
              <w:spacing w:line="360" w:lineRule="exact"/>
              <w:jc w:val="center"/>
              <w:rPr>
                <w:rFonts w:ascii="Times New Roman" w:hAnsi="Times New Roman" w:eastAsiaTheme="majorEastAsia"/>
                <w:snapToGrid w:val="0"/>
                <w:sz w:val="21"/>
                <w:szCs w:val="21"/>
              </w:rPr>
            </w:pPr>
            <w:r>
              <w:rPr>
                <w:rFonts w:ascii="Times New Roman" w:hAnsi="Times New Roman" w:eastAsiaTheme="majorEastAsia"/>
                <w:snapToGrid w:val="0"/>
                <w:sz w:val="21"/>
                <w:szCs w:val="21"/>
              </w:rPr>
              <w:t>评价工作分级判据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2931" w:type="dxa"/>
            <w:tcMar>
              <w:left w:w="28" w:type="dxa"/>
              <w:right w:w="28" w:type="dxa"/>
            </w:tcMar>
            <w:vAlign w:val="center"/>
          </w:tcPr>
          <w:p>
            <w:pPr>
              <w:spacing w:line="360" w:lineRule="exact"/>
              <w:ind w:firstLine="10"/>
              <w:jc w:val="center"/>
              <w:rPr>
                <w:rFonts w:ascii="Times New Roman" w:hAnsi="Times New Roman" w:eastAsiaTheme="majorEastAsia"/>
                <w:snapToGrid w:val="0"/>
                <w:sz w:val="21"/>
                <w:szCs w:val="21"/>
              </w:rPr>
            </w:pPr>
            <w:r>
              <w:rPr>
                <w:rFonts w:ascii="Times New Roman" w:hAnsi="Times New Roman" w:eastAsiaTheme="majorEastAsia"/>
                <w:snapToGrid w:val="0"/>
                <w:sz w:val="21"/>
                <w:szCs w:val="21"/>
              </w:rPr>
              <w:t>一级</w:t>
            </w:r>
          </w:p>
        </w:tc>
        <w:tc>
          <w:tcPr>
            <w:tcW w:w="5187" w:type="dxa"/>
            <w:tcMar>
              <w:left w:w="28" w:type="dxa"/>
              <w:right w:w="28" w:type="dxa"/>
            </w:tcMar>
            <w:vAlign w:val="center"/>
          </w:tcPr>
          <w:p>
            <w:pPr>
              <w:spacing w:line="360" w:lineRule="exact"/>
              <w:jc w:val="center"/>
              <w:rPr>
                <w:rFonts w:ascii="Times New Roman" w:hAnsi="Times New Roman" w:eastAsiaTheme="majorEastAsia"/>
                <w:snapToGrid w:val="0"/>
                <w:sz w:val="21"/>
                <w:szCs w:val="21"/>
              </w:rPr>
            </w:pPr>
            <w:r>
              <w:rPr>
                <w:rFonts w:ascii="Times New Roman" w:hAnsi="Times New Roman" w:eastAsiaTheme="majorEastAsia"/>
                <w:snapToGrid w:val="0"/>
                <w:sz w:val="21"/>
                <w:szCs w:val="21"/>
              </w:rPr>
              <w:t>P</w:t>
            </w:r>
            <w:r>
              <w:rPr>
                <w:rFonts w:ascii="Times New Roman" w:hAnsi="Times New Roman" w:eastAsiaTheme="majorEastAsia"/>
                <w:snapToGrid w:val="0"/>
                <w:sz w:val="21"/>
                <w:szCs w:val="21"/>
                <w:vertAlign w:val="subscript"/>
              </w:rPr>
              <w:t>max</w:t>
            </w:r>
            <w:r>
              <w:rPr>
                <w:rFonts w:ascii="Times New Roman" w:hAnsi="Times New Roman" w:eastAsiaTheme="majorEastAsia"/>
                <w:bCs/>
                <w:snapToGrid w:val="0"/>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2931" w:type="dxa"/>
            <w:tcMar>
              <w:left w:w="28" w:type="dxa"/>
              <w:right w:w="28" w:type="dxa"/>
            </w:tcMar>
            <w:vAlign w:val="center"/>
          </w:tcPr>
          <w:p>
            <w:pPr>
              <w:spacing w:line="360" w:lineRule="exact"/>
              <w:ind w:firstLine="10"/>
              <w:jc w:val="center"/>
              <w:rPr>
                <w:rFonts w:ascii="Times New Roman" w:hAnsi="Times New Roman" w:eastAsiaTheme="majorEastAsia"/>
                <w:snapToGrid w:val="0"/>
                <w:sz w:val="21"/>
                <w:szCs w:val="21"/>
              </w:rPr>
            </w:pPr>
            <w:r>
              <w:rPr>
                <w:rFonts w:ascii="Times New Roman" w:hAnsi="Times New Roman" w:eastAsiaTheme="majorEastAsia"/>
                <w:snapToGrid w:val="0"/>
                <w:sz w:val="21"/>
                <w:szCs w:val="21"/>
              </w:rPr>
              <w:t>二级</w:t>
            </w:r>
          </w:p>
        </w:tc>
        <w:tc>
          <w:tcPr>
            <w:tcW w:w="5187" w:type="dxa"/>
            <w:tcMar>
              <w:left w:w="28" w:type="dxa"/>
              <w:right w:w="28" w:type="dxa"/>
            </w:tcMar>
            <w:vAlign w:val="center"/>
          </w:tcPr>
          <w:p>
            <w:pPr>
              <w:spacing w:line="360" w:lineRule="exact"/>
              <w:jc w:val="center"/>
              <w:rPr>
                <w:rFonts w:ascii="Times New Roman" w:hAnsi="Times New Roman" w:eastAsiaTheme="majorEastAsia"/>
                <w:snapToGrid w:val="0"/>
                <w:sz w:val="21"/>
                <w:szCs w:val="21"/>
              </w:rPr>
            </w:pPr>
            <w:r>
              <w:rPr>
                <w:rFonts w:ascii="Times New Roman" w:hAnsi="Times New Roman" w:eastAsiaTheme="majorEastAsia"/>
                <w:bCs/>
                <w:snapToGrid w:val="0"/>
                <w:sz w:val="21"/>
                <w:szCs w:val="21"/>
              </w:rPr>
              <w:t>1%≤P</w:t>
            </w:r>
            <w:r>
              <w:rPr>
                <w:rFonts w:ascii="Times New Roman" w:hAnsi="Times New Roman" w:eastAsiaTheme="majorEastAsia"/>
                <w:bCs/>
                <w:snapToGrid w:val="0"/>
                <w:sz w:val="21"/>
                <w:szCs w:val="21"/>
                <w:vertAlign w:val="subscript"/>
              </w:rPr>
              <w:t>max</w:t>
            </w:r>
            <w:r>
              <w:rPr>
                <w:rFonts w:ascii="Times New Roman" w:hAnsi="Times New Roman" w:eastAsiaTheme="majorEastAsia"/>
                <w:bCs/>
                <w:snapToGrid w:val="0"/>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2931" w:type="dxa"/>
            <w:tcMar>
              <w:left w:w="28" w:type="dxa"/>
              <w:right w:w="28" w:type="dxa"/>
            </w:tcMar>
            <w:vAlign w:val="center"/>
          </w:tcPr>
          <w:p>
            <w:pPr>
              <w:spacing w:line="360" w:lineRule="exact"/>
              <w:ind w:firstLine="10"/>
              <w:jc w:val="center"/>
              <w:rPr>
                <w:rFonts w:ascii="Times New Roman" w:hAnsi="Times New Roman" w:eastAsiaTheme="majorEastAsia"/>
                <w:snapToGrid w:val="0"/>
                <w:sz w:val="21"/>
                <w:szCs w:val="21"/>
              </w:rPr>
            </w:pPr>
            <w:r>
              <w:rPr>
                <w:rFonts w:ascii="Times New Roman" w:hAnsi="Times New Roman" w:eastAsiaTheme="majorEastAsia"/>
                <w:snapToGrid w:val="0"/>
                <w:sz w:val="21"/>
                <w:szCs w:val="21"/>
              </w:rPr>
              <w:t>三级</w:t>
            </w:r>
          </w:p>
        </w:tc>
        <w:tc>
          <w:tcPr>
            <w:tcW w:w="5187" w:type="dxa"/>
            <w:tcMar>
              <w:left w:w="28" w:type="dxa"/>
              <w:right w:w="28" w:type="dxa"/>
            </w:tcMar>
            <w:vAlign w:val="center"/>
          </w:tcPr>
          <w:p>
            <w:pPr>
              <w:spacing w:line="360" w:lineRule="exact"/>
              <w:jc w:val="center"/>
              <w:rPr>
                <w:rFonts w:ascii="Times New Roman" w:hAnsi="Times New Roman" w:eastAsiaTheme="majorEastAsia"/>
                <w:snapToGrid w:val="0"/>
                <w:sz w:val="21"/>
                <w:szCs w:val="21"/>
              </w:rPr>
            </w:pPr>
            <w:r>
              <w:rPr>
                <w:rFonts w:ascii="Times New Roman" w:hAnsi="Times New Roman" w:eastAsiaTheme="majorEastAsia"/>
                <w:bCs/>
                <w:snapToGrid w:val="0"/>
                <w:sz w:val="21"/>
                <w:szCs w:val="21"/>
              </w:rPr>
              <w:t>P</w:t>
            </w:r>
            <w:r>
              <w:rPr>
                <w:rFonts w:ascii="Times New Roman" w:hAnsi="Times New Roman" w:eastAsiaTheme="majorEastAsia"/>
                <w:bCs/>
                <w:snapToGrid w:val="0"/>
                <w:sz w:val="21"/>
                <w:szCs w:val="21"/>
                <w:vertAlign w:val="subscript"/>
              </w:rPr>
              <w:t>max</w:t>
            </w:r>
            <w:r>
              <w:rPr>
                <w:rFonts w:ascii="Times New Roman" w:hAnsi="Times New Roman" w:eastAsiaTheme="majorEastAsia"/>
                <w:bCs/>
                <w:snapToGrid w:val="0"/>
                <w:sz w:val="21"/>
                <w:szCs w:val="21"/>
              </w:rPr>
              <w:t>＜1%</w:t>
            </w:r>
          </w:p>
        </w:tc>
      </w:tr>
    </w:tbl>
    <w:p>
      <w:pPr>
        <w:ind w:firstLine="480"/>
        <w:rPr>
          <w:rFonts w:ascii="Times New Roman" w:hAnsi="Times New Roman"/>
          <w:sz w:val="24"/>
          <w:szCs w:val="24"/>
        </w:rPr>
      </w:pPr>
      <w:r>
        <w:rPr>
          <w:rFonts w:ascii="Times New Roman" w:hAnsi="Times New Roman"/>
          <w:sz w:val="24"/>
          <w:szCs w:val="24"/>
        </w:rPr>
        <w:t>本项目估算模型参数取值情况如下：</w:t>
      </w:r>
    </w:p>
    <w:p>
      <w:pPr>
        <w:autoSpaceDE w:val="0"/>
        <w:autoSpaceDN w:val="0"/>
        <w:adjustRightInd w:val="0"/>
        <w:contextualSpacing/>
        <w:jc w:val="center"/>
        <w:rPr>
          <w:rFonts w:ascii="Times New Roman" w:hAnsi="Times New Roman" w:eastAsia="黑体"/>
          <w:sz w:val="21"/>
          <w:szCs w:val="21"/>
        </w:rPr>
      </w:pPr>
      <w:r>
        <w:rPr>
          <w:rFonts w:ascii="Times New Roman" w:hAnsi="Times New Roman" w:eastAsia="黑体"/>
          <w:sz w:val="21"/>
          <w:szCs w:val="21"/>
        </w:rPr>
        <w:t>表1.8-2   本项目大气环境估算模型参数表</w:t>
      </w:r>
    </w:p>
    <w:tbl>
      <w:tblPr>
        <w:tblStyle w:val="90"/>
        <w:tblpPr w:leftFromText="180" w:rightFromText="180" w:vertAnchor="text" w:horzAnchor="page" w:tblpX="1980" w:tblpY="633"/>
        <w:tblOverlap w:val="never"/>
        <w:tblW w:w="8060"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884"/>
        <w:gridCol w:w="2217"/>
        <w:gridCol w:w="395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32" w:hRule="atLeast"/>
        </w:trPr>
        <w:tc>
          <w:tcPr>
            <w:tcW w:w="4101" w:type="dxa"/>
            <w:gridSpan w:val="2"/>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参数</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取值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84"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城市农村/选项</w:t>
            </w: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城市/农村</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农村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8" w:hRule="atLeast"/>
        </w:trPr>
        <w:tc>
          <w:tcPr>
            <w:tcW w:w="1884"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人口数(城市人口数)</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3" w:hRule="atLeast"/>
        </w:trPr>
        <w:tc>
          <w:tcPr>
            <w:tcW w:w="4101" w:type="dxa"/>
            <w:gridSpan w:val="2"/>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最高环境温度</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 xml:space="preserve"> </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trPr>
        <w:tc>
          <w:tcPr>
            <w:tcW w:w="4101" w:type="dxa"/>
            <w:gridSpan w:val="2"/>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最低环境温度</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-4.2 °C</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trPr>
        <w:tc>
          <w:tcPr>
            <w:tcW w:w="4101" w:type="dxa"/>
            <w:gridSpan w:val="2"/>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土地利用类型</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农田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trPr>
        <w:tc>
          <w:tcPr>
            <w:tcW w:w="4101" w:type="dxa"/>
            <w:gridSpan w:val="2"/>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区域湿度条件</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中等湿度</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1" w:hRule="atLeast"/>
        </w:trPr>
        <w:tc>
          <w:tcPr>
            <w:tcW w:w="1884"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是否考虑地形</w:t>
            </w: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考虑地形</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是</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8" w:hRule="atLeast"/>
        </w:trPr>
        <w:tc>
          <w:tcPr>
            <w:tcW w:w="1884"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地形数据分辨率(m)</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90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3" w:hRule="atLeast"/>
        </w:trPr>
        <w:tc>
          <w:tcPr>
            <w:tcW w:w="1884"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是否考虑</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岸线熏烟</w:t>
            </w: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考虑岸线熏烟</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否</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1884"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岸线距离/km</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28" w:hRule="atLeast"/>
        </w:trPr>
        <w:tc>
          <w:tcPr>
            <w:tcW w:w="1884"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221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岸线方向/</w:t>
            </w:r>
            <w:r>
              <w:rPr>
                <w:rFonts w:ascii="Times New Roman" w:hAnsi="Times New Roman" w:eastAsiaTheme="minorEastAsia"/>
                <w:sz w:val="21"/>
                <w:szCs w:val="21"/>
                <w:vertAlign w:val="superscript"/>
              </w:rPr>
              <w:t>o</w:t>
            </w:r>
          </w:p>
        </w:tc>
        <w:tc>
          <w:tcPr>
            <w:tcW w:w="3959"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bl>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表1.8-3  主要废气污染源参数一览表（矩形面源）</w:t>
      </w:r>
    </w:p>
    <w:tbl>
      <w:tblPr>
        <w:tblStyle w:val="90"/>
        <w:tblW w:w="8093"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36"/>
        <w:gridCol w:w="854"/>
        <w:gridCol w:w="1002"/>
        <w:gridCol w:w="826"/>
        <w:gridCol w:w="1138"/>
        <w:gridCol w:w="1127"/>
        <w:gridCol w:w="1055"/>
        <w:gridCol w:w="105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36"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污染源名称</w:t>
            </w:r>
          </w:p>
        </w:tc>
        <w:tc>
          <w:tcPr>
            <w:tcW w:w="854" w:type="dxa"/>
            <w:vMerge w:val="restart"/>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海拔高度(m)</w:t>
            </w:r>
          </w:p>
        </w:tc>
        <w:tc>
          <w:tcPr>
            <w:tcW w:w="2966" w:type="dxa"/>
            <w:gridSpan w:val="3"/>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矩形面源</w:t>
            </w:r>
          </w:p>
        </w:tc>
        <w:tc>
          <w:tcPr>
            <w:tcW w:w="1127" w:type="dxa"/>
            <w:vMerge w:val="restart"/>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污染物</w:t>
            </w:r>
          </w:p>
        </w:tc>
        <w:tc>
          <w:tcPr>
            <w:tcW w:w="1055" w:type="dxa"/>
            <w:vMerge w:val="restart"/>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排放</w:t>
            </w:r>
          </w:p>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速率</w:t>
            </w:r>
          </w:p>
        </w:tc>
        <w:tc>
          <w:tcPr>
            <w:tcW w:w="1055" w:type="dxa"/>
            <w:vMerge w:val="restart"/>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单位</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701" w:hRule="atLeast"/>
          <w:jc w:val="center"/>
        </w:trPr>
        <w:tc>
          <w:tcPr>
            <w:tcW w:w="1036" w:type="dxa"/>
            <w:vMerge w:val="continue"/>
            <w:shd w:val="clear" w:color="auto" w:fill="auto"/>
            <w:vAlign w:val="center"/>
          </w:tcPr>
          <w:p>
            <w:pPr>
              <w:snapToGrid w:val="0"/>
              <w:spacing w:line="240" w:lineRule="auto"/>
              <w:jc w:val="center"/>
              <w:rPr>
                <w:rFonts w:ascii="Times New Roman" w:hAnsi="Times New Roman" w:eastAsiaTheme="minorEastAsia"/>
                <w:sz w:val="21"/>
                <w:szCs w:val="21"/>
              </w:rPr>
            </w:pPr>
          </w:p>
        </w:tc>
        <w:tc>
          <w:tcPr>
            <w:tcW w:w="854" w:type="dxa"/>
            <w:vMerge w:val="continue"/>
            <w:shd w:val="clear" w:color="auto" w:fill="auto"/>
            <w:vAlign w:val="center"/>
          </w:tcPr>
          <w:p>
            <w:pPr>
              <w:snapToGrid w:val="0"/>
              <w:spacing w:line="240" w:lineRule="auto"/>
              <w:jc w:val="center"/>
              <w:rPr>
                <w:rFonts w:ascii="Times New Roman" w:hAnsi="Times New Roman" w:eastAsiaTheme="minorEastAsia"/>
                <w:sz w:val="21"/>
                <w:szCs w:val="21"/>
              </w:rPr>
            </w:pPr>
          </w:p>
        </w:tc>
        <w:tc>
          <w:tcPr>
            <w:tcW w:w="1002" w:type="dxa"/>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长度</w:t>
            </w:r>
          </w:p>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(m)</w:t>
            </w:r>
          </w:p>
        </w:tc>
        <w:tc>
          <w:tcPr>
            <w:tcW w:w="826" w:type="dxa"/>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宽度</w:t>
            </w:r>
          </w:p>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(m)</w:t>
            </w:r>
          </w:p>
        </w:tc>
        <w:tc>
          <w:tcPr>
            <w:tcW w:w="1138" w:type="dxa"/>
            <w:shd w:val="clear" w:color="auto" w:fill="auto"/>
            <w:vAlign w:val="center"/>
          </w:tcPr>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有效高度</w:t>
            </w:r>
          </w:p>
          <w:p>
            <w:pPr>
              <w:snapToGrid w:val="0"/>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(m)</w:t>
            </w:r>
          </w:p>
        </w:tc>
        <w:tc>
          <w:tcPr>
            <w:tcW w:w="1127" w:type="dxa"/>
            <w:vMerge w:val="continue"/>
            <w:shd w:val="clear" w:color="auto" w:fill="auto"/>
            <w:vAlign w:val="center"/>
          </w:tcPr>
          <w:p>
            <w:pPr>
              <w:snapToGrid w:val="0"/>
              <w:spacing w:line="240" w:lineRule="auto"/>
              <w:jc w:val="center"/>
              <w:rPr>
                <w:rFonts w:ascii="Times New Roman" w:hAnsi="Times New Roman" w:eastAsiaTheme="minorEastAsia"/>
                <w:sz w:val="21"/>
                <w:szCs w:val="21"/>
              </w:rPr>
            </w:pPr>
          </w:p>
        </w:tc>
        <w:tc>
          <w:tcPr>
            <w:tcW w:w="1055" w:type="dxa"/>
            <w:vMerge w:val="continue"/>
            <w:shd w:val="clear" w:color="auto" w:fill="auto"/>
            <w:vAlign w:val="center"/>
          </w:tcPr>
          <w:p>
            <w:pPr>
              <w:snapToGrid w:val="0"/>
              <w:spacing w:line="240" w:lineRule="auto"/>
              <w:jc w:val="center"/>
              <w:rPr>
                <w:rFonts w:ascii="Times New Roman" w:hAnsi="Times New Roman" w:eastAsiaTheme="minorEastAsia"/>
                <w:sz w:val="21"/>
                <w:szCs w:val="21"/>
              </w:rPr>
            </w:pPr>
          </w:p>
        </w:tc>
        <w:tc>
          <w:tcPr>
            <w:tcW w:w="1055" w:type="dxa"/>
            <w:vMerge w:val="continue"/>
            <w:shd w:val="clear" w:color="auto" w:fill="auto"/>
            <w:vAlign w:val="center"/>
          </w:tcPr>
          <w:p>
            <w:pPr>
              <w:snapToGrid w:val="0"/>
              <w:spacing w:line="240" w:lineRule="auto"/>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36"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矩形</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面源</w:t>
            </w:r>
          </w:p>
        </w:tc>
        <w:tc>
          <w:tcPr>
            <w:tcW w:w="854"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486.0</w:t>
            </w:r>
          </w:p>
        </w:tc>
        <w:tc>
          <w:tcPr>
            <w:tcW w:w="1002"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207.92</w:t>
            </w:r>
          </w:p>
        </w:tc>
        <w:tc>
          <w:tcPr>
            <w:tcW w:w="826"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116</w:t>
            </w:r>
          </w:p>
        </w:tc>
        <w:tc>
          <w:tcPr>
            <w:tcW w:w="1138"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10.0</w:t>
            </w:r>
          </w:p>
        </w:tc>
        <w:tc>
          <w:tcPr>
            <w:tcW w:w="112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H</w:t>
            </w:r>
            <w:r>
              <w:rPr>
                <w:rFonts w:ascii="Times New Roman" w:hAnsi="Times New Roman" w:eastAsiaTheme="minorEastAsia"/>
                <w:sz w:val="21"/>
                <w:szCs w:val="21"/>
                <w:vertAlign w:val="subscript"/>
              </w:rPr>
              <w:t>2</w:t>
            </w:r>
            <w:r>
              <w:rPr>
                <w:rFonts w:ascii="Times New Roman" w:hAnsi="Times New Roman" w:eastAsiaTheme="minorEastAsia"/>
                <w:sz w:val="21"/>
                <w:szCs w:val="21"/>
              </w:rPr>
              <w:t xml:space="preserve">S </w:t>
            </w:r>
          </w:p>
        </w:tc>
        <w:tc>
          <w:tcPr>
            <w:tcW w:w="1055"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 xml:space="preserve">0.00214  </w:t>
            </w:r>
          </w:p>
        </w:tc>
        <w:tc>
          <w:tcPr>
            <w:tcW w:w="1055" w:type="dxa"/>
            <w:vMerge w:val="restart"/>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kg/h</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86" w:hRule="atLeast"/>
          <w:jc w:val="center"/>
        </w:trPr>
        <w:tc>
          <w:tcPr>
            <w:tcW w:w="1036"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854"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1002"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826"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1138" w:type="dxa"/>
            <w:vMerge w:val="continue"/>
            <w:shd w:val="clear" w:color="auto" w:fill="auto"/>
            <w:vAlign w:val="center"/>
          </w:tcPr>
          <w:p>
            <w:pPr>
              <w:spacing w:line="240" w:lineRule="auto"/>
              <w:jc w:val="center"/>
              <w:rPr>
                <w:rFonts w:ascii="Times New Roman" w:hAnsi="Times New Roman" w:eastAsiaTheme="minorEastAsia"/>
                <w:sz w:val="21"/>
                <w:szCs w:val="21"/>
              </w:rPr>
            </w:pPr>
          </w:p>
        </w:tc>
        <w:tc>
          <w:tcPr>
            <w:tcW w:w="1127"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p>
        </w:tc>
        <w:tc>
          <w:tcPr>
            <w:tcW w:w="1055"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0.0357</w:t>
            </w:r>
          </w:p>
        </w:tc>
        <w:tc>
          <w:tcPr>
            <w:tcW w:w="1055" w:type="dxa"/>
            <w:vMerge w:val="continue"/>
            <w:shd w:val="clear" w:color="auto" w:fill="auto"/>
            <w:vAlign w:val="center"/>
          </w:tcPr>
          <w:p>
            <w:pPr>
              <w:spacing w:line="240" w:lineRule="auto"/>
              <w:jc w:val="center"/>
              <w:rPr>
                <w:rFonts w:ascii="Times New Roman" w:hAnsi="Times New Roman" w:eastAsiaTheme="minorEastAsia"/>
                <w:sz w:val="21"/>
                <w:szCs w:val="21"/>
              </w:rPr>
            </w:pPr>
          </w:p>
        </w:tc>
      </w:tr>
    </w:tbl>
    <w:p>
      <w:pPr>
        <w:spacing w:before="240"/>
        <w:ind w:firstLine="480"/>
        <w:rPr>
          <w:rFonts w:ascii="Times New Roman" w:hAnsi="Times New Roman"/>
          <w:sz w:val="24"/>
          <w:szCs w:val="24"/>
        </w:rPr>
      </w:pPr>
      <w:r>
        <w:rPr>
          <w:rFonts w:ascii="Times New Roman" w:hAnsi="Times New Roman"/>
          <w:sz w:val="24"/>
          <w:szCs w:val="24"/>
        </w:rPr>
        <w:t>本项目大气环境影响评价工作级别判定如下：</w:t>
      </w:r>
    </w:p>
    <w:p>
      <w:pPr>
        <w:autoSpaceDE w:val="0"/>
        <w:autoSpaceDN w:val="0"/>
        <w:adjustRightInd w:val="0"/>
        <w:jc w:val="center"/>
        <w:rPr>
          <w:rFonts w:ascii="Times New Roman" w:hAnsi="Times New Roman" w:eastAsia="黑体"/>
          <w:sz w:val="21"/>
          <w:szCs w:val="21"/>
        </w:rPr>
      </w:pPr>
      <w:r>
        <w:rPr>
          <w:rFonts w:ascii="Times New Roman" w:hAnsi="Times New Roman" w:eastAsia="黑体"/>
          <w:sz w:val="21"/>
          <w:szCs w:val="21"/>
        </w:rPr>
        <w:t>表1.8-4  P</w:t>
      </w:r>
      <w:r>
        <w:rPr>
          <w:rFonts w:ascii="Times New Roman" w:hAnsi="Times New Roman" w:eastAsia="黑体"/>
          <w:sz w:val="21"/>
          <w:szCs w:val="21"/>
          <w:vertAlign w:val="subscript"/>
        </w:rPr>
        <w:t>max</w:t>
      </w:r>
      <w:r>
        <w:rPr>
          <w:rFonts w:ascii="Times New Roman" w:hAnsi="Times New Roman" w:eastAsia="黑体"/>
          <w:sz w:val="21"/>
          <w:szCs w:val="21"/>
        </w:rPr>
        <w:t>和D</w:t>
      </w:r>
      <w:r>
        <w:rPr>
          <w:rFonts w:ascii="Times New Roman" w:hAnsi="Times New Roman" w:eastAsia="黑体"/>
          <w:sz w:val="21"/>
          <w:szCs w:val="21"/>
          <w:vertAlign w:val="subscript"/>
        </w:rPr>
        <w:t>10%</w:t>
      </w:r>
      <w:r>
        <w:rPr>
          <w:rFonts w:ascii="Times New Roman" w:hAnsi="Times New Roman" w:eastAsia="黑体"/>
          <w:sz w:val="21"/>
          <w:szCs w:val="21"/>
        </w:rPr>
        <w:t>预测和计算结果一览表</w:t>
      </w:r>
    </w:p>
    <w:tbl>
      <w:tblPr>
        <w:tblStyle w:val="90"/>
        <w:tblW w:w="8416"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402"/>
        <w:gridCol w:w="1404"/>
        <w:gridCol w:w="1404"/>
        <w:gridCol w:w="1402"/>
        <w:gridCol w:w="1404"/>
        <w:gridCol w:w="140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805" w:hRule="atLeast"/>
        </w:trPr>
        <w:tc>
          <w:tcPr>
            <w:tcW w:w="1402"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污染源名称</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评价因子</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评价标准(μg/m</w:t>
            </w:r>
            <w:r>
              <w:rPr>
                <w:rFonts w:ascii="Times New Roman" w:hAnsi="Times New Roman" w:eastAsiaTheme="minorEastAsia"/>
                <w:sz w:val="21"/>
                <w:szCs w:val="21"/>
                <w:vertAlign w:val="superscript"/>
              </w:rPr>
              <w:t>3</w:t>
            </w:r>
            <w:r>
              <w:rPr>
                <w:rFonts w:ascii="Times New Roman" w:hAnsi="Times New Roman" w:eastAsiaTheme="minorEastAsia"/>
                <w:sz w:val="21"/>
                <w:szCs w:val="21"/>
              </w:rPr>
              <w:t>)</w:t>
            </w:r>
          </w:p>
        </w:tc>
        <w:tc>
          <w:tcPr>
            <w:tcW w:w="1402"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C</w:t>
            </w:r>
            <w:r>
              <w:rPr>
                <w:rFonts w:ascii="Times New Roman" w:hAnsi="Times New Roman" w:eastAsiaTheme="minorEastAsia"/>
                <w:sz w:val="21"/>
                <w:szCs w:val="21"/>
                <w:vertAlign w:val="subscript"/>
              </w:rPr>
              <w:t>max</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(μg/m</w:t>
            </w:r>
            <w:r>
              <w:rPr>
                <w:rFonts w:ascii="Times New Roman" w:hAnsi="Times New Roman" w:eastAsiaTheme="minorEastAsia"/>
                <w:sz w:val="21"/>
                <w:szCs w:val="21"/>
                <w:vertAlign w:val="superscript"/>
              </w:rPr>
              <w:t>3</w:t>
            </w:r>
            <w:r>
              <w:rPr>
                <w:rFonts w:ascii="Times New Roman" w:hAnsi="Times New Roman" w:eastAsiaTheme="minorEastAsia"/>
                <w:sz w:val="21"/>
                <w:szCs w:val="21"/>
              </w:rPr>
              <w:t>)</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P</w:t>
            </w:r>
            <w:r>
              <w:rPr>
                <w:rFonts w:ascii="Times New Roman" w:hAnsi="Times New Roman" w:eastAsiaTheme="minorEastAsia"/>
                <w:sz w:val="21"/>
                <w:szCs w:val="21"/>
                <w:vertAlign w:val="subscript"/>
              </w:rPr>
              <w:t>max</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00"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D</w:t>
            </w:r>
            <w:r>
              <w:rPr>
                <w:rFonts w:ascii="Times New Roman" w:hAnsi="Times New Roman" w:eastAsiaTheme="minorEastAsia"/>
                <w:sz w:val="21"/>
                <w:szCs w:val="21"/>
                <w:vertAlign w:val="subscript"/>
              </w:rPr>
              <w:t>10%</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(m)</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trPr>
        <w:tc>
          <w:tcPr>
            <w:tcW w:w="1402"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矩形面源</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H</w:t>
            </w:r>
            <w:r>
              <w:rPr>
                <w:rFonts w:ascii="Times New Roman" w:hAnsi="Times New Roman" w:eastAsiaTheme="minorEastAsia"/>
                <w:sz w:val="21"/>
                <w:szCs w:val="21"/>
                <w:vertAlign w:val="subscript"/>
              </w:rPr>
              <w:t>2</w:t>
            </w:r>
            <w:r>
              <w:rPr>
                <w:rFonts w:ascii="Times New Roman" w:hAnsi="Times New Roman" w:eastAsiaTheme="minorEastAsia"/>
                <w:sz w:val="21"/>
                <w:szCs w:val="21"/>
              </w:rPr>
              <w:t>S</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10.0</w:t>
            </w:r>
          </w:p>
        </w:tc>
        <w:tc>
          <w:tcPr>
            <w:tcW w:w="1402"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8.0</w:t>
            </w:r>
          </w:p>
        </w:tc>
        <w:tc>
          <w:tcPr>
            <w:tcW w:w="1400"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trPr>
        <w:tc>
          <w:tcPr>
            <w:tcW w:w="1402"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矩形面源</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200.0</w:t>
            </w:r>
          </w:p>
        </w:tc>
        <w:tc>
          <w:tcPr>
            <w:tcW w:w="1402"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13.0</w:t>
            </w:r>
          </w:p>
        </w:tc>
        <w:tc>
          <w:tcPr>
            <w:tcW w:w="1404"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6.0</w:t>
            </w:r>
          </w:p>
        </w:tc>
        <w:tc>
          <w:tcPr>
            <w:tcW w:w="1400" w:type="dxa"/>
            <w:shd w:val="clear" w:color="auto" w:fill="auto"/>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bl>
    <w:p>
      <w:pPr>
        <w:autoSpaceDE w:val="0"/>
        <w:autoSpaceDN w:val="0"/>
        <w:adjustRightInd w:val="0"/>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本项目P</w:t>
      </w:r>
      <w:r>
        <w:rPr>
          <w:rFonts w:ascii="Times New Roman" w:hAnsi="Times New Roman" w:eastAsiaTheme="minorEastAsia"/>
          <w:sz w:val="24"/>
          <w:szCs w:val="24"/>
          <w:vertAlign w:val="subscript"/>
        </w:rPr>
        <w:t>max</w:t>
      </w:r>
      <w:r>
        <w:rPr>
          <w:rFonts w:ascii="Times New Roman" w:hAnsi="Times New Roman" w:eastAsiaTheme="minorEastAsia"/>
          <w:sz w:val="24"/>
          <w:szCs w:val="24"/>
        </w:rPr>
        <w:t>最大值出现为矩形面源排放的H</w:t>
      </w:r>
      <w:r>
        <w:rPr>
          <w:rFonts w:ascii="Times New Roman" w:hAnsi="Times New Roman" w:eastAsiaTheme="minorEastAsia"/>
          <w:sz w:val="24"/>
          <w:szCs w:val="24"/>
          <w:vertAlign w:val="subscript"/>
        </w:rPr>
        <w:t>2</w:t>
      </w:r>
      <w:r>
        <w:rPr>
          <w:rFonts w:ascii="Times New Roman" w:hAnsi="Times New Roman" w:eastAsiaTheme="minorEastAsia"/>
          <w:sz w:val="24"/>
          <w:szCs w:val="24"/>
        </w:rPr>
        <w:t>S，P</w:t>
      </w:r>
      <w:r>
        <w:rPr>
          <w:rFonts w:ascii="Times New Roman" w:hAnsi="Times New Roman" w:eastAsiaTheme="minorEastAsia"/>
          <w:sz w:val="24"/>
          <w:szCs w:val="24"/>
          <w:vertAlign w:val="subscript"/>
        </w:rPr>
        <w:t>max</w:t>
      </w:r>
      <w:r>
        <w:rPr>
          <w:rFonts w:ascii="Times New Roman" w:hAnsi="Times New Roman" w:eastAsiaTheme="minorEastAsia"/>
          <w:sz w:val="24"/>
          <w:szCs w:val="24"/>
        </w:rPr>
        <w:t>值为8.0%，C</w:t>
      </w:r>
      <w:r>
        <w:rPr>
          <w:rFonts w:ascii="Times New Roman" w:hAnsi="Times New Roman" w:eastAsiaTheme="minorEastAsia"/>
          <w:sz w:val="24"/>
          <w:szCs w:val="24"/>
          <w:vertAlign w:val="subscript"/>
        </w:rPr>
        <w:t>max</w:t>
      </w:r>
      <w:r>
        <w:rPr>
          <w:rFonts w:ascii="Times New Roman" w:hAnsi="Times New Roman" w:eastAsiaTheme="minorEastAsia"/>
          <w:sz w:val="24"/>
          <w:szCs w:val="24"/>
        </w:rPr>
        <w:t>为1.0ug/m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，根据《环境影响评价技术导则 大气环境》(HJ2.2-2018)分级判据，确定本项目大气环境影响评价工作等级为二级。评价范围边长取5km。本工程最终评价范围确定为以项目为中心，边长为5km的正方形。</w:t>
      </w:r>
    </w:p>
    <w:p>
      <w:pPr>
        <w:pStyle w:val="104"/>
      </w:pPr>
      <w:r>
        <w:t>1.8.1.2 地表水评价等级</w:t>
      </w:r>
    </w:p>
    <w:p>
      <w:pPr>
        <w:ind w:firstLine="480" w:firstLineChars="200"/>
        <w:jc w:val="left"/>
        <w:rPr>
          <w:rFonts w:ascii="Times New Roman" w:hAnsi="Times New Roman"/>
          <w:sz w:val="24"/>
          <w:szCs w:val="28"/>
        </w:rPr>
      </w:pPr>
      <w:r>
        <w:rPr>
          <w:rFonts w:ascii="Times New Roman" w:hAnsi="Times New Roman"/>
          <w:kern w:val="0"/>
          <w:sz w:val="24"/>
          <w:szCs w:val="24"/>
        </w:rPr>
        <w:t>根据《环境影响评价技术导则-地表水环境》( HJ 2.3-2018)，地表水环境</w:t>
      </w:r>
      <w:r>
        <w:rPr>
          <w:rFonts w:ascii="Times New Roman" w:hAnsi="Times New Roman"/>
          <w:sz w:val="24"/>
          <w:szCs w:val="28"/>
        </w:rPr>
        <w:t>影响评价工作等级划分如下表1.8-5。</w:t>
      </w:r>
    </w:p>
    <w:p>
      <w:pPr>
        <w:widowControl/>
        <w:spacing w:line="240" w:lineRule="auto"/>
        <w:jc w:val="left"/>
        <w:rPr>
          <w:rFonts w:ascii="Times New Roman" w:hAnsi="Times New Roman" w:eastAsia="黑体"/>
          <w:sz w:val="21"/>
          <w:szCs w:val="24"/>
        </w:rPr>
      </w:pPr>
      <w:r>
        <w:rPr>
          <w:rFonts w:ascii="Times New Roman" w:hAnsi="Times New Roman" w:eastAsia="黑体"/>
          <w:sz w:val="21"/>
          <w:szCs w:val="24"/>
        </w:rPr>
        <w:br w:type="page"/>
      </w:r>
    </w:p>
    <w:p>
      <w:pPr>
        <w:jc w:val="center"/>
        <w:rPr>
          <w:rFonts w:ascii="Times New Roman" w:hAnsi="Times New Roman" w:eastAsia="黑体"/>
          <w:sz w:val="21"/>
          <w:szCs w:val="24"/>
        </w:rPr>
      </w:pPr>
      <w:r>
        <w:rPr>
          <w:rFonts w:ascii="Times New Roman" w:hAnsi="Times New Roman" w:eastAsia="黑体"/>
          <w:sz w:val="21"/>
          <w:szCs w:val="24"/>
        </w:rPr>
        <w:t>表1.8-5　地表水水污染影响型建设项目评价等级判定依据表</w:t>
      </w:r>
    </w:p>
    <w:tbl>
      <w:tblPr>
        <w:tblStyle w:val="90"/>
        <w:tblW w:w="8149"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218"/>
        <w:gridCol w:w="2264"/>
        <w:gridCol w:w="366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jc w:val="center"/>
        </w:trPr>
        <w:tc>
          <w:tcPr>
            <w:tcW w:w="2218" w:type="dxa"/>
            <w:vMerge w:val="restart"/>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sz w:val="21"/>
                <w:szCs w:val="21"/>
              </w:rPr>
              <w:t>评价等级</w:t>
            </w:r>
          </w:p>
        </w:tc>
        <w:tc>
          <w:tcPr>
            <w:tcW w:w="5931" w:type="dxa"/>
            <w:gridSpan w:val="2"/>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sz w:val="21"/>
                <w:szCs w:val="21"/>
              </w:rPr>
              <w:t>判定依据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jc w:val="center"/>
        </w:trPr>
        <w:tc>
          <w:tcPr>
            <w:tcW w:w="2218" w:type="dxa"/>
            <w:vMerge w:val="continue"/>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p>
        </w:tc>
        <w:tc>
          <w:tcPr>
            <w:tcW w:w="2264"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sz w:val="21"/>
                <w:szCs w:val="21"/>
              </w:rPr>
              <w:t>排放方式</w:t>
            </w:r>
          </w:p>
        </w:tc>
        <w:tc>
          <w:tcPr>
            <w:tcW w:w="3667"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废水排放量Q /（m</w:t>
            </w:r>
            <w:r>
              <w:rPr>
                <w:rFonts w:ascii="Times New Roman" w:hAnsi="Times New Roman" w:eastAsiaTheme="minorEastAsia"/>
                <w:kern w:val="0"/>
                <w:sz w:val="21"/>
                <w:vertAlign w:val="superscript"/>
              </w:rPr>
              <w:t>3</w:t>
            </w:r>
            <w:r>
              <w:rPr>
                <w:rFonts w:ascii="Times New Roman" w:hAnsi="Times New Roman" w:eastAsiaTheme="minorEastAsia"/>
                <w:kern w:val="0"/>
                <w:sz w:val="21"/>
              </w:rPr>
              <w:t>/d）；</w:t>
            </w:r>
          </w:p>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水污染物当量数W /（无量纲）</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2218"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一级</w:t>
            </w:r>
          </w:p>
        </w:tc>
        <w:tc>
          <w:tcPr>
            <w:tcW w:w="2264"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直接排放</w:t>
            </w:r>
          </w:p>
        </w:tc>
        <w:tc>
          <w:tcPr>
            <w:tcW w:w="3667"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sz w:val="21"/>
                <w:szCs w:val="21"/>
              </w:rPr>
            </w:pPr>
            <w:r>
              <w:rPr>
                <w:rFonts w:ascii="Times New Roman" w:hAnsi="Times New Roman" w:eastAsiaTheme="minorEastAsia"/>
                <w:sz w:val="21"/>
                <w:szCs w:val="21"/>
              </w:rPr>
              <w:t>Q≥20000或 W≥600000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2218"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二级</w:t>
            </w:r>
          </w:p>
        </w:tc>
        <w:tc>
          <w:tcPr>
            <w:tcW w:w="2264"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直接排放</w:t>
            </w:r>
          </w:p>
        </w:tc>
        <w:tc>
          <w:tcPr>
            <w:tcW w:w="3667"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sz w:val="21"/>
                <w:szCs w:val="21"/>
              </w:rPr>
            </w:pPr>
            <w:r>
              <w:rPr>
                <w:rFonts w:ascii="Times New Roman" w:hAnsi="Times New Roman" w:eastAsiaTheme="minorEastAsia"/>
                <w:sz w:val="21"/>
                <w:szCs w:val="21"/>
              </w:rPr>
              <w:t>其他</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jc w:val="center"/>
        </w:trPr>
        <w:tc>
          <w:tcPr>
            <w:tcW w:w="2218"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三级A</w:t>
            </w:r>
          </w:p>
        </w:tc>
        <w:tc>
          <w:tcPr>
            <w:tcW w:w="2264"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直接排放</w:t>
            </w:r>
          </w:p>
        </w:tc>
        <w:tc>
          <w:tcPr>
            <w:tcW w:w="3667"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sz w:val="21"/>
                <w:szCs w:val="21"/>
              </w:rPr>
            </w:pPr>
            <w:r>
              <w:rPr>
                <w:rFonts w:ascii="Times New Roman" w:hAnsi="Times New Roman" w:eastAsiaTheme="minorEastAsia"/>
                <w:sz w:val="21"/>
                <w:szCs w:val="21"/>
              </w:rPr>
              <w:t>Q＜200 且W＜6000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jc w:val="center"/>
        </w:trPr>
        <w:tc>
          <w:tcPr>
            <w:tcW w:w="2218"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三级B</w:t>
            </w:r>
          </w:p>
        </w:tc>
        <w:tc>
          <w:tcPr>
            <w:tcW w:w="2264"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kern w:val="0"/>
                <w:sz w:val="21"/>
              </w:rPr>
            </w:pPr>
            <w:r>
              <w:rPr>
                <w:rFonts w:ascii="Times New Roman" w:hAnsi="Times New Roman" w:eastAsiaTheme="minorEastAsia"/>
                <w:kern w:val="0"/>
                <w:sz w:val="21"/>
              </w:rPr>
              <w:t>间接排放</w:t>
            </w:r>
          </w:p>
        </w:tc>
        <w:tc>
          <w:tcPr>
            <w:tcW w:w="3667" w:type="dxa"/>
            <w:tcMar>
              <w:left w:w="28" w:type="dxa"/>
              <w:right w:w="28" w:type="dxa"/>
            </w:tcMar>
            <w:vAlign w:val="center"/>
          </w:tcPr>
          <w:p>
            <w:pPr>
              <w:adjustRightInd w:val="0"/>
              <w:snapToGrid w:val="0"/>
              <w:spacing w:before="15" w:beforeLines="5" w:after="15" w:afterLines="5"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09" w:hRule="atLeast"/>
          <w:jc w:val="center"/>
        </w:trPr>
        <w:tc>
          <w:tcPr>
            <w:tcW w:w="8149" w:type="dxa"/>
            <w:gridSpan w:val="3"/>
            <w:tcMar>
              <w:left w:w="28" w:type="dxa"/>
              <w:right w:w="28" w:type="dxa"/>
            </w:tcMar>
            <w:vAlign w:val="center"/>
          </w:tcPr>
          <w:p>
            <w:pPr>
              <w:adjustRightInd w:val="0"/>
              <w:snapToGrid w:val="0"/>
              <w:spacing w:before="15" w:beforeLines="5" w:after="15" w:afterLines="5" w:line="240" w:lineRule="auto"/>
              <w:rPr>
                <w:rFonts w:ascii="Times New Roman" w:hAnsi="Times New Roman" w:eastAsiaTheme="minorEastAsia"/>
                <w:sz w:val="21"/>
                <w:szCs w:val="21"/>
              </w:rPr>
            </w:pPr>
            <w:r>
              <w:rPr>
                <w:rFonts w:ascii="Times New Roman" w:hAnsi="Times New Roman" w:eastAsiaTheme="minorEastAsia"/>
                <w:sz w:val="21"/>
                <w:szCs w:val="21"/>
              </w:rPr>
              <w:t>注10：建设项目生产工艺中有废水产生，但作为回水利用，不排放到外环境的，按三级B评价。</w:t>
            </w:r>
          </w:p>
        </w:tc>
      </w:tr>
    </w:tbl>
    <w:p>
      <w:pPr>
        <w:autoSpaceDE w:val="0"/>
        <w:autoSpaceDN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据分析，本项目废水主要来源于畜禽养殖工段和职工生活污水，其中畜禽养殖废水产生量约67.0m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/d，主要污染物为CODcr、BOD</w:t>
      </w:r>
      <w:r>
        <w:rPr>
          <w:rFonts w:ascii="Times New Roman" w:hAnsi="Times New Roman" w:eastAsiaTheme="minorEastAsia"/>
          <w:sz w:val="24"/>
          <w:szCs w:val="24"/>
          <w:vertAlign w:val="subscript"/>
        </w:rPr>
        <w:t>5</w:t>
      </w:r>
      <w:r>
        <w:rPr>
          <w:rFonts w:ascii="Times New Roman" w:hAnsi="Times New Roman" w:eastAsiaTheme="minorEastAsia"/>
          <w:sz w:val="24"/>
          <w:szCs w:val="24"/>
        </w:rPr>
        <w:t>、氨氮、SS、总磷、粪大肠菌群等，职工生活污水小于2m</w:t>
      </w:r>
      <w:r>
        <w:rPr>
          <w:rFonts w:ascii="Times New Roman" w:hAnsi="Times New Roman" w:eastAsiaTheme="minorEastAsia"/>
          <w:sz w:val="24"/>
          <w:szCs w:val="24"/>
          <w:vertAlign w:val="superscript"/>
        </w:rPr>
        <w:t>3</w:t>
      </w:r>
      <w:r>
        <w:rPr>
          <w:rFonts w:ascii="Times New Roman" w:hAnsi="Times New Roman" w:eastAsiaTheme="minorEastAsia"/>
          <w:sz w:val="24"/>
          <w:szCs w:val="24"/>
        </w:rPr>
        <w:t>/d，按照相关规定，养殖废水应全部综合利用，职工生活污水经处理后也可综合利用，不直接排入地表水体。</w:t>
      </w:r>
    </w:p>
    <w:p>
      <w:pPr>
        <w:autoSpaceDE w:val="0"/>
        <w:autoSpaceDN w:val="0"/>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根据《环境影响评价技术导则-地面水环境》（HJ2.3-2018）划分，本次地表水环境评价等级定为三级B。</w:t>
      </w:r>
    </w:p>
    <w:p>
      <w:pPr>
        <w:pStyle w:val="104"/>
      </w:pPr>
      <w:r>
        <w:t>1.8.1.3 地下水评价等级</w:t>
      </w:r>
    </w:p>
    <w:p>
      <w:pPr>
        <w:ind w:firstLine="569" w:firstLineChars="236"/>
        <w:rPr>
          <w:rFonts w:ascii="Times New Roman" w:hAnsi="Times New Roman"/>
          <w:b/>
          <w:kern w:val="0"/>
          <w:sz w:val="24"/>
          <w:szCs w:val="24"/>
        </w:rPr>
      </w:pPr>
      <w:r>
        <w:rPr>
          <w:rFonts w:ascii="Times New Roman" w:hAnsi="Times New Roman"/>
          <w:b/>
          <w:kern w:val="0"/>
          <w:sz w:val="24"/>
          <w:szCs w:val="24"/>
        </w:rPr>
        <w:t>（1）地下水环境影响评价项目类别</w:t>
      </w:r>
    </w:p>
    <w:p>
      <w:pPr>
        <w:ind w:firstLine="566" w:firstLineChars="236"/>
        <w:rPr>
          <w:rFonts w:ascii="Times New Roman" w:hAnsi="Times New Roman"/>
          <w:sz w:val="20"/>
          <w:szCs w:val="24"/>
        </w:rPr>
      </w:pPr>
      <w:r>
        <w:rPr>
          <w:rFonts w:ascii="Times New Roman" w:hAnsi="Times New Roman"/>
          <w:kern w:val="0"/>
          <w:sz w:val="24"/>
          <w:szCs w:val="24"/>
        </w:rPr>
        <w:t>根据</w:t>
      </w:r>
      <w:r>
        <w:rPr>
          <w:rFonts w:ascii="Times New Roman" w:hAnsi="Times New Roman"/>
          <w:sz w:val="24"/>
          <w:szCs w:val="24"/>
        </w:rPr>
        <w:t>《环境影响评价技术导则地下水环境》（HJ610-2016）附录A确定本项目所属地下水环境影响项目类别见表1.8-6。</w:t>
      </w:r>
    </w:p>
    <w:p>
      <w:pPr>
        <w:jc w:val="center"/>
        <w:rPr>
          <w:rFonts w:ascii="Times New Roman" w:hAnsi="Times New Roman" w:eastAsia="黑体"/>
          <w:sz w:val="21"/>
          <w:szCs w:val="24"/>
        </w:rPr>
      </w:pPr>
      <w:r>
        <w:rPr>
          <w:rFonts w:ascii="Times New Roman" w:hAnsi="Times New Roman" w:eastAsia="黑体"/>
          <w:sz w:val="21"/>
          <w:szCs w:val="24"/>
        </w:rPr>
        <w:t>表1.8-6  附录A地下水环境影响评价行业类别表（部分）</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04"/>
        <w:gridCol w:w="2233"/>
        <w:gridCol w:w="1560"/>
        <w:gridCol w:w="1701"/>
        <w:gridCol w:w="132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704" w:type="dxa"/>
            <w:vMerge w:val="restart"/>
            <w:tcBorders>
              <w:tl2br w:val="single" w:color="auto" w:sz="4" w:space="0"/>
            </w:tcBorders>
            <w:shd w:val="clear" w:color="auto" w:fill="auto"/>
            <w:vAlign w:val="center"/>
          </w:tcPr>
          <w:p>
            <w:pPr>
              <w:spacing w:line="240" w:lineRule="auto"/>
              <w:jc w:val="right"/>
              <w:rPr>
                <w:rFonts w:ascii="Times New Roman" w:hAnsi="Times New Roman" w:eastAsia="仿宋"/>
                <w:sz w:val="21"/>
                <w:szCs w:val="24"/>
              </w:rPr>
            </w:pPr>
            <w:r>
              <w:rPr>
                <w:rFonts w:ascii="Times New Roman" w:hAnsi="Times New Roman" w:eastAsia="仿宋"/>
                <w:sz w:val="21"/>
                <w:szCs w:val="24"/>
              </w:rPr>
              <w:t>环评类别</w:t>
            </w:r>
          </w:p>
          <w:p>
            <w:pPr>
              <w:spacing w:line="240" w:lineRule="auto"/>
              <w:ind w:right="105"/>
              <w:jc w:val="right"/>
              <w:rPr>
                <w:rFonts w:ascii="Times New Roman" w:hAnsi="Times New Roman" w:eastAsia="仿宋"/>
                <w:sz w:val="21"/>
                <w:szCs w:val="24"/>
              </w:rPr>
            </w:pPr>
          </w:p>
          <w:p>
            <w:pPr>
              <w:spacing w:line="240" w:lineRule="auto"/>
              <w:jc w:val="left"/>
              <w:rPr>
                <w:rFonts w:ascii="Times New Roman" w:hAnsi="Times New Roman" w:eastAsia="仿宋"/>
                <w:sz w:val="21"/>
                <w:szCs w:val="24"/>
              </w:rPr>
            </w:pPr>
            <w:r>
              <w:rPr>
                <w:rFonts w:ascii="Times New Roman" w:hAnsi="Times New Roman" w:eastAsia="仿宋"/>
                <w:sz w:val="21"/>
                <w:szCs w:val="24"/>
              </w:rPr>
              <w:t>项目类别</w:t>
            </w:r>
          </w:p>
        </w:tc>
        <w:tc>
          <w:tcPr>
            <w:tcW w:w="2233" w:type="dxa"/>
            <w:vMerge w:val="restart"/>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报告书</w:t>
            </w:r>
          </w:p>
        </w:tc>
        <w:tc>
          <w:tcPr>
            <w:tcW w:w="1560" w:type="dxa"/>
            <w:vMerge w:val="restart"/>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报告表</w:t>
            </w:r>
          </w:p>
        </w:tc>
        <w:tc>
          <w:tcPr>
            <w:tcW w:w="3025" w:type="dxa"/>
            <w:gridSpan w:val="2"/>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地下水环境影响评价项目类别</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704" w:type="dxa"/>
            <w:vMerge w:val="continue"/>
            <w:shd w:val="clear" w:color="auto" w:fill="auto"/>
            <w:vAlign w:val="center"/>
          </w:tcPr>
          <w:p>
            <w:pPr>
              <w:spacing w:line="240" w:lineRule="auto"/>
              <w:jc w:val="center"/>
              <w:rPr>
                <w:rFonts w:ascii="Times New Roman" w:hAnsi="Times New Roman" w:eastAsia="仿宋"/>
                <w:sz w:val="21"/>
                <w:szCs w:val="24"/>
              </w:rPr>
            </w:pPr>
          </w:p>
        </w:tc>
        <w:tc>
          <w:tcPr>
            <w:tcW w:w="2233" w:type="dxa"/>
            <w:vMerge w:val="continue"/>
            <w:shd w:val="clear" w:color="auto" w:fill="auto"/>
            <w:vAlign w:val="center"/>
          </w:tcPr>
          <w:p>
            <w:pPr>
              <w:spacing w:line="240" w:lineRule="auto"/>
              <w:jc w:val="center"/>
              <w:rPr>
                <w:rFonts w:ascii="Times New Roman" w:hAnsi="Times New Roman" w:eastAsia="仿宋"/>
                <w:sz w:val="21"/>
                <w:szCs w:val="24"/>
              </w:rPr>
            </w:pPr>
          </w:p>
        </w:tc>
        <w:tc>
          <w:tcPr>
            <w:tcW w:w="1560" w:type="dxa"/>
            <w:vMerge w:val="continue"/>
            <w:shd w:val="clear" w:color="auto" w:fill="auto"/>
            <w:vAlign w:val="center"/>
          </w:tcPr>
          <w:p>
            <w:pPr>
              <w:spacing w:line="240" w:lineRule="auto"/>
              <w:jc w:val="center"/>
              <w:rPr>
                <w:rFonts w:ascii="Times New Roman" w:hAnsi="Times New Roman" w:eastAsia="仿宋"/>
                <w:sz w:val="21"/>
                <w:szCs w:val="24"/>
              </w:rPr>
            </w:pPr>
          </w:p>
        </w:tc>
        <w:tc>
          <w:tcPr>
            <w:tcW w:w="1701" w:type="dxa"/>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报告书</w:t>
            </w:r>
          </w:p>
        </w:tc>
        <w:tc>
          <w:tcPr>
            <w:tcW w:w="1324" w:type="dxa"/>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报告表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522" w:type="dxa"/>
            <w:gridSpan w:val="5"/>
            <w:shd w:val="clear" w:color="auto" w:fill="auto"/>
            <w:vAlign w:val="center"/>
          </w:tcPr>
          <w:p>
            <w:pPr>
              <w:spacing w:line="240" w:lineRule="auto"/>
              <w:jc w:val="left"/>
              <w:rPr>
                <w:rFonts w:ascii="Times New Roman" w:hAnsi="Times New Roman" w:eastAsia="仿宋"/>
                <w:b/>
                <w:sz w:val="21"/>
                <w:szCs w:val="24"/>
              </w:rPr>
            </w:pPr>
            <w:r>
              <w:rPr>
                <w:rFonts w:ascii="Times New Roman" w:hAnsi="Times New Roman" w:eastAsia="仿宋"/>
                <w:b/>
                <w:sz w:val="21"/>
                <w:szCs w:val="24"/>
              </w:rPr>
              <w:t>B 农、林、牧、渔、海洋</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805" w:hRule="atLeast"/>
        </w:trPr>
        <w:tc>
          <w:tcPr>
            <w:tcW w:w="1704" w:type="dxa"/>
            <w:shd w:val="clear" w:color="auto" w:fill="auto"/>
            <w:vAlign w:val="center"/>
          </w:tcPr>
          <w:p>
            <w:pPr>
              <w:spacing w:line="240" w:lineRule="auto"/>
              <w:jc w:val="left"/>
              <w:rPr>
                <w:rFonts w:ascii="Times New Roman" w:hAnsi="Times New Roman" w:eastAsia="仿宋"/>
                <w:sz w:val="21"/>
                <w:szCs w:val="24"/>
              </w:rPr>
            </w:pPr>
            <w:r>
              <w:rPr>
                <w:rFonts w:ascii="Times New Roman" w:hAnsi="Times New Roman" w:eastAsia="仿宋"/>
                <w:sz w:val="21"/>
                <w:szCs w:val="24"/>
              </w:rPr>
              <w:t>14、畜禽养殖场、养殖小区</w:t>
            </w:r>
          </w:p>
        </w:tc>
        <w:tc>
          <w:tcPr>
            <w:tcW w:w="2233" w:type="dxa"/>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年出栏生猪5000头及以上；涉及环境敏感区的</w:t>
            </w:r>
          </w:p>
        </w:tc>
        <w:tc>
          <w:tcPr>
            <w:tcW w:w="1560" w:type="dxa"/>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w:t>
            </w:r>
          </w:p>
        </w:tc>
        <w:tc>
          <w:tcPr>
            <w:tcW w:w="1701" w:type="dxa"/>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III类</w:t>
            </w:r>
          </w:p>
        </w:tc>
        <w:tc>
          <w:tcPr>
            <w:tcW w:w="1324" w:type="dxa"/>
            <w:shd w:val="clear" w:color="auto" w:fill="auto"/>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w:t>
            </w:r>
          </w:p>
        </w:tc>
      </w:tr>
    </w:tbl>
    <w:p>
      <w:pPr>
        <w:spacing w:before="240"/>
        <w:ind w:firstLine="566" w:firstLineChars="236"/>
        <w:rPr>
          <w:rFonts w:ascii="Times New Roman" w:hAnsi="Times New Roman"/>
          <w:sz w:val="24"/>
          <w:szCs w:val="24"/>
        </w:rPr>
      </w:pPr>
      <w:r>
        <w:rPr>
          <w:rFonts w:ascii="Times New Roman" w:hAnsi="Times New Roman"/>
          <w:sz w:val="24"/>
          <w:szCs w:val="24"/>
        </w:rPr>
        <w:t>本项目为畜禽养殖项目，年出栏生猪57720头，超过5000头，因此确定地下水环境影响评价项目类别为III类。</w:t>
      </w:r>
    </w:p>
    <w:p>
      <w:pPr>
        <w:ind w:firstLine="569" w:firstLineChars="236"/>
        <w:rPr>
          <w:rFonts w:ascii="Times New Roman" w:hAnsi="Times New Roman"/>
          <w:b/>
          <w:kern w:val="0"/>
          <w:sz w:val="24"/>
          <w:szCs w:val="24"/>
        </w:rPr>
      </w:pPr>
      <w:r>
        <w:rPr>
          <w:rFonts w:ascii="Times New Roman" w:hAnsi="Times New Roman"/>
          <w:b/>
          <w:kern w:val="0"/>
          <w:sz w:val="24"/>
          <w:szCs w:val="24"/>
        </w:rPr>
        <w:t>（2）地下水环境敏感程度</w:t>
      </w:r>
    </w:p>
    <w:p>
      <w:pPr>
        <w:ind w:firstLine="566" w:firstLineChars="236"/>
        <w:rPr>
          <w:rFonts w:ascii="Times New Roman" w:hAnsi="Times New Roman"/>
          <w:sz w:val="24"/>
          <w:szCs w:val="24"/>
        </w:rPr>
      </w:pPr>
      <w:r>
        <w:rPr>
          <w:rFonts w:ascii="Times New Roman" w:hAnsi="Times New Roman"/>
          <w:sz w:val="24"/>
          <w:szCs w:val="24"/>
        </w:rPr>
        <w:t>根据现场调查，本项目地下水评价范围内无集中式或分散式饮用水源，以及国家或地方设定的热水、矿泉水、温泉等地下水环境敏感区。项目的地下水环境敏感程度分级见下表：</w:t>
      </w:r>
    </w:p>
    <w:p>
      <w:pPr>
        <w:jc w:val="center"/>
        <w:rPr>
          <w:rFonts w:ascii="Times New Roman" w:hAnsi="Times New Roman"/>
          <w:sz w:val="21"/>
          <w:szCs w:val="24"/>
        </w:rPr>
      </w:pPr>
      <w:r>
        <w:rPr>
          <w:rFonts w:ascii="Times New Roman" w:hAnsi="Times New Roman" w:eastAsia="黑体"/>
          <w:sz w:val="21"/>
          <w:szCs w:val="24"/>
        </w:rPr>
        <w:t>表1.8-7 　地下水环境敏感程度分级表</w:t>
      </w:r>
    </w:p>
    <w:tbl>
      <w:tblPr>
        <w:tblStyle w:val="90"/>
        <w:tblW w:w="852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43"/>
        <w:gridCol w:w="727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72" w:hRule="atLeast"/>
          <w:jc w:val="center"/>
        </w:trPr>
        <w:tc>
          <w:tcPr>
            <w:tcW w:w="1243" w:type="dxa"/>
            <w:shd w:val="clear" w:color="auto" w:fill="auto"/>
            <w:vAlign w:val="center"/>
          </w:tcPr>
          <w:p>
            <w:pPr>
              <w:spacing w:line="240" w:lineRule="auto"/>
              <w:jc w:val="center"/>
              <w:rPr>
                <w:rFonts w:ascii="Times New Roman" w:hAnsi="Times New Roman" w:eastAsia="仿宋"/>
                <w:sz w:val="21"/>
                <w:szCs w:val="21"/>
              </w:rPr>
            </w:pPr>
            <w:r>
              <w:rPr>
                <w:rFonts w:ascii="Times New Roman" w:hAnsi="Times New Roman" w:eastAsia="仿宋"/>
                <w:sz w:val="21"/>
                <w:szCs w:val="21"/>
              </w:rPr>
              <w:t>敏感程度</w:t>
            </w:r>
          </w:p>
        </w:tc>
        <w:tc>
          <w:tcPr>
            <w:tcW w:w="7279" w:type="dxa"/>
            <w:shd w:val="clear" w:color="auto" w:fill="auto"/>
            <w:vAlign w:val="center"/>
          </w:tcPr>
          <w:p>
            <w:pPr>
              <w:spacing w:line="240" w:lineRule="auto"/>
              <w:jc w:val="center"/>
              <w:rPr>
                <w:rFonts w:ascii="Times New Roman" w:hAnsi="Times New Roman" w:eastAsia="仿宋"/>
                <w:sz w:val="21"/>
                <w:szCs w:val="21"/>
              </w:rPr>
            </w:pPr>
            <w:r>
              <w:rPr>
                <w:rFonts w:ascii="Times New Roman" w:hAnsi="Times New Roman" w:eastAsia="仿宋"/>
                <w:sz w:val="21"/>
                <w:szCs w:val="21"/>
              </w:rPr>
              <w:t>地下水环境敏感特征</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43" w:type="dxa"/>
            <w:shd w:val="clear" w:color="auto" w:fill="auto"/>
            <w:vAlign w:val="center"/>
          </w:tcPr>
          <w:p>
            <w:pPr>
              <w:spacing w:line="240" w:lineRule="auto"/>
              <w:jc w:val="center"/>
              <w:rPr>
                <w:rFonts w:ascii="Times New Roman" w:hAnsi="Times New Roman" w:eastAsia="仿宋"/>
                <w:sz w:val="21"/>
                <w:szCs w:val="21"/>
              </w:rPr>
            </w:pPr>
            <w:r>
              <w:rPr>
                <w:rFonts w:ascii="Times New Roman" w:hAnsi="Times New Roman" w:eastAsia="仿宋"/>
                <w:sz w:val="21"/>
                <w:szCs w:val="21"/>
              </w:rPr>
              <w:t>敏感</w:t>
            </w:r>
          </w:p>
        </w:tc>
        <w:tc>
          <w:tcPr>
            <w:tcW w:w="7279" w:type="dxa"/>
            <w:shd w:val="clear" w:color="auto" w:fill="auto"/>
            <w:vAlign w:val="center"/>
          </w:tcPr>
          <w:p>
            <w:pPr>
              <w:spacing w:line="240" w:lineRule="auto"/>
              <w:jc w:val="left"/>
              <w:rPr>
                <w:rFonts w:ascii="Times New Roman" w:hAnsi="Times New Roman" w:eastAsia="仿宋"/>
                <w:sz w:val="21"/>
                <w:szCs w:val="21"/>
              </w:rPr>
            </w:pPr>
            <w:r>
              <w:rPr>
                <w:rFonts w:ascii="Times New Roman" w:hAnsi="Times New Roman" w:eastAsia="仿宋"/>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43" w:type="dxa"/>
            <w:shd w:val="clear" w:color="auto" w:fill="auto"/>
            <w:vAlign w:val="center"/>
          </w:tcPr>
          <w:p>
            <w:pPr>
              <w:spacing w:line="240" w:lineRule="auto"/>
              <w:jc w:val="center"/>
              <w:rPr>
                <w:rFonts w:ascii="Times New Roman" w:hAnsi="Times New Roman" w:eastAsia="仿宋"/>
                <w:sz w:val="21"/>
                <w:szCs w:val="21"/>
              </w:rPr>
            </w:pPr>
            <w:r>
              <w:rPr>
                <w:rFonts w:ascii="Times New Roman" w:hAnsi="Times New Roman" w:eastAsia="仿宋"/>
                <w:sz w:val="21"/>
                <w:szCs w:val="21"/>
              </w:rPr>
              <w:t>较敏感</w:t>
            </w:r>
          </w:p>
        </w:tc>
        <w:tc>
          <w:tcPr>
            <w:tcW w:w="7279" w:type="dxa"/>
            <w:shd w:val="clear" w:color="auto" w:fill="auto"/>
            <w:vAlign w:val="center"/>
          </w:tcPr>
          <w:p>
            <w:pPr>
              <w:spacing w:line="240" w:lineRule="auto"/>
              <w:jc w:val="left"/>
              <w:rPr>
                <w:rFonts w:ascii="Times New Roman" w:hAnsi="Times New Roman" w:eastAsia="仿宋"/>
                <w:sz w:val="21"/>
                <w:szCs w:val="21"/>
              </w:rPr>
            </w:pPr>
            <w:r>
              <w:rPr>
                <w:rFonts w:ascii="Times New Roman" w:hAnsi="Times New Roman" w:eastAsia="仿宋"/>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44" w:hRule="atLeast"/>
          <w:jc w:val="center"/>
        </w:trPr>
        <w:tc>
          <w:tcPr>
            <w:tcW w:w="1243" w:type="dxa"/>
            <w:shd w:val="clear" w:color="auto" w:fill="auto"/>
            <w:vAlign w:val="center"/>
          </w:tcPr>
          <w:p>
            <w:pPr>
              <w:spacing w:line="240" w:lineRule="auto"/>
              <w:jc w:val="center"/>
              <w:rPr>
                <w:rFonts w:ascii="Times New Roman" w:hAnsi="Times New Roman" w:eastAsia="仿宋"/>
                <w:sz w:val="21"/>
                <w:szCs w:val="21"/>
              </w:rPr>
            </w:pPr>
            <w:r>
              <w:rPr>
                <w:rFonts w:ascii="Times New Roman" w:hAnsi="Times New Roman" w:eastAsia="仿宋"/>
                <w:sz w:val="21"/>
                <w:szCs w:val="21"/>
              </w:rPr>
              <w:t>不敏感</w:t>
            </w:r>
          </w:p>
        </w:tc>
        <w:tc>
          <w:tcPr>
            <w:tcW w:w="7279" w:type="dxa"/>
            <w:shd w:val="clear" w:color="auto" w:fill="auto"/>
            <w:vAlign w:val="center"/>
          </w:tcPr>
          <w:p>
            <w:pPr>
              <w:spacing w:line="240" w:lineRule="auto"/>
              <w:jc w:val="left"/>
              <w:rPr>
                <w:rFonts w:ascii="Times New Roman" w:hAnsi="Times New Roman" w:eastAsia="仿宋"/>
                <w:sz w:val="21"/>
                <w:szCs w:val="21"/>
              </w:rPr>
            </w:pPr>
            <w:r>
              <w:rPr>
                <w:rFonts w:ascii="Times New Roman" w:hAnsi="Times New Roman" w:eastAsia="仿宋"/>
                <w:sz w:val="21"/>
                <w:szCs w:val="21"/>
              </w:rPr>
              <w:t>上述地区之外的其它地区。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22" w:type="dxa"/>
            <w:gridSpan w:val="2"/>
            <w:shd w:val="clear" w:color="auto" w:fill="auto"/>
            <w:vAlign w:val="center"/>
          </w:tcPr>
          <w:p>
            <w:pPr>
              <w:spacing w:line="240" w:lineRule="auto"/>
              <w:jc w:val="left"/>
              <w:rPr>
                <w:rFonts w:ascii="Times New Roman" w:hAnsi="Times New Roman" w:eastAsia="仿宋"/>
                <w:sz w:val="21"/>
                <w:szCs w:val="21"/>
              </w:rPr>
            </w:pPr>
            <w:r>
              <w:rPr>
                <w:rFonts w:ascii="Times New Roman" w:hAnsi="Times New Roman" w:eastAsia="仿宋"/>
                <w:sz w:val="21"/>
                <w:szCs w:val="21"/>
              </w:rPr>
              <w:t>注：a“环境敏感区”是指《建设项目环境影响评价分类管理名录》中所界定的涉及地下水的环境敏感区。</w:t>
            </w:r>
          </w:p>
        </w:tc>
      </w:tr>
    </w:tbl>
    <w:p>
      <w:pPr>
        <w:spacing w:before="240"/>
        <w:ind w:firstLine="566" w:firstLineChars="236"/>
        <w:rPr>
          <w:rFonts w:ascii="Times New Roman" w:hAnsi="Times New Roman"/>
          <w:sz w:val="24"/>
          <w:szCs w:val="24"/>
        </w:rPr>
      </w:pPr>
      <w:r>
        <w:rPr>
          <w:rFonts w:ascii="Times New Roman" w:hAnsi="Times New Roman"/>
          <w:sz w:val="24"/>
          <w:szCs w:val="24"/>
        </w:rPr>
        <w:t>根据上表，确定机场地下水环境敏感程度为不敏感。</w:t>
      </w:r>
    </w:p>
    <w:p>
      <w:pPr>
        <w:ind w:firstLine="569" w:firstLineChars="236"/>
        <w:rPr>
          <w:rFonts w:ascii="Times New Roman" w:hAnsi="Times New Roman"/>
          <w:b/>
          <w:sz w:val="24"/>
          <w:szCs w:val="24"/>
        </w:rPr>
      </w:pPr>
      <w:r>
        <w:rPr>
          <w:rFonts w:ascii="Times New Roman" w:hAnsi="Times New Roman"/>
          <w:b/>
          <w:sz w:val="24"/>
          <w:szCs w:val="24"/>
        </w:rPr>
        <w:t>（3）地下水评价等级</w:t>
      </w:r>
    </w:p>
    <w:p>
      <w:pPr>
        <w:ind w:firstLine="566" w:firstLineChars="236"/>
        <w:rPr>
          <w:rFonts w:ascii="Times New Roman" w:hAnsi="Times New Roman"/>
          <w:sz w:val="24"/>
          <w:szCs w:val="24"/>
        </w:rPr>
      </w:pPr>
      <w:r>
        <w:rPr>
          <w:rFonts w:ascii="Times New Roman" w:hAnsi="Times New Roman"/>
          <w:sz w:val="24"/>
          <w:szCs w:val="24"/>
        </w:rPr>
        <w:t>建设项目地下水环境影响评价工作等级划分见下表：</w:t>
      </w:r>
    </w:p>
    <w:p>
      <w:pPr>
        <w:spacing w:line="240" w:lineRule="auto"/>
        <w:jc w:val="center"/>
        <w:rPr>
          <w:rFonts w:ascii="Times New Roman" w:hAnsi="Times New Roman" w:eastAsia="黑体"/>
          <w:sz w:val="21"/>
          <w:szCs w:val="24"/>
        </w:rPr>
      </w:pPr>
      <w:r>
        <w:rPr>
          <w:rFonts w:ascii="Times New Roman" w:hAnsi="Times New Roman" w:eastAsia="黑体"/>
          <w:sz w:val="21"/>
          <w:szCs w:val="24"/>
        </w:rPr>
        <w:t>表1.8-8 　建设项目地下水评价工作等级分级表</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163"/>
        <w:gridCol w:w="2168"/>
        <w:gridCol w:w="2168"/>
        <w:gridCol w:w="202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63"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项目类别</w:t>
            </w:r>
          </w:p>
        </w:tc>
        <w:tc>
          <w:tcPr>
            <w:tcW w:w="2168" w:type="dxa"/>
            <w:vAlign w:val="center"/>
          </w:tcPr>
          <w:p>
            <w:pPr>
              <w:spacing w:line="300" w:lineRule="auto"/>
              <w:jc w:val="center"/>
              <w:rPr>
                <w:rFonts w:ascii="Times New Roman" w:hAnsi="Times New Roman" w:eastAsia="仿宋"/>
                <w:sz w:val="21"/>
                <w:szCs w:val="21"/>
              </w:rPr>
            </w:pPr>
            <w:r>
              <w:rPr>
                <w:rFonts w:hint="eastAsia" w:ascii="宋体" w:hAnsi="宋体" w:cs="宋体"/>
                <w:sz w:val="21"/>
                <w:szCs w:val="21"/>
              </w:rPr>
              <w:t>Ⅰ</w:t>
            </w:r>
            <w:r>
              <w:rPr>
                <w:rFonts w:ascii="Times New Roman" w:hAnsi="Times New Roman" w:eastAsia="仿宋"/>
                <w:sz w:val="21"/>
                <w:szCs w:val="21"/>
              </w:rPr>
              <w:t>类</w:t>
            </w:r>
          </w:p>
        </w:tc>
        <w:tc>
          <w:tcPr>
            <w:tcW w:w="2168" w:type="dxa"/>
            <w:vAlign w:val="center"/>
          </w:tcPr>
          <w:p>
            <w:pPr>
              <w:spacing w:line="300" w:lineRule="auto"/>
              <w:jc w:val="center"/>
              <w:rPr>
                <w:rFonts w:ascii="Times New Roman" w:hAnsi="Times New Roman" w:eastAsia="仿宋"/>
                <w:sz w:val="21"/>
                <w:szCs w:val="21"/>
              </w:rPr>
            </w:pPr>
            <w:r>
              <w:rPr>
                <w:rFonts w:hint="eastAsia" w:ascii="宋体" w:hAnsi="宋体" w:cs="宋体"/>
                <w:sz w:val="21"/>
                <w:szCs w:val="21"/>
              </w:rPr>
              <w:t>Ⅱ</w:t>
            </w:r>
            <w:r>
              <w:rPr>
                <w:rFonts w:ascii="Times New Roman" w:hAnsi="Times New Roman" w:eastAsia="仿宋"/>
                <w:sz w:val="21"/>
                <w:szCs w:val="21"/>
              </w:rPr>
              <w:t>类</w:t>
            </w:r>
          </w:p>
        </w:tc>
        <w:tc>
          <w:tcPr>
            <w:tcW w:w="2023" w:type="dxa"/>
            <w:vAlign w:val="center"/>
          </w:tcPr>
          <w:p>
            <w:pPr>
              <w:spacing w:line="300" w:lineRule="auto"/>
              <w:jc w:val="center"/>
              <w:rPr>
                <w:rFonts w:ascii="Times New Roman" w:hAnsi="Times New Roman" w:eastAsia="仿宋"/>
                <w:b/>
                <w:sz w:val="21"/>
                <w:szCs w:val="21"/>
              </w:rPr>
            </w:pPr>
            <w:r>
              <w:rPr>
                <w:rFonts w:hint="eastAsia" w:ascii="宋体" w:hAnsi="宋体" w:cs="宋体"/>
                <w:b/>
                <w:sz w:val="21"/>
                <w:szCs w:val="21"/>
              </w:rPr>
              <w:t>Ⅲ</w:t>
            </w:r>
            <w:r>
              <w:rPr>
                <w:rFonts w:ascii="Times New Roman" w:hAnsi="Times New Roman" w:eastAsia="仿宋"/>
                <w:b/>
                <w:sz w:val="21"/>
                <w:szCs w:val="21"/>
              </w:rPr>
              <w:t>类</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63"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敏感</w:t>
            </w:r>
          </w:p>
        </w:tc>
        <w:tc>
          <w:tcPr>
            <w:tcW w:w="2168"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一级</w:t>
            </w:r>
          </w:p>
        </w:tc>
        <w:tc>
          <w:tcPr>
            <w:tcW w:w="2168"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一级</w:t>
            </w:r>
          </w:p>
        </w:tc>
        <w:tc>
          <w:tcPr>
            <w:tcW w:w="2023"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二级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63"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较敏感</w:t>
            </w:r>
          </w:p>
        </w:tc>
        <w:tc>
          <w:tcPr>
            <w:tcW w:w="2168"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一级</w:t>
            </w:r>
          </w:p>
        </w:tc>
        <w:tc>
          <w:tcPr>
            <w:tcW w:w="2168"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二级</w:t>
            </w:r>
          </w:p>
        </w:tc>
        <w:tc>
          <w:tcPr>
            <w:tcW w:w="2023"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三级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63" w:type="dxa"/>
            <w:vAlign w:val="center"/>
          </w:tcPr>
          <w:p>
            <w:pPr>
              <w:spacing w:line="300" w:lineRule="auto"/>
              <w:jc w:val="center"/>
              <w:rPr>
                <w:rFonts w:ascii="Times New Roman" w:hAnsi="Times New Roman" w:eastAsia="仿宋"/>
                <w:b/>
                <w:sz w:val="21"/>
                <w:szCs w:val="21"/>
              </w:rPr>
            </w:pPr>
            <w:r>
              <w:rPr>
                <w:rFonts w:ascii="Times New Roman" w:hAnsi="Times New Roman" w:eastAsia="仿宋"/>
                <w:b/>
                <w:sz w:val="21"/>
                <w:szCs w:val="21"/>
              </w:rPr>
              <w:t>不敏感</w:t>
            </w:r>
          </w:p>
        </w:tc>
        <w:tc>
          <w:tcPr>
            <w:tcW w:w="2168"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二级</w:t>
            </w:r>
          </w:p>
        </w:tc>
        <w:tc>
          <w:tcPr>
            <w:tcW w:w="2168" w:type="dxa"/>
            <w:vAlign w:val="center"/>
          </w:tcPr>
          <w:p>
            <w:pPr>
              <w:spacing w:line="300" w:lineRule="auto"/>
              <w:jc w:val="center"/>
              <w:rPr>
                <w:rFonts w:ascii="Times New Roman" w:hAnsi="Times New Roman" w:eastAsia="仿宋"/>
                <w:sz w:val="21"/>
                <w:szCs w:val="21"/>
              </w:rPr>
            </w:pPr>
            <w:r>
              <w:rPr>
                <w:rFonts w:ascii="Times New Roman" w:hAnsi="Times New Roman" w:eastAsia="仿宋"/>
                <w:sz w:val="21"/>
                <w:szCs w:val="21"/>
              </w:rPr>
              <w:t>三级</w:t>
            </w:r>
          </w:p>
        </w:tc>
        <w:tc>
          <w:tcPr>
            <w:tcW w:w="2023" w:type="dxa"/>
            <w:vAlign w:val="center"/>
          </w:tcPr>
          <w:p>
            <w:pPr>
              <w:spacing w:line="300" w:lineRule="auto"/>
              <w:jc w:val="center"/>
              <w:rPr>
                <w:rFonts w:ascii="Times New Roman" w:hAnsi="Times New Roman" w:eastAsia="仿宋"/>
                <w:b/>
                <w:sz w:val="21"/>
                <w:szCs w:val="21"/>
              </w:rPr>
            </w:pPr>
            <w:r>
              <w:rPr>
                <w:rFonts w:ascii="Times New Roman" w:hAnsi="Times New Roman" w:eastAsia="仿宋"/>
                <w:b/>
                <w:sz w:val="21"/>
                <w:szCs w:val="21"/>
              </w:rPr>
              <w:t>三级</w:t>
            </w:r>
          </w:p>
        </w:tc>
      </w:tr>
    </w:tbl>
    <w:p>
      <w:pPr>
        <w:autoSpaceDE w:val="0"/>
        <w:autoSpaceDN w:val="0"/>
        <w:ind w:firstLine="480" w:firstLineChars="200"/>
        <w:rPr>
          <w:rFonts w:ascii="Times New Roman" w:hAnsi="Times New Roman"/>
          <w:sz w:val="24"/>
          <w:szCs w:val="24"/>
        </w:rPr>
      </w:pPr>
      <w:r>
        <w:rPr>
          <w:rFonts w:ascii="Times New Roman" w:hAnsi="Times New Roman"/>
          <w:sz w:val="24"/>
          <w:szCs w:val="24"/>
        </w:rPr>
        <w:t>根据《环境影响评价技术导则－地下水环境》（HJ610-2016）中相关规定，确定本项目地下水环境影响评价等级为三级。</w:t>
      </w:r>
    </w:p>
    <w:p>
      <w:pPr>
        <w:pStyle w:val="104"/>
      </w:pPr>
      <w:r>
        <w:t>1.8.1.4 声环境评价等级</w:t>
      </w:r>
    </w:p>
    <w:p>
      <w:pPr>
        <w:pStyle w:val="118"/>
        <w:snapToGrid w:val="0"/>
        <w:spacing w:line="480" w:lineRule="exact"/>
        <w:ind w:firstLine="480"/>
        <w:rPr>
          <w:rFonts w:ascii="Times New Roman" w:hAnsi="Times New Roman" w:cs="Times New Roman"/>
        </w:rPr>
      </w:pPr>
      <w:r>
        <w:rPr>
          <w:rFonts w:ascii="Times New Roman" w:hAnsi="Times New Roman" w:cs="Times New Roman"/>
        </w:rPr>
        <w:t>根据《环境影响评价技术导则-声环境》（HJ2.4-2009）划分，项目属小型建设项目，所在区域处在规定的2类声功能区，由于本项目在运行过程中，主要噪声源为猪只叫声，其次为水泵等设备。预测项目建设后场界噪声级增高在3dB(A)以内，项目周围基本为农村环境。根据“导则”HJ/T2.4-2009 中评价工作分级的规定，本次声环境影响评价工作等级为二级，由于项目周边150m 无声环境敏感点，根据环境影响评价技术导则—总纲规定，本次声环境影响评价工作等级为三级。</w:t>
      </w:r>
    </w:p>
    <w:p>
      <w:pPr>
        <w:pStyle w:val="104"/>
      </w:pPr>
      <w:r>
        <w:t>1.8.1.5 生态环境评价等级</w:t>
      </w:r>
    </w:p>
    <w:p>
      <w:pPr>
        <w:autoSpaceDE w:val="0"/>
        <w:autoSpaceDN w:val="0"/>
        <w:ind w:firstLine="480" w:firstLineChars="200"/>
        <w:rPr>
          <w:rFonts w:ascii="Times New Roman" w:hAnsi="Times New Roman"/>
          <w:sz w:val="24"/>
          <w:szCs w:val="24"/>
        </w:rPr>
      </w:pPr>
      <w:r>
        <w:rPr>
          <w:rFonts w:ascii="Times New Roman" w:hAnsi="Times New Roman"/>
          <w:sz w:val="24"/>
          <w:szCs w:val="24"/>
        </w:rPr>
        <w:t>项目位于邛崃市冉义镇园林村，属于农村区域。评价区域内无珍稀濒危物种，也无自然保护区、风景名胜区及饮用水源保护区等环境敏感目标，处于“一般区域”。项目全厂总占地面积为97亩，约64699m</w:t>
      </w:r>
      <w:r>
        <w:rPr>
          <w:rFonts w:ascii="Times New Roman" w:hAnsi="Times New Roman"/>
          <w:sz w:val="24"/>
          <w:szCs w:val="24"/>
          <w:vertAlign w:val="superscript"/>
        </w:rPr>
        <w:t>2</w:t>
      </w:r>
      <w:r>
        <w:rPr>
          <w:rFonts w:ascii="Times New Roman" w:hAnsi="Times New Roman"/>
          <w:sz w:val="24"/>
          <w:szCs w:val="24"/>
        </w:rPr>
        <w:t>，小于2km</w:t>
      </w:r>
      <w:r>
        <w:rPr>
          <w:rFonts w:ascii="Times New Roman" w:hAnsi="Times New Roman"/>
          <w:sz w:val="24"/>
          <w:szCs w:val="24"/>
          <w:vertAlign w:val="superscript"/>
        </w:rPr>
        <w:t>2</w:t>
      </w:r>
      <w:r>
        <w:rPr>
          <w:rFonts w:ascii="Times New Roman" w:hAnsi="Times New Roman"/>
          <w:sz w:val="24"/>
          <w:szCs w:val="24"/>
        </w:rPr>
        <w:t>。根据《环境影响评价技术导则—生态影响》（HJ19－2011）生态环境评价等级的判别依据，本次评价生态环境评价等级定为三级。</w:t>
      </w:r>
    </w:p>
    <w:p>
      <w:pPr>
        <w:pStyle w:val="104"/>
      </w:pPr>
      <w:r>
        <w:t>1.8.1.6 环境风险评价等级</w:t>
      </w:r>
    </w:p>
    <w:p>
      <w:pPr>
        <w:ind w:firstLine="472" w:firstLineChars="196"/>
        <w:rPr>
          <w:rFonts w:ascii="Times New Roman" w:hAnsi="Times New Roman"/>
          <w:b/>
          <w:sz w:val="24"/>
          <w:szCs w:val="24"/>
        </w:rPr>
      </w:pPr>
      <w:r>
        <w:rPr>
          <w:rFonts w:ascii="Times New Roman" w:hAnsi="Times New Roman"/>
          <w:b/>
          <w:sz w:val="24"/>
          <w:szCs w:val="24"/>
        </w:rPr>
        <w:t>1、环境风险潜势判断</w:t>
      </w:r>
    </w:p>
    <w:p>
      <w:pPr>
        <w:ind w:firstLine="360" w:firstLineChars="150"/>
        <w:rPr>
          <w:rFonts w:ascii="Times New Roman" w:hAnsi="Times New Roman" w:eastAsiaTheme="minorEastAsia"/>
          <w:sz w:val="24"/>
          <w:szCs w:val="24"/>
        </w:rPr>
      </w:pPr>
      <w:r>
        <w:rPr>
          <w:rFonts w:ascii="Times New Roman" w:hAnsi="Times New Roman" w:eastAsiaTheme="minorEastAsia"/>
          <w:sz w:val="24"/>
          <w:szCs w:val="24"/>
        </w:rPr>
        <w:t>根据《建设项目环境风险评价技术导则》（TJ169-2018），项目环境风险潜势由环境敏感程度（E）、危险物质及工艺系统危险性（P）决定，具体见表1.8-9。</w:t>
      </w:r>
    </w:p>
    <w:p>
      <w:pPr>
        <w:jc w:val="center"/>
        <w:rPr>
          <w:rFonts w:ascii="Times New Roman" w:hAnsi="Times New Roman" w:eastAsia="黑体"/>
          <w:sz w:val="21"/>
          <w:szCs w:val="21"/>
        </w:rPr>
      </w:pPr>
      <w:r>
        <w:rPr>
          <w:rFonts w:ascii="Times New Roman" w:hAnsi="Times New Roman" w:eastAsia="黑体"/>
          <w:sz w:val="21"/>
          <w:szCs w:val="21"/>
        </w:rPr>
        <w:t>表1.8-9  建设项目环境风险潜势划分</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1617"/>
        <w:gridCol w:w="1619"/>
        <w:gridCol w:w="1619"/>
        <w:gridCol w:w="153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Merge w:val="restart"/>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w:t>
            </w:r>
          </w:p>
        </w:tc>
        <w:tc>
          <w:tcPr>
            <w:tcW w:w="6392" w:type="dxa"/>
            <w:gridSpan w:val="4"/>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危险物质及工艺系统危险性（P）</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Merge w:val="continue"/>
            <w:vAlign w:val="center"/>
          </w:tcPr>
          <w:p>
            <w:pPr>
              <w:jc w:val="center"/>
              <w:rPr>
                <w:rFonts w:ascii="Times New Roman" w:hAnsi="Times New Roman" w:eastAsiaTheme="minorEastAsia"/>
                <w:sz w:val="21"/>
                <w:szCs w:val="21"/>
              </w:rPr>
            </w:pP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极高危害（P1）</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高度危害（P1）</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中度危害（P1）</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轻度危害（P1）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环境敏感程度（E1）</w:t>
            </w: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IV</w:t>
            </w:r>
            <w:r>
              <w:rPr>
                <w:rFonts w:ascii="Times New Roman" w:hAnsi="Times New Roman" w:eastAsiaTheme="minorEastAsia"/>
                <w:sz w:val="21"/>
                <w:szCs w:val="21"/>
                <w:vertAlign w:val="superscript"/>
              </w:rPr>
              <w:t>+</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IV</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环境敏感程度（E2）</w:t>
            </w: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IV</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环境敏感程度（E3）</w:t>
            </w: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522" w:type="dxa"/>
            <w:gridSpan w:val="5"/>
            <w:vAlign w:val="center"/>
          </w:tcPr>
          <w:p>
            <w:pPr>
              <w:jc w:val="left"/>
              <w:rPr>
                <w:rFonts w:ascii="Times New Roman" w:hAnsi="Times New Roman" w:eastAsiaTheme="minorEastAsia"/>
                <w:sz w:val="21"/>
                <w:szCs w:val="21"/>
              </w:rPr>
            </w:pPr>
            <w:r>
              <w:rPr>
                <w:rFonts w:ascii="Times New Roman" w:hAnsi="Times New Roman" w:eastAsiaTheme="minorEastAsia"/>
                <w:sz w:val="21"/>
                <w:szCs w:val="21"/>
              </w:rPr>
              <w:t>注：IV</w:t>
            </w:r>
            <w:r>
              <w:rPr>
                <w:rFonts w:ascii="Times New Roman" w:hAnsi="Times New Roman" w:eastAsiaTheme="minorEastAsia"/>
                <w:sz w:val="21"/>
                <w:szCs w:val="21"/>
                <w:vertAlign w:val="superscript"/>
              </w:rPr>
              <w:t>+</w:t>
            </w:r>
            <w:r>
              <w:rPr>
                <w:rFonts w:ascii="Times New Roman" w:hAnsi="Times New Roman" w:eastAsiaTheme="minorEastAsia"/>
                <w:sz w:val="21"/>
                <w:szCs w:val="21"/>
              </w:rPr>
              <w:t>为极高环境风险</w:t>
            </w:r>
          </w:p>
        </w:tc>
      </w:tr>
    </w:tbl>
    <w:p>
      <w:pPr>
        <w:spacing w:before="240"/>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（1）P的分级确定</w:t>
      </w:r>
    </w:p>
    <w:p>
      <w:pPr>
        <w:ind w:firstLine="360" w:firstLineChars="150"/>
        <w:rPr>
          <w:rFonts w:ascii="Times New Roman" w:hAnsi="Times New Roman" w:eastAsiaTheme="minorEastAsia"/>
          <w:sz w:val="24"/>
          <w:szCs w:val="24"/>
        </w:rPr>
      </w:pPr>
      <w:r>
        <w:rPr>
          <w:rFonts w:ascii="Times New Roman" w:hAnsi="Times New Roman" w:eastAsiaTheme="minorEastAsia"/>
          <w:sz w:val="24"/>
          <w:szCs w:val="24"/>
        </w:rPr>
        <w:t>根据“导则”附录C，“危险物质及工业系统危险性P的分级”由“危险物质数量与临界量的比值Q”以及“所属行业及生产工艺特点M”的值来判断，见下表1.8-10。</w:t>
      </w:r>
    </w:p>
    <w:p>
      <w:pPr>
        <w:widowControl/>
        <w:spacing w:line="240" w:lineRule="auto"/>
        <w:jc w:val="center"/>
        <w:rPr>
          <w:rFonts w:ascii="Times New Roman" w:hAnsi="Times New Roman" w:eastAsia="黑体"/>
          <w:sz w:val="21"/>
          <w:szCs w:val="21"/>
        </w:rPr>
      </w:pPr>
      <w:r>
        <w:rPr>
          <w:rFonts w:ascii="Times New Roman" w:hAnsi="Times New Roman" w:eastAsia="黑体"/>
          <w:sz w:val="21"/>
          <w:szCs w:val="21"/>
        </w:rPr>
        <w:t>表1.8-10  危险物质及工艺系统危险性等级判断（P）</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585"/>
        <w:gridCol w:w="1353"/>
        <w:gridCol w:w="1222"/>
        <w:gridCol w:w="1222"/>
        <w:gridCol w:w="114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Merge w:val="restart"/>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危险物质数量与临界量比值（Q）</w:t>
            </w:r>
          </w:p>
        </w:tc>
        <w:tc>
          <w:tcPr>
            <w:tcW w:w="4937" w:type="dxa"/>
            <w:gridSpan w:val="4"/>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行业及生产工艺（M）</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Merge w:val="continue"/>
            <w:vAlign w:val="center"/>
          </w:tcPr>
          <w:p>
            <w:pPr>
              <w:jc w:val="center"/>
              <w:rPr>
                <w:rFonts w:ascii="Times New Roman" w:hAnsi="Times New Roman" w:eastAsiaTheme="minorEastAsia"/>
                <w:sz w:val="21"/>
                <w:szCs w:val="21"/>
              </w:rPr>
            </w:pP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M2</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M3</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Q≥100</w:t>
            </w: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P2</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10≤Q＜100</w:t>
            </w: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P2</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P3</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1≤Q＜10</w:t>
            </w: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P2</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P3</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P4</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P4</w:t>
            </w:r>
          </w:p>
        </w:tc>
      </w:tr>
    </w:tbl>
    <w:p>
      <w:pPr>
        <w:ind w:firstLine="482" w:firstLineChars="200"/>
        <w:rPr>
          <w:rFonts w:ascii="Times New Roman" w:hAnsi="Times New Roman" w:eastAsiaTheme="minorEastAsia"/>
          <w:b/>
          <w:sz w:val="24"/>
          <w:szCs w:val="24"/>
        </w:rPr>
      </w:pPr>
      <w:r>
        <w:rPr>
          <w:rFonts w:hint="eastAsia" w:ascii="宋体" w:hAnsi="宋体" w:cs="宋体"/>
          <w:b/>
          <w:sz w:val="24"/>
          <w:szCs w:val="24"/>
        </w:rPr>
        <w:t>①</w:t>
      </w:r>
      <w:r>
        <w:rPr>
          <w:rFonts w:ascii="Times New Roman" w:hAnsi="Times New Roman" w:eastAsiaTheme="minorEastAsia"/>
          <w:b/>
          <w:sz w:val="24"/>
          <w:szCs w:val="24"/>
        </w:rPr>
        <w:t>危险物质数量与临界量比值Q的确定</w:t>
      </w:r>
    </w:p>
    <w:p>
      <w:pPr>
        <w:ind w:firstLine="600" w:firstLineChars="250"/>
        <w:rPr>
          <w:rFonts w:ascii="Times New Roman" w:hAnsi="Times New Roman" w:eastAsiaTheme="minorEastAsia"/>
          <w:sz w:val="24"/>
          <w:szCs w:val="24"/>
        </w:rPr>
      </w:pPr>
      <w:r>
        <w:rPr>
          <w:rFonts w:ascii="Times New Roman" w:hAnsi="Times New Roman" w:eastAsiaTheme="minorEastAsia"/>
          <w:sz w:val="24"/>
          <w:szCs w:val="24"/>
        </w:rPr>
        <w:t>根据“导则”附录B以及附录C，Q为厂界内的最大存在总量与其对应临界值的比值。当只涉及一种危险物质时，计算该物质的总量与其临界量比值；当存在多种无限物质时，则按下式计算物质总量与其临界量比值Q：</w:t>
      </w:r>
    </w:p>
    <w:p>
      <w:pPr>
        <w:jc w:val="center"/>
        <w:rPr>
          <w:rFonts w:ascii="Times New Roman" w:hAnsi="Times New Roman" w:eastAsiaTheme="minorEastAsia"/>
          <w:sz w:val="24"/>
          <w:szCs w:val="24"/>
        </w:rPr>
      </w:pPr>
      <w:r>
        <w:rPr>
          <w:rFonts w:ascii="Times New Roman" w:hAnsi="Times New Roman" w:eastAsiaTheme="minorEastAsia"/>
          <w:sz w:val="24"/>
          <w:szCs w:val="24"/>
        </w:rPr>
        <w:t>Q=（q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 ……（q</w:t>
      </w:r>
      <w:r>
        <w:rPr>
          <w:rFonts w:ascii="Times New Roman" w:hAnsi="Times New Roman" w:eastAsiaTheme="minorEastAsia"/>
          <w:sz w:val="24"/>
          <w:szCs w:val="24"/>
          <w:vertAlign w:val="subscript"/>
        </w:rPr>
        <w:t>n</w:t>
      </w:r>
      <w:r>
        <w:rPr>
          <w:rFonts w:ascii="Times New Roman" w:hAnsi="Times New Roman" w:eastAsiaTheme="minorEastAsia"/>
          <w:sz w:val="24"/>
          <w:szCs w:val="24"/>
        </w:rPr>
        <w:t>/Q</w:t>
      </w:r>
      <w:r>
        <w:rPr>
          <w:rFonts w:ascii="Times New Roman" w:hAnsi="Times New Roman" w:eastAsiaTheme="minorEastAsia"/>
          <w:sz w:val="24"/>
          <w:szCs w:val="24"/>
          <w:vertAlign w:val="subscript"/>
        </w:rPr>
        <w:t>n</w:t>
      </w:r>
      <w:r>
        <w:rPr>
          <w:rFonts w:ascii="Times New Roman" w:hAnsi="Times New Roman" w:eastAsiaTheme="minorEastAsia"/>
          <w:sz w:val="24"/>
          <w:szCs w:val="24"/>
        </w:rPr>
        <w:t>）</w:t>
      </w:r>
    </w:p>
    <w:p>
      <w:pPr>
        <w:rPr>
          <w:rFonts w:ascii="Times New Roman" w:hAnsi="Times New Roman" w:eastAsiaTheme="minorEastAsia"/>
          <w:sz w:val="24"/>
          <w:szCs w:val="24"/>
        </w:rPr>
      </w:pPr>
      <w:r>
        <w:rPr>
          <w:rFonts w:ascii="Times New Roman" w:hAnsi="Times New Roman" w:eastAsiaTheme="minorEastAsia"/>
          <w:sz w:val="24"/>
          <w:szCs w:val="24"/>
        </w:rPr>
        <w:t>式中：q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，……，qn——每种危险物质的最大存在总量，t；</w:t>
      </w:r>
    </w:p>
    <w:p>
      <w:pPr>
        <w:ind w:firstLine="1200" w:firstLineChars="500"/>
        <w:rPr>
          <w:rFonts w:ascii="Times New Roman" w:hAnsi="Times New Roman" w:eastAsiaTheme="minorEastAsia"/>
          <w:sz w:val="24"/>
          <w:szCs w:val="24"/>
        </w:rPr>
      </w:pPr>
      <w:r>
        <w:rPr>
          <w:rFonts w:ascii="Times New Roman" w:hAnsi="Times New Roman" w:eastAsiaTheme="minorEastAsia"/>
          <w:sz w:val="24"/>
          <w:szCs w:val="24"/>
        </w:rPr>
        <w:t>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，……，Qn——每种危险物质的临界量，t；</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当Q＜1时，该项目环境风险潜势为I。</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当Q≥1时，将Q值划分为：（1）1≤Q＜10；（2）10≤Q＜100；（3）Q≥100。</w:t>
      </w:r>
    </w:p>
    <w:p>
      <w:pPr>
        <w:ind w:firstLine="480" w:firstLineChars="200"/>
        <w:rPr>
          <w:rFonts w:ascii="Times New Roman" w:hAnsi="Times New Roman" w:eastAsiaTheme="minorEastAsia"/>
          <w:sz w:val="24"/>
          <w:szCs w:val="24"/>
        </w:rPr>
      </w:pPr>
      <w:r>
        <w:rPr>
          <w:rFonts w:ascii="Times New Roman" w:hAnsi="Times New Roman"/>
          <w:sz w:val="24"/>
        </w:rPr>
        <w:t>本项目不设沼气池，深坑沼气产生产量极少，</w:t>
      </w:r>
      <w:r>
        <w:rPr>
          <w:rFonts w:ascii="Times New Roman" w:hAnsi="Times New Roman" w:eastAsiaTheme="minorEastAsia"/>
          <w:sz w:val="24"/>
          <w:szCs w:val="24"/>
        </w:rPr>
        <w:t>根据《建设项目环境风险评价技术导则》（TJ169-2018）附录B，本项目不涉及风险物质。</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因此Q=1，根据《建设项目环境风险评价技术导则》（HJ/T169－2018），Q＜1时，项目环境风险潜势直接判断为I。</w:t>
      </w:r>
    </w:p>
    <w:p>
      <w:pPr>
        <w:ind w:firstLine="482" w:firstLineChars="200"/>
        <w:rPr>
          <w:rFonts w:ascii="Times New Roman" w:hAnsi="Times New Roman" w:eastAsiaTheme="minorEastAsia"/>
          <w:b/>
          <w:sz w:val="24"/>
          <w:szCs w:val="24"/>
        </w:rPr>
      </w:pPr>
      <w:r>
        <w:rPr>
          <w:rFonts w:hint="eastAsia" w:ascii="宋体" w:hAnsi="宋体" w:cs="宋体"/>
          <w:b/>
          <w:sz w:val="24"/>
          <w:szCs w:val="24"/>
        </w:rPr>
        <w:t>②</w:t>
      </w:r>
      <w:r>
        <w:rPr>
          <w:rFonts w:ascii="Times New Roman" w:hAnsi="Times New Roman" w:eastAsiaTheme="minorEastAsia"/>
          <w:b/>
          <w:sz w:val="24"/>
          <w:szCs w:val="24"/>
        </w:rPr>
        <w:t>行业及生产工艺M分值的确定</w:t>
      </w:r>
    </w:p>
    <w:p>
      <w:pPr>
        <w:rPr>
          <w:rFonts w:ascii="Times New Roman" w:hAnsi="Times New Roman" w:eastAsiaTheme="minorEastAsia"/>
          <w:sz w:val="24"/>
          <w:szCs w:val="24"/>
        </w:rPr>
      </w:pPr>
      <w:r>
        <w:rPr>
          <w:rFonts w:ascii="Times New Roman" w:hAnsi="Times New Roman" w:eastAsiaTheme="minorEastAsia"/>
          <w:sz w:val="24"/>
          <w:szCs w:val="24"/>
        </w:rPr>
        <w:t>本项目Q＜1，根据《建设项目环境风险评价技术导则》（HJ/T169－2018），当Q＜时，项目环境风险潜势直接判断为I，无需进行M分值的确定。</w:t>
      </w:r>
    </w:p>
    <w:p>
      <w:pPr>
        <w:ind w:firstLine="482" w:firstLineChars="200"/>
        <w:rPr>
          <w:rFonts w:ascii="Times New Roman" w:hAnsi="Times New Roman"/>
          <w:b/>
          <w:sz w:val="24"/>
          <w:szCs w:val="24"/>
        </w:rPr>
      </w:pPr>
      <w:r>
        <w:rPr>
          <w:rFonts w:hint="eastAsia" w:ascii="宋体" w:hAnsi="宋体" w:cs="宋体"/>
          <w:b/>
          <w:sz w:val="24"/>
          <w:szCs w:val="24"/>
        </w:rPr>
        <w:t>③</w:t>
      </w:r>
      <w:r>
        <w:rPr>
          <w:rFonts w:ascii="Times New Roman" w:hAnsi="Times New Roman"/>
          <w:b/>
          <w:sz w:val="24"/>
          <w:szCs w:val="24"/>
        </w:rPr>
        <w:t>P的分级的确定</w:t>
      </w:r>
    </w:p>
    <w:p>
      <w:pPr>
        <w:ind w:firstLine="480" w:firstLineChars="200"/>
        <w:rPr>
          <w:rFonts w:ascii="Times New Roman" w:hAnsi="Times New Roman"/>
          <w:sz w:val="24"/>
          <w:szCs w:val="24"/>
        </w:rPr>
      </w:pPr>
      <w:r>
        <w:rPr>
          <w:rFonts w:ascii="Times New Roman" w:hAnsi="Times New Roman"/>
          <w:sz w:val="24"/>
          <w:szCs w:val="24"/>
        </w:rPr>
        <w:t>在Q＜1的情况下，不再分析P的等级。</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（2）E的分级确定</w:t>
      </w:r>
    </w:p>
    <w:p>
      <w:pPr>
        <w:ind w:firstLine="480" w:firstLineChars="200"/>
        <w:rPr>
          <w:rFonts w:ascii="Times New Roman" w:hAnsi="Times New Roman"/>
          <w:sz w:val="24"/>
          <w:szCs w:val="24"/>
        </w:rPr>
      </w:pPr>
      <w:r>
        <w:rPr>
          <w:rFonts w:ascii="Times New Roman" w:hAnsi="Times New Roman"/>
          <w:sz w:val="24"/>
          <w:szCs w:val="24"/>
        </w:rPr>
        <w:t>根据《建设项目环境风险评价技术导则》（HJ/T169－2018），Q＜1时，项目环境风险潜势直接判断为I。无需进行E等级的分析。</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（3）建设项目环境风险潜势</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根据以上分析，本项目危险物质存储量量与临界量比值Q</w:t>
      </w:r>
      <w:r>
        <w:rPr>
          <w:rFonts w:ascii="Times New Roman" w:hAnsi="Times New Roman"/>
          <w:sz w:val="24"/>
          <w:szCs w:val="24"/>
        </w:rPr>
        <w:t>＜</w:t>
      </w:r>
      <w:r>
        <w:rPr>
          <w:rFonts w:ascii="Times New Roman" w:hAnsi="Times New Roman" w:eastAsiaTheme="minorEastAsia"/>
          <w:sz w:val="24"/>
          <w:szCs w:val="24"/>
        </w:rPr>
        <w:t>1，根据《建设项目环境风险评价技术导则》（HJ/T169－2018），Q＜1时，项目环境风险潜势直接判断为I。</w:t>
      </w:r>
    </w:p>
    <w:p>
      <w:pPr>
        <w:ind w:firstLine="472" w:firstLineChars="196"/>
        <w:rPr>
          <w:rFonts w:ascii="Times New Roman" w:hAnsi="Times New Roman"/>
          <w:b/>
          <w:sz w:val="24"/>
          <w:szCs w:val="24"/>
        </w:rPr>
      </w:pPr>
      <w:r>
        <w:rPr>
          <w:rFonts w:ascii="Times New Roman" w:hAnsi="Times New Roman"/>
          <w:b/>
          <w:sz w:val="24"/>
          <w:szCs w:val="24"/>
        </w:rPr>
        <w:t>2、风险评价等级确定</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建设项目环境风险评价技术导则》（HJ/T169－2018），环境风险评价工作等级划分为一级、二级、三级。根据建设项目涉及的物质及工艺系统危险性和所在地的环境敏感性确定环境风险潜势，按照表1.8-11确定评价工作等级。</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jc w:val="center"/>
        <w:rPr>
          <w:rFonts w:ascii="Times New Roman" w:hAnsi="Times New Roman" w:eastAsia="黑体"/>
          <w:sz w:val="21"/>
          <w:szCs w:val="21"/>
        </w:rPr>
      </w:pPr>
      <w:r>
        <w:rPr>
          <w:rFonts w:ascii="Times New Roman" w:hAnsi="Times New Roman" w:eastAsia="黑体"/>
          <w:sz w:val="21"/>
          <w:szCs w:val="21"/>
        </w:rPr>
        <w:t>表1.8-11  评价工作等级划分</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1715"/>
        <w:gridCol w:w="1702"/>
        <w:gridCol w:w="1702"/>
        <w:gridCol w:w="170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trPr>
        <w:tc>
          <w:tcPr>
            <w:tcW w:w="1701"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环境风险潜势</w:t>
            </w:r>
          </w:p>
        </w:tc>
        <w:tc>
          <w:tcPr>
            <w:tcW w:w="1715"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IV、IV+</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III</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II</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评级工作等级</w:t>
            </w:r>
          </w:p>
        </w:tc>
        <w:tc>
          <w:tcPr>
            <w:tcW w:w="1715"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一</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二</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三</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简单分析a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522" w:type="dxa"/>
            <w:gridSpan w:val="5"/>
            <w:vAlign w:val="center"/>
          </w:tcPr>
          <w:p>
            <w:pPr>
              <w:jc w:val="left"/>
              <w:rPr>
                <w:rFonts w:ascii="Times New Roman" w:hAnsi="Times New Roman" w:eastAsiaTheme="majorEastAsia"/>
                <w:sz w:val="21"/>
                <w:szCs w:val="21"/>
              </w:rPr>
            </w:pPr>
            <w:r>
              <w:rPr>
                <w:rFonts w:ascii="Times New Roman" w:hAnsi="Times New Roman" w:eastAsiaTheme="majorEastAsia"/>
                <w:sz w:val="21"/>
                <w:szCs w:val="21"/>
              </w:rPr>
              <w:t>a是相对于详细评价工作内容而言，在描述危险物质、环境影响途径、环境危害后果、风险防范措施等方面给出定性的说明。</w:t>
            </w:r>
          </w:p>
        </w:tc>
      </w:tr>
    </w:tbl>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综上分析，本项目的环境风险潜势为I，故界定评价等级为简单分析。</w:t>
      </w:r>
    </w:p>
    <w:p>
      <w:pPr>
        <w:pStyle w:val="108"/>
        <w:rPr>
          <w:b/>
        </w:rPr>
      </w:pPr>
      <w:bookmarkStart w:id="76" w:name="_Toc9873299"/>
      <w:r>
        <w:t>1.8.2　评价范围</w:t>
      </w:r>
      <w:bookmarkEnd w:id="76"/>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（1）地表水环境</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本项目的养殖废水和生活污水经处理后资源化利用，不外排。因项目区主要地表水体为斜江河，现状评价重点考虑本项目斜江河项目场址上游500m至本项目场址外下游3km范围内。</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（2）大气环境</w:t>
      </w:r>
    </w:p>
    <w:p>
      <w:pPr>
        <w:ind w:firstLine="480"/>
        <w:rPr>
          <w:rFonts w:ascii="Times New Roman" w:hAnsi="Times New Roman" w:eastAsiaTheme="minorEastAsia"/>
          <w:sz w:val="24"/>
          <w:szCs w:val="24"/>
        </w:rPr>
      </w:pPr>
      <w:r>
        <w:rPr>
          <w:rFonts w:ascii="Times New Roman" w:hAnsi="Times New Roman" w:eastAsiaTheme="minorEastAsia"/>
          <w:sz w:val="24"/>
          <w:szCs w:val="24"/>
        </w:rPr>
        <w:t>因本项目大气环境评价等级为三级，根据《环境影响评价技术导则大气环境》（HJ/T2.2-2008）中的有关规定，评价范围的直径或边长不得小于5km，因此确定本项目的大气环境影响评价范围为以项目猪舍为中心边长为5km的正方形。</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（3）声环境</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声环境评价范围确定为项目场界外 200m 范围。</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（4）地下水环境</w:t>
      </w:r>
    </w:p>
    <w:p>
      <w:pPr>
        <w:ind w:firstLine="480" w:firstLineChars="200"/>
        <w:rPr>
          <w:rFonts w:ascii="Times New Roman" w:hAnsi="Times New Roman" w:eastAsiaTheme="minorEastAsia"/>
          <w:sz w:val="24"/>
        </w:rPr>
      </w:pPr>
      <w:r>
        <w:rPr>
          <w:rFonts w:ascii="Times New Roman" w:hAnsi="Times New Roman" w:eastAsiaTheme="minorEastAsia"/>
          <w:sz w:val="24"/>
          <w:szCs w:val="24"/>
        </w:rPr>
        <w:t>根据项目所在区域水文地质资料，</w:t>
      </w:r>
      <w:r>
        <w:rPr>
          <w:rFonts w:ascii="Times New Roman" w:hAnsi="Times New Roman" w:eastAsiaTheme="minorEastAsia"/>
          <w:sz w:val="24"/>
        </w:rPr>
        <w:t>项目地下水类型为孔隙潜水，含水层为松散堆积砂卵石层，具有较强的渗透性，其渗透系数可按18m/d估算。根据该地区地勘报告，场地稳定水位在12.8-15.0m左右，根据区域有关资料，场地水位一般年变幅为1.5-2.0</w:t>
      </w:r>
      <w:r>
        <w:rPr>
          <w:rFonts w:ascii="Times New Roman" w:hAnsi="Times New Roman" w:eastAsiaTheme="minorEastAsia"/>
          <w:sz w:val="24"/>
        </w:rPr>
        <w:softHyphen/>
      </w:r>
      <w:r>
        <w:rPr>
          <w:rFonts w:ascii="Times New Roman" w:hAnsi="Times New Roman" w:eastAsiaTheme="minorEastAsia"/>
          <w:sz w:val="24"/>
        </w:rPr>
        <w:t>左右。按照《环境影响评价技术到则——地下水环境》（HJ610-2016），采用公式法确定本项目地下水评价范围（L=a×K×I×T/n</w:t>
      </w:r>
      <w:r>
        <w:rPr>
          <w:rFonts w:ascii="Times New Roman" w:hAnsi="Times New Roman" w:eastAsiaTheme="minorEastAsia"/>
          <w:sz w:val="24"/>
          <w:vertAlign w:val="subscript"/>
        </w:rPr>
        <w:t>e</w:t>
      </w:r>
      <w:r>
        <w:rPr>
          <w:rFonts w:ascii="Times New Roman" w:hAnsi="Times New Roman" w:eastAsiaTheme="minorEastAsia"/>
          <w:sz w:val="24"/>
        </w:rPr>
        <w:t>），根据《水文地质手册》，K=18m/d，I=5‰，n</w:t>
      </w:r>
      <w:r>
        <w:rPr>
          <w:rFonts w:ascii="Times New Roman" w:hAnsi="Times New Roman" w:eastAsiaTheme="minorEastAsia"/>
          <w:sz w:val="24"/>
          <w:vertAlign w:val="subscript"/>
        </w:rPr>
        <w:t>e</w:t>
      </w:r>
      <w:r>
        <w:rPr>
          <w:rFonts w:ascii="Times New Roman" w:hAnsi="Times New Roman" w:eastAsiaTheme="minorEastAsia"/>
          <w:sz w:val="24"/>
        </w:rPr>
        <w:t>=0.327，计算L=2752m。</w:t>
      </w:r>
    </w:p>
    <w:p>
      <w:pPr>
        <w:ind w:firstLine="480" w:firstLineChars="200"/>
        <w:rPr>
          <w:rFonts w:ascii="Times New Roman" w:hAnsi="Times New Roman" w:eastAsiaTheme="minorEastAsia"/>
          <w:sz w:val="24"/>
          <w:szCs w:val="24"/>
        </w:rPr>
      </w:pPr>
      <w:r>
        <w:rPr>
          <w:rFonts w:ascii="Times New Roman" w:hAnsi="Times New Roman" w:eastAsiaTheme="minorEastAsia"/>
          <w:sz w:val="24"/>
        </w:rPr>
        <w:t>由此确定</w:t>
      </w:r>
      <w:r>
        <w:rPr>
          <w:rFonts w:ascii="Times New Roman" w:hAnsi="Times New Roman" w:eastAsiaTheme="minorEastAsia"/>
          <w:sz w:val="24"/>
          <w:szCs w:val="24"/>
        </w:rPr>
        <w:t>评价范围为：场区上游，两侧1376m，下游2752m范围。因本项目位于斜江河右岸，距离斜江河直线距离400m，故本项目地下水评价范围为：</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场地上游，即项目西北侧200m；</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场地两侧，西南方向1376m；东北方向400m至斜江河范围；</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场地下游，东南方向780m至斜江河范围；</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（5）环境风险</w:t>
      </w:r>
    </w:p>
    <w:p>
      <w:pPr>
        <w:pStyle w:val="118"/>
        <w:widowControl w:val="0"/>
        <w:snapToGrid w:val="0"/>
        <w:spacing w:line="360" w:lineRule="auto"/>
        <w:ind w:firstLine="480"/>
        <w:rPr>
          <w:rFonts w:ascii="Times New Roman" w:hAnsi="Times New Roman" w:cs="Times New Roman" w:eastAsiaTheme="minorEastAsia"/>
        </w:rPr>
      </w:pPr>
      <w:r>
        <w:rPr>
          <w:rFonts w:ascii="Times New Roman" w:hAnsi="Times New Roman" w:cs="Times New Roman" w:eastAsiaTheme="minorEastAsia"/>
        </w:rPr>
        <w:t>根据《建设项目环境风险评价技术导则》（HJ/T169-2004），本评价二级评价以沼气储存池为中心，距离源点3km以内的范围。</w:t>
      </w:r>
    </w:p>
    <w:p>
      <w:pPr>
        <w:ind w:firstLine="480" w:firstLineChars="200"/>
        <w:rPr>
          <w:rFonts w:ascii="Times New Roman" w:hAnsi="Times New Roman" w:eastAsiaTheme="minorEastAsia"/>
          <w:sz w:val="24"/>
        </w:rPr>
      </w:pPr>
      <w:r>
        <w:rPr>
          <w:rFonts w:ascii="Times New Roman" w:hAnsi="Times New Roman" w:eastAsiaTheme="minorEastAsia"/>
          <w:sz w:val="24"/>
        </w:rPr>
        <w:t>工程营运期评价范围见表1.8-12。</w:t>
      </w:r>
    </w:p>
    <w:p>
      <w:pPr>
        <w:spacing w:line="500" w:lineRule="exact"/>
        <w:jc w:val="center"/>
        <w:rPr>
          <w:rFonts w:ascii="Times New Roman" w:hAnsi="Times New Roman" w:eastAsia="黑体"/>
          <w:sz w:val="21"/>
          <w:szCs w:val="21"/>
        </w:rPr>
      </w:pPr>
      <w:r>
        <w:rPr>
          <w:rFonts w:ascii="Times New Roman" w:hAnsi="Times New Roman" w:eastAsia="黑体"/>
          <w:sz w:val="21"/>
          <w:szCs w:val="21"/>
        </w:rPr>
        <w:t>表1.8-12  营运期评价范围</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878"/>
        <w:gridCol w:w="664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环境要素</w:t>
            </w:r>
          </w:p>
        </w:tc>
        <w:tc>
          <w:tcPr>
            <w:tcW w:w="664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评    价    范    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环境空气</w:t>
            </w:r>
          </w:p>
        </w:tc>
        <w:tc>
          <w:tcPr>
            <w:tcW w:w="664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以项目猪舍为中心，直径为5km的正方形范围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地表水环境</w:t>
            </w:r>
          </w:p>
        </w:tc>
        <w:tc>
          <w:tcPr>
            <w:tcW w:w="6644" w:type="dxa"/>
            <w:vAlign w:val="center"/>
          </w:tcPr>
          <w:p>
            <w:pPr>
              <w:spacing w:line="460" w:lineRule="exact"/>
              <w:jc w:val="center"/>
              <w:rPr>
                <w:rFonts w:ascii="Times New Roman" w:hAnsi="Times New Roman" w:eastAsiaTheme="minorEastAsia"/>
                <w:sz w:val="21"/>
                <w:szCs w:val="21"/>
              </w:rPr>
            </w:pPr>
            <w:r>
              <w:rPr>
                <w:rFonts w:ascii="Times New Roman" w:hAnsi="Times New Roman" w:eastAsiaTheme="minorEastAsia"/>
                <w:sz w:val="21"/>
                <w:szCs w:val="21"/>
              </w:rPr>
              <w:t>斜江河项目场址上游500m至本项目场址外下游3km范围内。</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trPr>
        <w:tc>
          <w:tcPr>
            <w:tcW w:w="187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地下水</w:t>
            </w:r>
          </w:p>
        </w:tc>
        <w:tc>
          <w:tcPr>
            <w:tcW w:w="664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场地上游，即项目西北侧200m；</w:t>
            </w:r>
          </w:p>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场地两侧，西南方向1376m；东北方向780m至斜江河范围；</w:t>
            </w:r>
          </w:p>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场地下游，东南方向400m至斜江河范围；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声 环 境</w:t>
            </w:r>
          </w:p>
        </w:tc>
        <w:tc>
          <w:tcPr>
            <w:tcW w:w="664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场界外周围200m范围内</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环境风险</w:t>
            </w:r>
          </w:p>
        </w:tc>
        <w:tc>
          <w:tcPr>
            <w:tcW w:w="664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以项目风险源为中心，周围3000m范围</w:t>
            </w:r>
          </w:p>
        </w:tc>
      </w:tr>
    </w:tbl>
    <w:p>
      <w:pPr>
        <w:pStyle w:val="103"/>
        <w:numPr>
          <w:ilvl w:val="0"/>
          <w:numId w:val="0"/>
        </w:numPr>
        <w:contextualSpacing/>
        <w:rPr>
          <w:rFonts w:ascii="Times New Roman" w:hAnsi="Times New Roman"/>
          <w:b w:val="0"/>
        </w:rPr>
      </w:pPr>
      <w:bookmarkStart w:id="77" w:name="_Toc9873300"/>
      <w:r>
        <w:rPr>
          <w:rFonts w:ascii="Times New Roman" w:hAnsi="Times New Roman"/>
          <w:b w:val="0"/>
        </w:rPr>
        <w:t>1.9　外环境关系及环境保护目标</w:t>
      </w:r>
      <w:bookmarkEnd w:id="77"/>
    </w:p>
    <w:p>
      <w:pPr>
        <w:pStyle w:val="108"/>
        <w:rPr>
          <w:b/>
        </w:rPr>
      </w:pPr>
      <w:bookmarkStart w:id="78" w:name="_Toc9873301"/>
      <w:r>
        <w:t>1.9.1　外环境关系</w:t>
      </w:r>
      <w:bookmarkEnd w:id="78"/>
    </w:p>
    <w:p>
      <w:pPr>
        <w:spacing w:line="460" w:lineRule="exact"/>
        <w:ind w:firstLine="480" w:firstLineChars="200"/>
        <w:rPr>
          <w:rFonts w:ascii="Times New Roman" w:hAnsi="Times New Roman" w:eastAsiaTheme="minorEastAsia"/>
          <w:sz w:val="24"/>
        </w:rPr>
      </w:pPr>
      <w:r>
        <w:rPr>
          <w:rFonts w:ascii="Times New Roman" w:hAnsi="Times New Roman" w:eastAsiaTheme="minorEastAsia"/>
          <w:sz w:val="24"/>
        </w:rPr>
        <w:t>根据现场调查，项目所在地处于邛崃市冉义镇园林村（原白玉村），拟建位置北面为大邑县安仁镇泉水村。白玉村和泉水村都已于2013年实施了土地整治和居民集中居住方案（详见附件），目前项目周围的散居住户均为已规划搬迁的农户，但项目南侧1户白玉村村民、南侧1户泉水村村民不愿意搬迁，还在此居住。除此外项目场界500m范围内无居民分布。</w:t>
      </w:r>
    </w:p>
    <w:p>
      <w:pPr>
        <w:spacing w:line="460" w:lineRule="exact"/>
        <w:ind w:firstLine="480" w:firstLineChars="200"/>
        <w:rPr>
          <w:rFonts w:ascii="Times New Roman" w:hAnsi="Times New Roman" w:eastAsiaTheme="minorEastAsia"/>
          <w:sz w:val="24"/>
        </w:rPr>
      </w:pPr>
      <w:r>
        <w:rPr>
          <w:rFonts w:ascii="Times New Roman" w:hAnsi="Times New Roman" w:eastAsiaTheme="minorEastAsia"/>
          <w:sz w:val="24"/>
        </w:rPr>
        <w:t>卫生防护距离100m范围内有两户居民分布，南面白玉村散居住户1户距离项目边界5m，圈舍10m，北面泉水村住户距离拟建二期边界30m，圈舍40m，防护距离内的这两户居民因自身原因不愿意搬迁，目前与本项目建设单位达成了联合养殖用工协议，对项目建设无意见。</w:t>
      </w:r>
    </w:p>
    <w:p>
      <w:pPr>
        <w:spacing w:line="460" w:lineRule="exact"/>
        <w:ind w:firstLine="480" w:firstLineChars="200"/>
        <w:rPr>
          <w:rFonts w:ascii="Times New Roman" w:hAnsi="Times New Roman" w:eastAsiaTheme="minorEastAsia"/>
          <w:sz w:val="24"/>
        </w:rPr>
      </w:pPr>
      <w:r>
        <w:rPr>
          <w:rFonts w:ascii="Times New Roman" w:hAnsi="Times New Roman" w:eastAsiaTheme="minorEastAsia"/>
          <w:sz w:val="24"/>
        </w:rPr>
        <w:t>项目场址及周边现状照片如下：</w:t>
      </w:r>
    </w:p>
    <w:p>
      <w:pPr>
        <w:spacing w:line="460" w:lineRule="exact"/>
        <w:ind w:firstLine="480" w:firstLineChars="200"/>
        <w:rPr>
          <w:rFonts w:ascii="Times New Roman" w:hAnsi="Times New Roman" w:eastAsiaTheme="minorEastAsia"/>
          <w:sz w:val="24"/>
        </w:rPr>
      </w:pPr>
    </w:p>
    <w:tbl>
      <w:tblPr>
        <w:tblStyle w:val="90"/>
        <w:tblW w:w="8522" w:type="dxa"/>
        <w:tblInd w:w="0" w:type="dxa"/>
        <w:tblLayout w:type="fixed"/>
        <w:tblCellMar>
          <w:top w:w="0" w:type="dxa"/>
          <w:left w:w="108" w:type="dxa"/>
          <w:bottom w:w="0" w:type="dxa"/>
          <w:right w:w="108" w:type="dxa"/>
        </w:tblCellMar>
      </w:tblPr>
      <w:tblGrid>
        <w:gridCol w:w="4261"/>
        <w:gridCol w:w="4261"/>
      </w:tblGrid>
      <w:tr>
        <w:tblPrEx>
          <w:tblLayout w:type="fixed"/>
          <w:tblCellMar>
            <w:top w:w="0" w:type="dxa"/>
            <w:left w:w="108" w:type="dxa"/>
            <w:bottom w:w="0" w:type="dxa"/>
            <w:right w:w="108" w:type="dxa"/>
          </w:tblCellMar>
        </w:tblPrEx>
        <w:tc>
          <w:tcPr>
            <w:tcW w:w="4261" w:type="dxa"/>
            <w:shd w:val="clear" w:color="auto" w:fill="auto"/>
          </w:tcPr>
          <w:p>
            <w:pPr>
              <w:wordWrap w:val="0"/>
              <w:spacing w:line="240" w:lineRule="auto"/>
              <w:rPr>
                <w:rFonts w:ascii="Times New Roman" w:hAnsi="Times New Roman"/>
              </w:rPr>
            </w:pPr>
            <w:r>
              <w:rPr>
                <w:rFonts w:ascii="Times New Roman" w:hAnsi="Times New Roman" w:eastAsiaTheme="minorEastAsia"/>
                <w:sz w:val="24"/>
              </w:rPr>
              <w:drawing>
                <wp:inline distT="0" distB="0" distL="0" distR="0">
                  <wp:extent cx="2699385" cy="2025650"/>
                  <wp:effectExtent l="0" t="0" r="5715" b="0"/>
                  <wp:docPr id="267" name="图片 267" descr="E:\3-配合项目\丁老师项目\旺江农冉义现代化生猪养殖二期建设项目\旺江资料\现场照片1\邛崃旺江养殖现场照片\二期用地（企业栽种蔬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E:\3-配合项目\丁老师项目\旺江农冉义现代化生猪养殖二期建设项目\旺江资料\现场照片1\邛崃旺江养殖现场照片\二期用地（企业栽种蔬菜）.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00000" cy="2026205"/>
                          </a:xfrm>
                          <a:prstGeom prst="rect">
                            <a:avLst/>
                          </a:prstGeom>
                          <a:noFill/>
                          <a:ln>
                            <a:noFill/>
                          </a:ln>
                        </pic:spPr>
                      </pic:pic>
                    </a:graphicData>
                  </a:graphic>
                </wp:inline>
              </w:drawing>
            </w:r>
          </w:p>
        </w:tc>
        <w:tc>
          <w:tcPr>
            <w:tcW w:w="4261" w:type="dxa"/>
            <w:shd w:val="clear" w:color="auto" w:fill="auto"/>
          </w:tcPr>
          <w:p>
            <w:pPr>
              <w:wordWrap w:val="0"/>
              <w:spacing w:line="240" w:lineRule="auto"/>
              <w:rPr>
                <w:rFonts w:ascii="Times New Roman" w:hAnsi="Times New Roman"/>
              </w:rPr>
            </w:pPr>
            <w:r>
              <w:rPr>
                <w:rFonts w:ascii="Times New Roman" w:hAnsi="Times New Roman" w:eastAsiaTheme="minorEastAsia"/>
                <w:sz w:val="24"/>
              </w:rPr>
              <w:drawing>
                <wp:inline distT="0" distB="0" distL="0" distR="0">
                  <wp:extent cx="2699385" cy="2025650"/>
                  <wp:effectExtent l="0" t="0" r="5715" b="0"/>
                  <wp:docPr id="268" name="图片 268" descr="E:\3-配合项目\丁老师项目\旺江农冉义现代化生猪养殖二期建设项目\旺江资料\现场照片1\邛崃旺江养殖现场照片\二期用地（企业栽种蔬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E:\3-配合项目\丁老师项目\旺江农冉义现代化生猪养殖二期建设项目\旺江资料\现场照片1\邛崃旺江养殖现场照片\二期用地（企业栽种蔬菜）.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00000" cy="20262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c>
          <w:tcPr>
            <w:tcW w:w="4261" w:type="dxa"/>
            <w:shd w:val="clear" w:color="auto" w:fill="auto"/>
          </w:tcPr>
          <w:p>
            <w:pPr>
              <w:spacing w:line="240" w:lineRule="auto"/>
              <w:jc w:val="center"/>
              <w:rPr>
                <w:rFonts w:ascii="Times New Roman" w:hAnsi="Times New Roman"/>
                <w:b/>
                <w:sz w:val="21"/>
                <w:szCs w:val="21"/>
              </w:rPr>
            </w:pPr>
            <w:r>
              <w:rPr>
                <w:rFonts w:ascii="Times New Roman" w:hAnsi="Times New Roman"/>
                <w:b/>
                <w:sz w:val="21"/>
                <w:szCs w:val="21"/>
              </w:rPr>
              <w:t>项目所在地</w:t>
            </w:r>
          </w:p>
        </w:tc>
        <w:tc>
          <w:tcPr>
            <w:tcW w:w="4261" w:type="dxa"/>
            <w:shd w:val="clear" w:color="auto" w:fill="auto"/>
          </w:tcPr>
          <w:p>
            <w:pPr>
              <w:wordWrap w:val="0"/>
              <w:spacing w:line="240" w:lineRule="auto"/>
              <w:jc w:val="center"/>
              <w:rPr>
                <w:rFonts w:ascii="Times New Roman" w:hAnsi="Times New Roman"/>
                <w:b/>
                <w:sz w:val="21"/>
                <w:szCs w:val="21"/>
              </w:rPr>
            </w:pPr>
            <w:r>
              <w:rPr>
                <w:rFonts w:ascii="Times New Roman" w:hAnsi="Times New Roman"/>
                <w:b/>
                <w:sz w:val="21"/>
                <w:szCs w:val="21"/>
              </w:rPr>
              <w:t>北侧 泉水村农户</w:t>
            </w:r>
          </w:p>
        </w:tc>
      </w:tr>
      <w:tr>
        <w:tblPrEx>
          <w:tblLayout w:type="fixed"/>
          <w:tblCellMar>
            <w:top w:w="0" w:type="dxa"/>
            <w:left w:w="108" w:type="dxa"/>
            <w:bottom w:w="0" w:type="dxa"/>
            <w:right w:w="108" w:type="dxa"/>
          </w:tblCellMar>
        </w:tblPrEx>
        <w:tc>
          <w:tcPr>
            <w:tcW w:w="4261" w:type="dxa"/>
            <w:shd w:val="clear" w:color="auto" w:fill="auto"/>
          </w:tcPr>
          <w:p>
            <w:pPr>
              <w:wordWrap w:val="0"/>
              <w:spacing w:line="240" w:lineRule="auto"/>
              <w:jc w:val="center"/>
              <w:rPr>
                <w:rFonts w:ascii="Times New Roman" w:hAnsi="Times New Roman"/>
              </w:rPr>
            </w:pPr>
            <w:r>
              <w:rPr>
                <w:rFonts w:ascii="Times New Roman" w:hAnsi="Times New Roman"/>
                <w:sz w:val="24"/>
                <w:szCs w:val="24"/>
              </w:rPr>
              <w:drawing>
                <wp:inline distT="0" distB="0" distL="0" distR="0">
                  <wp:extent cx="2699385" cy="2025015"/>
                  <wp:effectExtent l="0" t="0" r="5715" b="0"/>
                  <wp:docPr id="269" name="图片 269" descr="E:\3-配合项目\丁老师项目\旺江农冉义现代化生猪养殖二期建设项目\旺江资料\现场照片1\现场照片4.26\IMG_20190426_1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E:\3-配合项目\丁老师项目\旺江农冉义现代化生猪养殖二期建设项目\旺江资料\现场照片1\现场照片4.26\IMG_20190426_1052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00000" cy="2025447"/>
                          </a:xfrm>
                          <a:prstGeom prst="rect">
                            <a:avLst/>
                          </a:prstGeom>
                          <a:noFill/>
                          <a:ln>
                            <a:noFill/>
                          </a:ln>
                        </pic:spPr>
                      </pic:pic>
                    </a:graphicData>
                  </a:graphic>
                </wp:inline>
              </w:drawing>
            </w:r>
          </w:p>
        </w:tc>
        <w:tc>
          <w:tcPr>
            <w:tcW w:w="4261" w:type="dxa"/>
            <w:shd w:val="clear" w:color="auto" w:fill="auto"/>
          </w:tcPr>
          <w:p>
            <w:pPr>
              <w:wordWrap w:val="0"/>
              <w:spacing w:line="240" w:lineRule="auto"/>
              <w:jc w:val="center"/>
              <w:rPr>
                <w:rFonts w:ascii="Times New Roman" w:hAnsi="Times New Roman"/>
              </w:rPr>
            </w:pPr>
            <w:r>
              <w:rPr>
                <w:rFonts w:ascii="Times New Roman" w:hAnsi="Times New Roman"/>
                <w:sz w:val="24"/>
                <w:szCs w:val="24"/>
              </w:rPr>
              <w:drawing>
                <wp:inline distT="0" distB="0" distL="0" distR="0">
                  <wp:extent cx="2699385" cy="2026285"/>
                  <wp:effectExtent l="0" t="0" r="5715" b="0"/>
                  <wp:docPr id="270" name="图片 270" descr="E:\3-配合项目\丁老师项目\旺江农冉义现代化生猪养殖二期建设项目\旺江资料\现场照片1\现场照片4.26\IMG_20190426_11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E:\3-配合项目\丁老师项目\旺江农冉义现代化生猪养殖二期建设项目\旺江资料\现场照片1\现场照片4.26\IMG_20190426_1132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00000" cy="20268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c>
          <w:tcPr>
            <w:tcW w:w="4261" w:type="dxa"/>
            <w:shd w:val="clear" w:color="auto" w:fill="auto"/>
          </w:tcPr>
          <w:p>
            <w:pPr>
              <w:wordWrap w:val="0"/>
              <w:spacing w:line="240" w:lineRule="auto"/>
              <w:jc w:val="center"/>
              <w:rPr>
                <w:rFonts w:ascii="Times New Roman" w:hAnsi="Times New Roman"/>
                <w:b/>
                <w:sz w:val="21"/>
                <w:szCs w:val="21"/>
              </w:rPr>
            </w:pPr>
            <w:r>
              <w:rPr>
                <w:rFonts w:ascii="Times New Roman" w:hAnsi="Times New Roman"/>
                <w:b/>
                <w:sz w:val="21"/>
                <w:szCs w:val="21"/>
              </w:rPr>
              <w:t>东侧 农田</w:t>
            </w:r>
          </w:p>
        </w:tc>
        <w:tc>
          <w:tcPr>
            <w:tcW w:w="4261" w:type="dxa"/>
            <w:shd w:val="clear" w:color="auto" w:fill="auto"/>
          </w:tcPr>
          <w:p>
            <w:pPr>
              <w:wordWrap w:val="0"/>
              <w:spacing w:line="240" w:lineRule="auto"/>
              <w:jc w:val="center"/>
              <w:rPr>
                <w:rFonts w:ascii="Times New Roman" w:hAnsi="Times New Roman"/>
                <w:b/>
                <w:sz w:val="21"/>
                <w:szCs w:val="21"/>
              </w:rPr>
            </w:pPr>
            <w:r>
              <w:rPr>
                <w:rFonts w:ascii="Times New Roman" w:hAnsi="Times New Roman"/>
                <w:b/>
                <w:sz w:val="21"/>
                <w:szCs w:val="21"/>
              </w:rPr>
              <w:t>南侧  农田及农户</w:t>
            </w:r>
          </w:p>
        </w:tc>
      </w:tr>
    </w:tbl>
    <w:p>
      <w:pPr>
        <w:pStyle w:val="108"/>
        <w:rPr>
          <w:b/>
        </w:rPr>
      </w:pPr>
      <w:bookmarkStart w:id="79" w:name="_Toc9873302"/>
      <w:r>
        <w:t>1.9.2　环境保护目标</w:t>
      </w:r>
      <w:bookmarkEnd w:id="79"/>
    </w:p>
    <w:p>
      <w:pPr>
        <w:wordWrap w:val="0"/>
        <w:ind w:firstLine="480" w:firstLineChars="200"/>
        <w:jc w:val="left"/>
        <w:rPr>
          <w:rFonts w:ascii="Times New Roman" w:hAnsi="Times New Roman"/>
          <w:sz w:val="24"/>
          <w:szCs w:val="24"/>
        </w:rPr>
      </w:pPr>
      <w:r>
        <w:rPr>
          <w:rFonts w:ascii="Times New Roman" w:hAnsi="Times New Roman"/>
          <w:sz w:val="24"/>
          <w:szCs w:val="24"/>
        </w:rPr>
        <w:t>根据工程外环境关系和评价范围，确定本项目水、气、声及生态环境保护目标见下表。</w:t>
      </w:r>
    </w:p>
    <w:p>
      <w:pPr>
        <w:spacing w:line="500" w:lineRule="exact"/>
        <w:jc w:val="center"/>
        <w:rPr>
          <w:rFonts w:ascii="Times New Roman" w:hAnsi="Times New Roman" w:eastAsia="黑体"/>
          <w:sz w:val="21"/>
          <w:szCs w:val="21"/>
        </w:rPr>
      </w:pPr>
      <w:r>
        <w:rPr>
          <w:rFonts w:ascii="Times New Roman" w:hAnsi="Times New Roman" w:eastAsia="黑体"/>
          <w:sz w:val="21"/>
          <w:szCs w:val="21"/>
        </w:rPr>
        <w:t>表1.9-1  环境保护目标一览表</w:t>
      </w:r>
    </w:p>
    <w:tbl>
      <w:tblPr>
        <w:tblStyle w:val="90"/>
        <w:tblW w:w="8677"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82"/>
        <w:gridCol w:w="2243"/>
        <w:gridCol w:w="699"/>
        <w:gridCol w:w="2847"/>
        <w:gridCol w:w="190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环境</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要素</w:t>
            </w: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保护对象</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方位</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距离场界</w:t>
            </w:r>
          </w:p>
        </w:tc>
        <w:tc>
          <w:tcPr>
            <w:tcW w:w="190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保护级别</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trPr>
        <w:tc>
          <w:tcPr>
            <w:tcW w:w="982" w:type="dxa"/>
            <w:vMerge w:val="restart"/>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大气环境</w:t>
            </w:r>
          </w:p>
        </w:tc>
        <w:tc>
          <w:tcPr>
            <w:tcW w:w="2243" w:type="dxa"/>
            <w:vMerge w:val="restart"/>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白玉村农户1户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（邛崃市冉义镇）</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5m（距离一期场界）</w:t>
            </w:r>
          </w:p>
        </w:tc>
        <w:tc>
          <w:tcPr>
            <w:tcW w:w="1906" w:type="dxa"/>
            <w:vMerge w:val="restart"/>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（GB3095-2012）中的二级标准、（HJ2.2-2018）附录D中小时浓度限值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3"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Merge w:val="continue"/>
            <w:vAlign w:val="center"/>
          </w:tcPr>
          <w:p>
            <w:pPr>
              <w:spacing w:line="280" w:lineRule="exact"/>
              <w:jc w:val="center"/>
              <w:rPr>
                <w:rFonts w:ascii="Times New Roman" w:hAnsi="Times New Roman" w:eastAsiaTheme="minorEastAsia"/>
                <w:sz w:val="21"/>
                <w:szCs w:val="21"/>
              </w:rPr>
            </w:pP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10m（距离污染源）</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泉水村农户1户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40m（距离二期污染源）</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30m（距离二期场界）</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泉水村农户10户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150~200m（距离二期污染源）</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140~210m（距离二期场界）</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泉水村农户20户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200m~300m</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982" w:type="dxa"/>
            <w:vMerge w:val="restart"/>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声环境</w:t>
            </w: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白玉村农户1户</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5m（距离一期场界）</w:t>
            </w:r>
          </w:p>
        </w:tc>
        <w:tc>
          <w:tcPr>
            <w:tcW w:w="1906" w:type="dxa"/>
            <w:vMerge w:val="restart"/>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（GB3096-2008）</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2类</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3"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泉水村农户1户</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30m（距离二期场界）</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3"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泉水村农户10户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150~200m（距离二期污染源）</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140~210m（距离二期场界）</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3" w:hRule="atLeast"/>
        </w:trPr>
        <w:tc>
          <w:tcPr>
            <w:tcW w:w="982" w:type="dxa"/>
            <w:vMerge w:val="continue"/>
            <w:vAlign w:val="center"/>
          </w:tcPr>
          <w:p>
            <w:pPr>
              <w:spacing w:line="280" w:lineRule="exact"/>
              <w:jc w:val="center"/>
              <w:rPr>
                <w:rFonts w:ascii="Times New Roman" w:hAnsi="Times New Roman" w:eastAsiaTheme="minorEastAsia"/>
                <w:sz w:val="21"/>
                <w:szCs w:val="21"/>
              </w:rPr>
            </w:pP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泉水村农户20户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200m~300m</w:t>
            </w:r>
          </w:p>
        </w:tc>
        <w:tc>
          <w:tcPr>
            <w:tcW w:w="1906" w:type="dxa"/>
            <w:vMerge w:val="continue"/>
            <w:vAlign w:val="center"/>
          </w:tcPr>
          <w:p>
            <w:pPr>
              <w:spacing w:line="280" w:lineRule="exact"/>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trPr>
        <w:tc>
          <w:tcPr>
            <w:tcW w:w="98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地表水</w:t>
            </w: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斜江河</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西面</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距场区直线距离400m</w:t>
            </w:r>
          </w:p>
        </w:tc>
        <w:tc>
          <w:tcPr>
            <w:tcW w:w="190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(GB3838-2002)</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III类</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82"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地下水</w:t>
            </w:r>
          </w:p>
        </w:tc>
        <w:tc>
          <w:tcPr>
            <w:tcW w:w="22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地下水</w:t>
            </w:r>
          </w:p>
        </w:tc>
        <w:tc>
          <w:tcPr>
            <w:tcW w:w="699"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场址周围</w:t>
            </w:r>
          </w:p>
        </w:tc>
        <w:tc>
          <w:tcPr>
            <w:tcW w:w="2847"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200m~1376m</w:t>
            </w:r>
          </w:p>
        </w:tc>
        <w:tc>
          <w:tcPr>
            <w:tcW w:w="190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GB/T14848-2017</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III类</w:t>
            </w:r>
          </w:p>
        </w:tc>
      </w:tr>
    </w:tbl>
    <w:p>
      <w:pPr>
        <w:pStyle w:val="103"/>
        <w:numPr>
          <w:ilvl w:val="0"/>
          <w:numId w:val="0"/>
        </w:numPr>
        <w:contextualSpacing/>
        <w:rPr>
          <w:rFonts w:ascii="Times New Roman" w:hAnsi="Times New Roman"/>
          <w:b w:val="0"/>
        </w:rPr>
      </w:pPr>
      <w:bookmarkStart w:id="80" w:name="_Toc9873303"/>
      <w:r>
        <w:rPr>
          <w:rFonts w:ascii="Times New Roman" w:hAnsi="Times New Roman"/>
          <w:b w:val="0"/>
        </w:rPr>
        <w:t>1.10　评价时段及评价重点</w:t>
      </w:r>
      <w:bookmarkEnd w:id="80"/>
    </w:p>
    <w:p>
      <w:pPr>
        <w:pStyle w:val="108"/>
        <w:rPr>
          <w:b/>
        </w:rPr>
      </w:pPr>
      <w:bookmarkStart w:id="81" w:name="_Toc9873304"/>
      <w:r>
        <w:t>1.10.1　评价时段</w:t>
      </w:r>
      <w:bookmarkEnd w:id="81"/>
    </w:p>
    <w:p>
      <w:pPr>
        <w:spacing w:line="480" w:lineRule="exact"/>
        <w:ind w:firstLine="480" w:firstLineChars="200"/>
        <w:rPr>
          <w:rFonts w:ascii="Times New Roman" w:hAnsi="Times New Roman"/>
          <w:sz w:val="24"/>
        </w:rPr>
      </w:pPr>
      <w:r>
        <w:rPr>
          <w:rFonts w:ascii="Times New Roman" w:hAnsi="Times New Roman"/>
          <w:sz w:val="24"/>
        </w:rPr>
        <w:t>评价时段分为施工期和营运期。</w:t>
      </w:r>
    </w:p>
    <w:p>
      <w:pPr>
        <w:pStyle w:val="108"/>
        <w:rPr>
          <w:b/>
        </w:rPr>
      </w:pPr>
      <w:bookmarkStart w:id="82" w:name="_Toc9873305"/>
      <w:r>
        <w:t>1.10.2　评价重点</w:t>
      </w:r>
      <w:bookmarkEnd w:id="82"/>
    </w:p>
    <w:p>
      <w:pPr>
        <w:spacing w:line="480" w:lineRule="exact"/>
        <w:ind w:firstLine="480" w:firstLineChars="200"/>
        <w:rPr>
          <w:rFonts w:ascii="Times New Roman" w:hAnsi="Times New Roman"/>
          <w:sz w:val="24"/>
        </w:rPr>
      </w:pPr>
      <w:r>
        <w:rPr>
          <w:rFonts w:ascii="Times New Roman" w:hAnsi="Times New Roman"/>
          <w:sz w:val="24"/>
        </w:rPr>
        <w:t>结合该项目的排污特点和周围环境状况，本评价在对养殖过程进行详细分析的前提下，以粪污和恶臭污染防治措施可行性可靠性论证、项目选址以及养殖场粪污水消纳的承载力分析为本次评价重点。</w:t>
      </w:r>
    </w:p>
    <w:p>
      <w:pPr>
        <w:pStyle w:val="103"/>
        <w:numPr>
          <w:ilvl w:val="0"/>
          <w:numId w:val="0"/>
        </w:numPr>
        <w:contextualSpacing/>
        <w:rPr>
          <w:rFonts w:ascii="Times New Roman" w:hAnsi="Times New Roman"/>
          <w:b w:val="0"/>
        </w:rPr>
      </w:pPr>
      <w:bookmarkStart w:id="83" w:name="_Toc9873306"/>
      <w:r>
        <w:rPr>
          <w:rFonts w:ascii="Times New Roman" w:hAnsi="Times New Roman"/>
          <w:b w:val="0"/>
        </w:rPr>
        <w:t>1.11　评价工作程序</w:t>
      </w:r>
      <w:bookmarkEnd w:id="83"/>
    </w:p>
    <w:p>
      <w:pPr>
        <w:wordWrap w:val="0"/>
        <w:ind w:firstLine="480"/>
        <w:rPr>
          <w:rFonts w:ascii="Times New Roman" w:hAnsi="Times New Roman"/>
          <w:szCs w:val="21"/>
        </w:rPr>
      </w:pPr>
      <w:r>
        <w:rPr>
          <w:rFonts w:ascii="Times New Roman" w:hAnsi="Times New Roman"/>
          <w:sz w:val="24"/>
        </w:rPr>
        <w:t>本评价工作程序主要分为以下三个部分：（1）调查分析和工作方案制定阶段；（2）分析论证和预测评价阶段；（3）环境影响评价书编制阶段。</w:t>
      </w:r>
    </w:p>
    <w:p>
      <w:pPr>
        <w:wordWrap w:val="0"/>
        <w:rPr>
          <w:rFonts w:ascii="Times New Roman" w:hAnsi="Times New Roman"/>
          <w:szCs w:val="21"/>
        </w:rPr>
      </w:pPr>
      <w:r>
        <w:rPr>
          <w:rFonts w:ascii="Times New Roman" w:hAnsi="Times New Roman"/>
          <w:szCs w:val="21"/>
        </w:rPr>
        <mc:AlternateContent>
          <mc:Choice Requires="wpc">
            <w:drawing>
              <wp:inline distT="0" distB="0" distL="0" distR="0">
                <wp:extent cx="5181600" cy="6075680"/>
                <wp:effectExtent l="0" t="0" r="38100" b="39370"/>
                <wp:docPr id="230" name="画布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7" name="组合 676"/>
                        <wpg:cNvGrpSpPr/>
                        <wpg:grpSpPr>
                          <a:xfrm>
                            <a:off x="76298" y="132322"/>
                            <a:ext cx="4114909" cy="5679456"/>
                            <a:chOff x="2546" y="5798"/>
                            <a:chExt cx="5555" cy="7640"/>
                          </a:xfrm>
                        </wpg:grpSpPr>
                        <wps:wsp>
                          <wps:cNvPr id="198" name="文本框 677"/>
                          <wps:cNvSpPr txBox="1">
                            <a:spLocks noChangeArrowheads="1"/>
                          </wps:cNvSpPr>
                          <wps:spPr bwMode="auto">
                            <a:xfrm>
                              <a:off x="2546" y="6064"/>
                              <a:ext cx="411" cy="1155"/>
                            </a:xfrm>
                            <a:prstGeom prst="rect">
                              <a:avLst/>
                            </a:prstGeom>
                            <a:solidFill>
                              <a:srgbClr val="FFFFFF"/>
                            </a:solidFill>
                            <a:ln>
                              <a:noFill/>
                            </a:ln>
                          </wps:spPr>
                          <wps:txb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第一阶段</w:t>
                                </w:r>
                              </w:p>
                            </w:txbxContent>
                          </wps:txbx>
                          <wps:bodyPr rot="0" vert="horz" wrap="square" lIns="91440" tIns="45720" rIns="91440" bIns="45720" anchor="t" anchorCtr="0" upright="1">
                            <a:noAutofit/>
                          </wps:bodyPr>
                        </wps:wsp>
                        <wps:wsp>
                          <wps:cNvPr id="199" name="直线 678"/>
                          <wps:cNvCnPr/>
                          <wps:spPr bwMode="auto">
                            <a:xfrm>
                              <a:off x="4398" y="9618"/>
                              <a:ext cx="3086" cy="1"/>
                            </a:xfrm>
                            <a:prstGeom prst="line">
                              <a:avLst/>
                            </a:prstGeom>
                            <a:noFill/>
                            <a:ln w="9525">
                              <a:solidFill>
                                <a:srgbClr val="000000"/>
                              </a:solidFill>
                              <a:round/>
                            </a:ln>
                          </wps:spPr>
                          <wps:bodyPr/>
                        </wps:wsp>
                        <wps:wsp>
                          <wps:cNvPr id="200" name="直线 679"/>
                          <wps:cNvCnPr/>
                          <wps:spPr bwMode="auto">
                            <a:xfrm>
                              <a:off x="4398" y="9618"/>
                              <a:ext cx="1" cy="266"/>
                            </a:xfrm>
                            <a:prstGeom prst="line">
                              <a:avLst/>
                            </a:prstGeom>
                            <a:noFill/>
                            <a:ln w="9525">
                              <a:solidFill>
                                <a:srgbClr val="000000"/>
                              </a:solidFill>
                              <a:round/>
                            </a:ln>
                          </wps:spPr>
                          <wps:bodyPr/>
                        </wps:wsp>
                        <wps:wsp>
                          <wps:cNvPr id="201" name="直线 680"/>
                          <wps:cNvCnPr/>
                          <wps:spPr bwMode="auto">
                            <a:xfrm>
                              <a:off x="7484" y="9618"/>
                              <a:ext cx="1" cy="266"/>
                            </a:xfrm>
                            <a:prstGeom prst="line">
                              <a:avLst/>
                            </a:prstGeom>
                            <a:noFill/>
                            <a:ln w="9525">
                              <a:solidFill>
                                <a:srgbClr val="000000"/>
                              </a:solidFill>
                              <a:round/>
                            </a:ln>
                          </wps:spPr>
                          <wps:bodyPr/>
                        </wps:wsp>
                        <wps:wsp>
                          <wps:cNvPr id="202" name="直线 681"/>
                          <wps:cNvCnPr/>
                          <wps:spPr bwMode="auto">
                            <a:xfrm>
                              <a:off x="4398" y="10862"/>
                              <a:ext cx="3086" cy="1"/>
                            </a:xfrm>
                            <a:prstGeom prst="line">
                              <a:avLst/>
                            </a:prstGeom>
                            <a:noFill/>
                            <a:ln w="9525">
                              <a:solidFill>
                                <a:srgbClr val="000000"/>
                              </a:solidFill>
                              <a:round/>
                            </a:ln>
                          </wps:spPr>
                          <wps:bodyPr/>
                        </wps:wsp>
                        <wps:wsp>
                          <wps:cNvPr id="203" name="直线 682"/>
                          <wps:cNvCnPr/>
                          <wps:spPr bwMode="auto">
                            <a:xfrm flipV="1">
                              <a:off x="4398" y="10595"/>
                              <a:ext cx="1" cy="267"/>
                            </a:xfrm>
                            <a:prstGeom prst="line">
                              <a:avLst/>
                            </a:prstGeom>
                            <a:noFill/>
                            <a:ln w="9525">
                              <a:solidFill>
                                <a:srgbClr val="000000"/>
                              </a:solidFill>
                              <a:round/>
                            </a:ln>
                          </wps:spPr>
                          <wps:bodyPr/>
                        </wps:wsp>
                        <wps:wsp>
                          <wps:cNvPr id="204" name="直线 683"/>
                          <wps:cNvCnPr/>
                          <wps:spPr bwMode="auto">
                            <a:xfrm flipV="1">
                              <a:off x="7484" y="10595"/>
                              <a:ext cx="1" cy="267"/>
                            </a:xfrm>
                            <a:prstGeom prst="line">
                              <a:avLst/>
                            </a:prstGeom>
                            <a:noFill/>
                            <a:ln w="9525">
                              <a:solidFill>
                                <a:srgbClr val="000000"/>
                              </a:solidFill>
                              <a:round/>
                            </a:ln>
                          </wps:spPr>
                          <wps:bodyPr/>
                        </wps:wsp>
                        <wps:wsp>
                          <wps:cNvPr id="205" name="文本框 684"/>
                          <wps:cNvSpPr txBox="1">
                            <a:spLocks noChangeArrowheads="1"/>
                          </wps:cNvSpPr>
                          <wps:spPr bwMode="auto">
                            <a:xfrm>
                              <a:off x="2546" y="10151"/>
                              <a:ext cx="411" cy="1155"/>
                            </a:xfrm>
                            <a:prstGeom prst="rect">
                              <a:avLst/>
                            </a:prstGeom>
                            <a:solidFill>
                              <a:srgbClr val="FFFFFF"/>
                            </a:solidFill>
                            <a:ln>
                              <a:noFill/>
                            </a:ln>
                          </wps:spPr>
                          <wps:txb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第二阶段</w:t>
                                </w:r>
                              </w:p>
                            </w:txbxContent>
                          </wps:txbx>
                          <wps:bodyPr rot="0" vert="horz" wrap="square" lIns="91440" tIns="45720" rIns="91440" bIns="45720" anchor="t" anchorCtr="0" upright="1">
                            <a:noAutofit/>
                          </wps:bodyPr>
                        </wps:wsp>
                        <wps:wsp>
                          <wps:cNvPr id="206" name="文本框 685"/>
                          <wps:cNvSpPr txBox="1">
                            <a:spLocks noChangeArrowheads="1"/>
                          </wps:cNvSpPr>
                          <wps:spPr bwMode="auto">
                            <a:xfrm>
                              <a:off x="2546" y="12283"/>
                              <a:ext cx="411" cy="1155"/>
                            </a:xfrm>
                            <a:prstGeom prst="rect">
                              <a:avLst/>
                            </a:prstGeom>
                            <a:solidFill>
                              <a:srgbClr val="FFFFFF"/>
                            </a:solidFill>
                            <a:ln>
                              <a:noFill/>
                            </a:ln>
                          </wps:spPr>
                          <wps:txb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第三阶段</w:t>
                                </w:r>
                              </w:p>
                            </w:txbxContent>
                          </wps:txbx>
                          <wps:bodyPr rot="0" vert="horz" wrap="square" lIns="91440" tIns="45720" rIns="91440" bIns="45720" anchor="t" anchorCtr="0" upright="1">
                            <a:noAutofit/>
                          </wps:bodyPr>
                        </wps:wsp>
                        <wps:wsp>
                          <wps:cNvPr id="207" name="直线 686"/>
                          <wps:cNvCnPr/>
                          <wps:spPr bwMode="auto">
                            <a:xfrm>
                              <a:off x="5939" y="6240"/>
                              <a:ext cx="1" cy="268"/>
                            </a:xfrm>
                            <a:prstGeom prst="line">
                              <a:avLst/>
                            </a:prstGeom>
                            <a:noFill/>
                            <a:ln w="9525">
                              <a:solidFill>
                                <a:srgbClr val="000000"/>
                              </a:solidFill>
                              <a:round/>
                              <a:tailEnd type="triangle" w="med" len="med"/>
                            </a:ln>
                          </wps:spPr>
                          <wps:bodyPr/>
                        </wps:wsp>
                        <wps:wsp>
                          <wps:cNvPr id="208" name="直线 687"/>
                          <wps:cNvCnPr/>
                          <wps:spPr bwMode="auto">
                            <a:xfrm>
                              <a:off x="5940" y="7485"/>
                              <a:ext cx="1" cy="268"/>
                            </a:xfrm>
                            <a:prstGeom prst="line">
                              <a:avLst/>
                            </a:prstGeom>
                            <a:noFill/>
                            <a:ln w="9525">
                              <a:solidFill>
                                <a:srgbClr val="000000"/>
                              </a:solidFill>
                              <a:round/>
                              <a:tailEnd type="triangle" w="med" len="med"/>
                            </a:ln>
                          </wps:spPr>
                          <wps:bodyPr/>
                        </wps:wsp>
                        <wps:wsp>
                          <wps:cNvPr id="209" name="直线 688"/>
                          <wps:cNvCnPr/>
                          <wps:spPr bwMode="auto">
                            <a:xfrm>
                              <a:off x="5941" y="8640"/>
                              <a:ext cx="1" cy="267"/>
                            </a:xfrm>
                            <a:prstGeom prst="line">
                              <a:avLst/>
                            </a:prstGeom>
                            <a:noFill/>
                            <a:ln w="9525">
                              <a:solidFill>
                                <a:srgbClr val="000000"/>
                              </a:solidFill>
                              <a:round/>
                              <a:tailEnd type="triangle" w="med" len="med"/>
                            </a:ln>
                          </wps:spPr>
                          <wps:bodyPr/>
                        </wps:wsp>
                        <wps:wsp>
                          <wps:cNvPr id="210" name="直线 689"/>
                          <wps:cNvCnPr/>
                          <wps:spPr bwMode="auto">
                            <a:xfrm>
                              <a:off x="5941" y="9351"/>
                              <a:ext cx="1" cy="267"/>
                            </a:xfrm>
                            <a:prstGeom prst="line">
                              <a:avLst/>
                            </a:prstGeom>
                            <a:noFill/>
                            <a:ln w="9525">
                              <a:solidFill>
                                <a:srgbClr val="000000"/>
                              </a:solidFill>
                              <a:round/>
                              <a:tailEnd type="triangle" w="med" len="med"/>
                            </a:ln>
                          </wps:spPr>
                          <wps:bodyPr/>
                        </wps:wsp>
                        <wps:wsp>
                          <wps:cNvPr id="211" name="直线 690"/>
                          <wps:cNvCnPr/>
                          <wps:spPr bwMode="auto">
                            <a:xfrm>
                              <a:off x="5941" y="10862"/>
                              <a:ext cx="1" cy="355"/>
                            </a:xfrm>
                            <a:prstGeom prst="line">
                              <a:avLst/>
                            </a:prstGeom>
                            <a:noFill/>
                            <a:ln w="9525">
                              <a:solidFill>
                                <a:srgbClr val="000000"/>
                              </a:solidFill>
                              <a:round/>
                              <a:tailEnd type="triangle" w="med" len="med"/>
                            </a:ln>
                          </wps:spPr>
                          <wps:bodyPr/>
                        </wps:wsp>
                        <wps:wsp>
                          <wps:cNvPr id="212" name="直线 691"/>
                          <wps:cNvCnPr/>
                          <wps:spPr bwMode="auto">
                            <a:xfrm>
                              <a:off x="5940" y="12994"/>
                              <a:ext cx="1" cy="267"/>
                            </a:xfrm>
                            <a:prstGeom prst="line">
                              <a:avLst/>
                            </a:prstGeom>
                            <a:noFill/>
                            <a:ln w="9525">
                              <a:solidFill>
                                <a:srgbClr val="000000"/>
                              </a:solidFill>
                              <a:round/>
                              <a:tailEnd type="triangle" w="med" len="med"/>
                            </a:ln>
                          </wps:spPr>
                          <wps:bodyPr/>
                        </wps:wsp>
                        <wps:wsp>
                          <wps:cNvPr id="213" name="直线 692"/>
                          <wps:cNvCnPr/>
                          <wps:spPr bwMode="auto">
                            <a:xfrm>
                              <a:off x="5941" y="11839"/>
                              <a:ext cx="1" cy="267"/>
                            </a:xfrm>
                            <a:prstGeom prst="line">
                              <a:avLst/>
                            </a:prstGeom>
                            <a:noFill/>
                            <a:ln w="9525">
                              <a:solidFill>
                                <a:srgbClr val="000000"/>
                              </a:solidFill>
                              <a:round/>
                              <a:tailEnd type="triangle" w="med" len="med"/>
                            </a:ln>
                          </wps:spPr>
                          <wps:bodyPr/>
                        </wps:wsp>
                        <wps:wsp>
                          <wps:cNvPr id="214" name="文本框 693"/>
                          <wps:cNvSpPr txBox="1">
                            <a:spLocks noChangeArrowheads="1"/>
                          </wps:cNvSpPr>
                          <wps:spPr bwMode="auto">
                            <a:xfrm>
                              <a:off x="4088" y="5798"/>
                              <a:ext cx="3703" cy="445"/>
                            </a:xfrm>
                            <a:prstGeom prst="rect">
                              <a:avLst/>
                            </a:prstGeom>
                            <a:solidFill>
                              <a:srgbClr val="FFFFFF"/>
                            </a:solidFill>
                            <a:ln w="9525">
                              <a:solidFill>
                                <a:srgbClr val="000000"/>
                              </a:solidFill>
                              <a:miter lim="800000"/>
                            </a:ln>
                          </wps:spPr>
                          <wps:txbx>
                            <w:txbxContent>
                              <w:p>
                                <w:pPr>
                                  <w:autoSpaceDE w:val="0"/>
                                  <w:autoSpaceDN w:val="0"/>
                                  <w:adjustRightInd w:val="0"/>
                                  <w:snapToGrid w:val="0"/>
                                  <w:jc w:val="center"/>
                                  <w:rPr>
                                    <w:sz w:val="21"/>
                                    <w:szCs w:val="21"/>
                                  </w:rPr>
                                </w:pPr>
                                <w:r>
                                  <w:rPr>
                                    <w:rFonts w:hint="eastAsia"/>
                                    <w:sz w:val="21"/>
                                    <w:szCs w:val="21"/>
                                  </w:rPr>
                                  <w:t>依据相关规定确定环境影响评价文件类型</w:t>
                                </w:r>
                              </w:p>
                            </w:txbxContent>
                          </wps:txbx>
                          <wps:bodyPr rot="0" vert="horz" wrap="square" lIns="91440" tIns="45720" rIns="91440" bIns="45720" anchor="t" anchorCtr="0" upright="1">
                            <a:noAutofit/>
                          </wps:bodyPr>
                        </wps:wsp>
                        <wps:wsp>
                          <wps:cNvPr id="215" name="文本框 694"/>
                          <wps:cNvSpPr txBox="1">
                            <a:spLocks noChangeArrowheads="1"/>
                          </wps:cNvSpPr>
                          <wps:spPr bwMode="auto">
                            <a:xfrm>
                              <a:off x="3985" y="6508"/>
                              <a:ext cx="3909" cy="977"/>
                            </a:xfrm>
                            <a:prstGeom prst="rect">
                              <a:avLst/>
                            </a:prstGeom>
                            <a:solidFill>
                              <a:srgbClr val="FFFFFF"/>
                            </a:solidFill>
                            <a:ln w="9525">
                              <a:solidFill>
                                <a:srgbClr val="000000"/>
                              </a:solidFill>
                              <a:miter lim="800000"/>
                            </a:ln>
                          </wps:spPr>
                          <wps:txbx>
                            <w:txbxContent>
                              <w:p>
                                <w:pPr>
                                  <w:pStyle w:val="110"/>
                                  <w:snapToGrid w:val="0"/>
                                  <w:jc w:val="center"/>
                                  <w:rPr>
                                    <w:rFonts w:ascii="Times New Roman" w:eastAsia="宋体" w:cs="Times New Roman"/>
                                    <w:sz w:val="21"/>
                                    <w:szCs w:val="21"/>
                                  </w:rPr>
                                </w:pPr>
                                <w:r>
                                  <w:rPr>
                                    <w:rFonts w:ascii="Times New Roman" w:eastAsia="宋体" w:cs="Times New Roman"/>
                                    <w:sz w:val="21"/>
                                    <w:szCs w:val="21"/>
                                  </w:rPr>
                                  <w:t>1研究相关技术文件和其他有关文件</w:t>
                                </w:r>
                              </w:p>
                              <w:p>
                                <w:pPr>
                                  <w:autoSpaceDE w:val="0"/>
                                  <w:autoSpaceDN w:val="0"/>
                                  <w:adjustRightInd w:val="0"/>
                                  <w:snapToGrid w:val="0"/>
                                  <w:jc w:val="center"/>
                                  <w:rPr>
                                    <w:sz w:val="21"/>
                                    <w:szCs w:val="21"/>
                                  </w:rPr>
                                </w:pPr>
                                <w:r>
                                  <w:rPr>
                                    <w:sz w:val="21"/>
                                    <w:szCs w:val="21"/>
                                  </w:rPr>
                                  <w:t>2</w:t>
                                </w:r>
                                <w:r>
                                  <w:rPr>
                                    <w:rFonts w:hAnsi="宋体"/>
                                    <w:sz w:val="21"/>
                                    <w:szCs w:val="21"/>
                                  </w:rPr>
                                  <w:t>进行初步工程分析</w:t>
                                </w:r>
                              </w:p>
                              <w:p>
                                <w:pPr>
                                  <w:autoSpaceDE w:val="0"/>
                                  <w:autoSpaceDN w:val="0"/>
                                  <w:adjustRightInd w:val="0"/>
                                  <w:snapToGrid w:val="0"/>
                                  <w:jc w:val="center"/>
                                  <w:rPr>
                                    <w:sz w:val="21"/>
                                    <w:szCs w:val="21"/>
                                  </w:rPr>
                                </w:pPr>
                                <w:r>
                                  <w:rPr>
                                    <w:sz w:val="21"/>
                                    <w:szCs w:val="21"/>
                                  </w:rPr>
                                  <w:t>3</w:t>
                                </w:r>
                                <w:r>
                                  <w:rPr>
                                    <w:rFonts w:hAnsi="宋体"/>
                                    <w:sz w:val="21"/>
                                    <w:szCs w:val="21"/>
                                  </w:rPr>
                                  <w:t>开展初步的环境状况调查</w:t>
                                </w:r>
                              </w:p>
                            </w:txbxContent>
                          </wps:txbx>
                          <wps:bodyPr rot="0" vert="horz" wrap="square" lIns="91440" tIns="45720" rIns="91440" bIns="45720" anchor="t" anchorCtr="0" upright="1">
                            <a:noAutofit/>
                          </wps:bodyPr>
                        </wps:wsp>
                        <wps:wsp>
                          <wps:cNvPr id="216" name="文本框 695"/>
                          <wps:cNvSpPr txBox="1">
                            <a:spLocks noChangeArrowheads="1"/>
                          </wps:cNvSpPr>
                          <wps:spPr bwMode="auto">
                            <a:xfrm>
                              <a:off x="3986" y="7752"/>
                              <a:ext cx="3908" cy="888"/>
                            </a:xfrm>
                            <a:prstGeom prst="rect">
                              <a:avLst/>
                            </a:prstGeom>
                            <a:solidFill>
                              <a:srgbClr val="FFFFFF"/>
                            </a:solidFill>
                            <a:ln w="9525">
                              <a:solidFill>
                                <a:srgbClr val="000000"/>
                              </a:solidFill>
                              <a:miter lim="800000"/>
                            </a:ln>
                          </wps:spPr>
                          <wps:txbx>
                            <w:txbxContent>
                              <w:p>
                                <w:pPr>
                                  <w:pStyle w:val="110"/>
                                  <w:snapToGrid w:val="0"/>
                                  <w:jc w:val="center"/>
                                  <w:rPr>
                                    <w:rFonts w:ascii="Times New Roman" w:eastAsia="宋体" w:cs="Times New Roman"/>
                                    <w:color w:val="auto"/>
                                    <w:sz w:val="21"/>
                                    <w:szCs w:val="21"/>
                                  </w:rPr>
                                </w:pPr>
                                <w:r>
                                  <w:rPr>
                                    <w:rFonts w:ascii="Times New Roman" w:eastAsia="宋体" w:cs="Times New Roman"/>
                                    <w:color w:val="auto"/>
                                    <w:sz w:val="21"/>
                                    <w:szCs w:val="21"/>
                                  </w:rPr>
                                  <w:t>1环境影响识别与评价因子筛选</w:t>
                                </w:r>
                              </w:p>
                              <w:p>
                                <w:pPr>
                                  <w:autoSpaceDE w:val="0"/>
                                  <w:autoSpaceDN w:val="0"/>
                                  <w:adjustRightInd w:val="0"/>
                                  <w:snapToGrid w:val="0"/>
                                  <w:spacing w:line="240" w:lineRule="auto"/>
                                  <w:jc w:val="center"/>
                                  <w:rPr>
                                    <w:sz w:val="21"/>
                                    <w:szCs w:val="21"/>
                                  </w:rPr>
                                </w:pPr>
                                <w:r>
                                  <w:rPr>
                                    <w:sz w:val="21"/>
                                    <w:szCs w:val="21"/>
                                  </w:rPr>
                                  <w:t>2</w:t>
                                </w:r>
                                <w:r>
                                  <w:rPr>
                                    <w:rFonts w:hAnsi="宋体"/>
                                    <w:sz w:val="21"/>
                                    <w:szCs w:val="21"/>
                                  </w:rPr>
                                  <w:t>明确评价重点和环境保护目标</w:t>
                                </w:r>
                              </w:p>
                              <w:p>
                                <w:pPr>
                                  <w:autoSpaceDE w:val="0"/>
                                  <w:autoSpaceDN w:val="0"/>
                                  <w:adjustRightInd w:val="0"/>
                                  <w:snapToGrid w:val="0"/>
                                  <w:spacing w:line="240" w:lineRule="auto"/>
                                  <w:jc w:val="center"/>
                                  <w:rPr>
                                    <w:sz w:val="21"/>
                                    <w:szCs w:val="21"/>
                                  </w:rPr>
                                </w:pPr>
                                <w:r>
                                  <w:rPr>
                                    <w:sz w:val="21"/>
                                    <w:szCs w:val="21"/>
                                  </w:rPr>
                                  <w:t>3</w:t>
                                </w:r>
                                <w:r>
                                  <w:rPr>
                                    <w:rFonts w:hAnsi="宋体"/>
                                    <w:sz w:val="21"/>
                                    <w:szCs w:val="21"/>
                                  </w:rPr>
                                  <w:t>确定工作等级、评价范围和评价标准</w:t>
                                </w:r>
                              </w:p>
                            </w:txbxContent>
                          </wps:txbx>
                          <wps:bodyPr rot="0" vert="horz" wrap="square" lIns="91440" tIns="45720" rIns="91440" bIns="45720" anchor="t" anchorCtr="0" upright="1">
                            <a:noAutofit/>
                          </wps:bodyPr>
                        </wps:wsp>
                        <wps:wsp>
                          <wps:cNvPr id="217" name="文本框 696"/>
                          <wps:cNvSpPr txBox="1">
                            <a:spLocks noChangeArrowheads="1"/>
                          </wps:cNvSpPr>
                          <wps:spPr bwMode="auto">
                            <a:xfrm>
                              <a:off x="4810" y="8907"/>
                              <a:ext cx="2262" cy="444"/>
                            </a:xfrm>
                            <a:prstGeom prst="rect">
                              <a:avLst/>
                            </a:prstGeom>
                            <a:solidFill>
                              <a:srgbClr val="FFFFFF"/>
                            </a:solidFill>
                            <a:ln w="9525">
                              <a:solidFill>
                                <a:srgbClr val="000000"/>
                              </a:solidFill>
                              <a:miter lim="800000"/>
                            </a:ln>
                          </wps:spPr>
                          <wps:txbx>
                            <w:txbxContent>
                              <w:p>
                                <w:pPr>
                                  <w:autoSpaceDE w:val="0"/>
                                  <w:autoSpaceDN w:val="0"/>
                                  <w:adjustRightInd w:val="0"/>
                                  <w:snapToGrid w:val="0"/>
                                  <w:jc w:val="center"/>
                                  <w:rPr>
                                    <w:sz w:val="21"/>
                                    <w:szCs w:val="21"/>
                                  </w:rPr>
                                </w:pPr>
                                <w:r>
                                  <w:rPr>
                                    <w:rFonts w:hAnsi="宋体"/>
                                    <w:sz w:val="21"/>
                                    <w:szCs w:val="21"/>
                                  </w:rPr>
                                  <w:t>制定工作方案</w:t>
                                </w:r>
                              </w:p>
                            </w:txbxContent>
                          </wps:txbx>
                          <wps:bodyPr rot="0" vert="horz" wrap="square" lIns="91440" tIns="45720" rIns="91440" bIns="45720" anchor="t" anchorCtr="0" upright="1">
                            <a:noAutofit/>
                          </wps:bodyPr>
                        </wps:wsp>
                        <wps:wsp>
                          <wps:cNvPr id="218" name="文本框 697"/>
                          <wps:cNvSpPr txBox="1">
                            <a:spLocks noChangeArrowheads="1"/>
                          </wps:cNvSpPr>
                          <wps:spPr bwMode="auto">
                            <a:xfrm>
                              <a:off x="3677" y="9884"/>
                              <a:ext cx="1440" cy="711"/>
                            </a:xfrm>
                            <a:prstGeom prst="rect">
                              <a:avLst/>
                            </a:prstGeom>
                            <a:solidFill>
                              <a:srgbClr val="FFFFFF"/>
                            </a:solidFill>
                            <a:ln w="9525">
                              <a:solidFill>
                                <a:srgbClr val="000000"/>
                              </a:solidFill>
                              <a:miter lim="800000"/>
                            </a:ln>
                          </wps:spPr>
                          <wps:txbx>
                            <w:txbxContent>
                              <w:p>
                                <w:pPr>
                                  <w:autoSpaceDE w:val="0"/>
                                  <w:autoSpaceDN w:val="0"/>
                                  <w:adjustRightInd w:val="0"/>
                                  <w:snapToGrid w:val="0"/>
                                  <w:jc w:val="center"/>
                                  <w:rPr>
                                    <w:rFonts w:hAnsi="宋体"/>
                                    <w:sz w:val="21"/>
                                    <w:szCs w:val="21"/>
                                  </w:rPr>
                                </w:pPr>
                                <w:r>
                                  <w:rPr>
                                    <w:rFonts w:hAnsi="宋体"/>
                                    <w:sz w:val="21"/>
                                    <w:szCs w:val="21"/>
                                  </w:rPr>
                                  <w:t>环境</w:t>
                                </w:r>
                                <w:r>
                                  <w:rPr>
                                    <w:rFonts w:hint="eastAsia" w:hAnsi="宋体"/>
                                    <w:sz w:val="21"/>
                                    <w:szCs w:val="21"/>
                                  </w:rPr>
                                  <w:t>现状</w:t>
                                </w:r>
                                <w:r>
                                  <w:rPr>
                                    <w:rFonts w:hAnsi="宋体"/>
                                    <w:sz w:val="21"/>
                                    <w:szCs w:val="21"/>
                                  </w:rPr>
                                  <w:t>调查</w:t>
                                </w:r>
                              </w:p>
                              <w:p>
                                <w:pPr>
                                  <w:autoSpaceDE w:val="0"/>
                                  <w:autoSpaceDN w:val="0"/>
                                  <w:adjustRightInd w:val="0"/>
                                  <w:snapToGrid w:val="0"/>
                                  <w:jc w:val="center"/>
                                  <w:rPr>
                                    <w:sz w:val="21"/>
                                    <w:szCs w:val="21"/>
                                  </w:rPr>
                                </w:pPr>
                                <w:r>
                                  <w:rPr>
                                    <w:rFonts w:hAnsi="宋体"/>
                                    <w:sz w:val="21"/>
                                    <w:szCs w:val="21"/>
                                  </w:rPr>
                                  <w:t>监测与评价</w:t>
                                </w:r>
                              </w:p>
                            </w:txbxContent>
                          </wps:txbx>
                          <wps:bodyPr rot="0" vert="horz" wrap="square" lIns="91440" tIns="45720" rIns="91440" bIns="45720" anchor="t" anchorCtr="0" upright="1">
                            <a:noAutofit/>
                          </wps:bodyPr>
                        </wps:wsp>
                        <wps:wsp>
                          <wps:cNvPr id="219" name="文本框 698"/>
                          <wps:cNvSpPr txBox="1">
                            <a:spLocks noChangeArrowheads="1"/>
                          </wps:cNvSpPr>
                          <wps:spPr bwMode="auto">
                            <a:xfrm>
                              <a:off x="6970" y="9884"/>
                              <a:ext cx="1131" cy="711"/>
                            </a:xfrm>
                            <a:prstGeom prst="rect">
                              <a:avLst/>
                            </a:prstGeom>
                            <a:solidFill>
                              <a:srgbClr val="FFFFFF"/>
                            </a:solidFill>
                            <a:ln w="9525">
                              <a:solidFill>
                                <a:srgbClr val="000000"/>
                              </a:solidFill>
                              <a:miter lim="800000"/>
                            </a:ln>
                          </wps:spPr>
                          <wps:txbx>
                            <w:txbxContent>
                              <w:p>
                                <w:pPr>
                                  <w:autoSpaceDE w:val="0"/>
                                  <w:autoSpaceDN w:val="0"/>
                                  <w:adjustRightInd w:val="0"/>
                                  <w:snapToGrid w:val="0"/>
                                  <w:jc w:val="center"/>
                                  <w:rPr>
                                    <w:rFonts w:hAnsi="宋体"/>
                                    <w:sz w:val="21"/>
                                    <w:szCs w:val="21"/>
                                  </w:rPr>
                                </w:pPr>
                                <w:r>
                                  <w:rPr>
                                    <w:rFonts w:hAnsi="宋体"/>
                                    <w:sz w:val="21"/>
                                    <w:szCs w:val="21"/>
                                  </w:rPr>
                                  <w:t>建设项目</w:t>
                                </w:r>
                              </w:p>
                              <w:p>
                                <w:pPr>
                                  <w:adjustRightInd w:val="0"/>
                                  <w:snapToGrid w:val="0"/>
                                  <w:jc w:val="center"/>
                                  <w:rPr>
                                    <w:sz w:val="21"/>
                                    <w:szCs w:val="21"/>
                                  </w:rPr>
                                </w:pPr>
                                <w:r>
                                  <w:rPr>
                                    <w:rFonts w:hAnsi="宋体"/>
                                    <w:sz w:val="21"/>
                                    <w:szCs w:val="21"/>
                                  </w:rPr>
                                  <w:t>工程分析</w:t>
                                </w:r>
                              </w:p>
                            </w:txbxContent>
                          </wps:txbx>
                          <wps:bodyPr rot="0" vert="horz" wrap="square" lIns="91440" tIns="45720" rIns="91440" bIns="45720" anchor="t" anchorCtr="0" upright="1">
                            <a:noAutofit/>
                          </wps:bodyPr>
                        </wps:wsp>
                        <wps:wsp>
                          <wps:cNvPr id="220" name="文本框 699"/>
                          <wps:cNvSpPr txBox="1">
                            <a:spLocks noChangeArrowheads="1"/>
                          </wps:cNvSpPr>
                          <wps:spPr bwMode="auto">
                            <a:xfrm>
                              <a:off x="4090" y="11217"/>
                              <a:ext cx="3702" cy="622"/>
                            </a:xfrm>
                            <a:prstGeom prst="rect">
                              <a:avLst/>
                            </a:prstGeom>
                            <a:solidFill>
                              <a:srgbClr val="FFFFFF"/>
                            </a:solidFill>
                            <a:ln w="9525">
                              <a:solidFill>
                                <a:srgbClr val="000000"/>
                              </a:solidFill>
                              <a:miter lim="800000"/>
                            </a:ln>
                          </wps:spPr>
                          <wps:txb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1</w:t>
                                </w:r>
                                <w:r>
                                  <w:rPr>
                                    <w:rFonts w:ascii="Times New Roman" w:eastAsia="宋体" w:cs="Times New Roman"/>
                                    <w:sz w:val="21"/>
                                    <w:szCs w:val="21"/>
                                  </w:rPr>
                                  <w:t>各环境要素环境影响预测与评价</w:t>
                                </w:r>
                              </w:p>
                              <w:p>
                                <w:pPr>
                                  <w:autoSpaceDE w:val="0"/>
                                  <w:autoSpaceDN w:val="0"/>
                                  <w:adjustRightInd w:val="0"/>
                                  <w:snapToGrid w:val="0"/>
                                  <w:jc w:val="center"/>
                                  <w:rPr>
                                    <w:sz w:val="21"/>
                                    <w:szCs w:val="21"/>
                                  </w:rPr>
                                </w:pPr>
                                <w:r>
                                  <w:rPr>
                                    <w:rFonts w:hint="eastAsia" w:hAnsi="宋体"/>
                                    <w:sz w:val="21"/>
                                    <w:szCs w:val="21"/>
                                  </w:rPr>
                                  <w:t>2</w:t>
                                </w:r>
                                <w:r>
                                  <w:rPr>
                                    <w:rFonts w:hAnsi="宋体"/>
                                    <w:sz w:val="21"/>
                                    <w:szCs w:val="21"/>
                                  </w:rPr>
                                  <w:t>各专题环境影响分析与评价</w:t>
                                </w:r>
                              </w:p>
                            </w:txbxContent>
                          </wps:txbx>
                          <wps:bodyPr rot="0" vert="horz" wrap="square" lIns="91440" tIns="45720" rIns="91440" bIns="45720" anchor="t" anchorCtr="0" upright="1">
                            <a:noAutofit/>
                          </wps:bodyPr>
                        </wps:wsp>
                        <wps:wsp>
                          <wps:cNvPr id="221" name="文本框 700"/>
                          <wps:cNvSpPr txBox="1">
                            <a:spLocks noChangeArrowheads="1"/>
                          </wps:cNvSpPr>
                          <wps:spPr bwMode="auto">
                            <a:xfrm>
                              <a:off x="4090" y="12105"/>
                              <a:ext cx="3703" cy="889"/>
                            </a:xfrm>
                            <a:prstGeom prst="rect">
                              <a:avLst/>
                            </a:prstGeom>
                            <a:solidFill>
                              <a:srgbClr val="FFFFFF"/>
                            </a:solidFill>
                            <a:ln w="9525">
                              <a:solidFill>
                                <a:srgbClr val="000000"/>
                              </a:solidFill>
                              <a:miter lim="800000"/>
                            </a:ln>
                          </wps:spPr>
                          <wps:txbx>
                            <w:txbxContent>
                              <w:p>
                                <w:pPr>
                                  <w:pStyle w:val="110"/>
                                  <w:snapToGrid w:val="0"/>
                                  <w:jc w:val="center"/>
                                  <w:rPr>
                                    <w:rFonts w:ascii="Times New Roman" w:eastAsia="宋体" w:cs="Times New Roman"/>
                                    <w:sz w:val="21"/>
                                    <w:szCs w:val="21"/>
                                  </w:rPr>
                                </w:pPr>
                                <w:r>
                                  <w:rPr>
                                    <w:rFonts w:ascii="Times New Roman" w:eastAsia="宋体" w:cs="Times New Roman"/>
                                    <w:sz w:val="21"/>
                                    <w:szCs w:val="21"/>
                                  </w:rPr>
                                  <w:t>1提出环境保护措施，进行技术经济论证</w:t>
                                </w:r>
                              </w:p>
                              <w:p>
                                <w:pPr>
                                  <w:adjustRightInd w:val="0"/>
                                  <w:snapToGrid w:val="0"/>
                                  <w:spacing w:line="240" w:lineRule="auto"/>
                                  <w:ind w:firstLine="420"/>
                                  <w:jc w:val="center"/>
                                  <w:rPr>
                                    <w:rFonts w:hAnsi="宋体"/>
                                    <w:sz w:val="21"/>
                                    <w:szCs w:val="21"/>
                                  </w:rPr>
                                </w:pPr>
                                <w:r>
                                  <w:rPr>
                                    <w:sz w:val="21"/>
                                    <w:szCs w:val="21"/>
                                  </w:rPr>
                                  <w:t>2</w:t>
                                </w:r>
                                <w:r>
                                  <w:rPr>
                                    <w:rFonts w:hAnsi="宋体"/>
                                    <w:sz w:val="21"/>
                                    <w:szCs w:val="21"/>
                                  </w:rPr>
                                  <w:t>给出</w:t>
                                </w:r>
                                <w:r>
                                  <w:rPr>
                                    <w:rFonts w:hint="eastAsia" w:hAnsi="宋体"/>
                                    <w:sz w:val="21"/>
                                    <w:szCs w:val="21"/>
                                  </w:rPr>
                                  <w:t>污染物</w:t>
                                </w:r>
                                <w:r>
                                  <w:rPr>
                                    <w:rFonts w:hAnsi="宋体"/>
                                    <w:sz w:val="21"/>
                                    <w:szCs w:val="21"/>
                                  </w:rPr>
                                  <w:t>排放清单</w:t>
                                </w:r>
                              </w:p>
                              <w:p>
                                <w:pPr>
                                  <w:adjustRightInd w:val="0"/>
                                  <w:snapToGrid w:val="0"/>
                                  <w:spacing w:line="240" w:lineRule="auto"/>
                                  <w:ind w:firstLine="420"/>
                                  <w:jc w:val="center"/>
                                  <w:rPr>
                                    <w:szCs w:val="21"/>
                                  </w:rPr>
                                </w:pPr>
                                <w:r>
                                  <w:rPr>
                                    <w:rFonts w:hint="eastAsia"/>
                                    <w:sz w:val="21"/>
                                    <w:szCs w:val="21"/>
                                  </w:rPr>
                                  <w:t>3给出建设项目环境影响评价</w:t>
                                </w:r>
                                <w:r>
                                  <w:rPr>
                                    <w:rFonts w:hint="eastAsia"/>
                                    <w:szCs w:val="21"/>
                                  </w:rPr>
                                  <w:t>结论</w:t>
                                </w:r>
                              </w:p>
                            </w:txbxContent>
                          </wps:txbx>
                          <wps:bodyPr rot="0" vert="horz" wrap="square" lIns="91440" tIns="45720" rIns="91440" bIns="45720" anchor="t" anchorCtr="0" upright="1">
                            <a:noAutofit/>
                          </wps:bodyPr>
                        </wps:wsp>
                      </wpg:wgp>
                      <wps:wsp>
                        <wps:cNvPr id="222" name="文本框 701"/>
                        <wps:cNvSpPr txBox="1">
                          <a:spLocks noChangeArrowheads="1"/>
                        </wps:cNvSpPr>
                        <wps:spPr bwMode="auto">
                          <a:xfrm>
                            <a:off x="1676335" y="5679456"/>
                            <a:ext cx="1827449" cy="330063"/>
                          </a:xfrm>
                          <a:prstGeom prst="rect">
                            <a:avLst/>
                          </a:prstGeom>
                          <a:solidFill>
                            <a:srgbClr val="FFFFFF"/>
                          </a:solidFill>
                          <a:ln w="9525">
                            <a:solidFill>
                              <a:srgbClr val="000000"/>
                            </a:solidFill>
                            <a:miter lim="800000"/>
                          </a:ln>
                        </wps:spPr>
                        <wps:txbx>
                          <w:txbxContent>
                            <w:p>
                              <w:pPr>
                                <w:autoSpaceDE w:val="0"/>
                                <w:autoSpaceDN w:val="0"/>
                                <w:adjustRightInd w:val="0"/>
                                <w:snapToGrid w:val="0"/>
                                <w:ind w:left="420" w:hanging="420"/>
                                <w:jc w:val="center"/>
                                <w:rPr>
                                  <w:sz w:val="21"/>
                                  <w:szCs w:val="21"/>
                                </w:rPr>
                              </w:pPr>
                              <w:r>
                                <w:rPr>
                                  <w:rFonts w:hAnsi="宋体"/>
                                  <w:sz w:val="21"/>
                                  <w:szCs w:val="21"/>
                                </w:rPr>
                                <w:t>编制环境影响</w:t>
                              </w:r>
                              <w:r>
                                <w:rPr>
                                  <w:rFonts w:hint="eastAsia" w:hAnsi="宋体"/>
                                  <w:sz w:val="21"/>
                                  <w:szCs w:val="21"/>
                                </w:rPr>
                                <w:t>报告书</w:t>
                              </w:r>
                            </w:p>
                          </w:txbxContent>
                        </wps:txbx>
                        <wps:bodyPr rot="0" vert="horz" wrap="square" lIns="91440" tIns="45720" rIns="91440" bIns="45720" anchor="t" anchorCtr="0" upright="1">
                          <a:noAutofit/>
                        </wps:bodyPr>
                      </wps:wsp>
                      <wpg:wgp>
                        <wpg:cNvPr id="223" name="组合 702"/>
                        <wpg:cNvGrpSpPr/>
                        <wpg:grpSpPr>
                          <a:xfrm>
                            <a:off x="0" y="66161"/>
                            <a:ext cx="5181600" cy="6009519"/>
                            <a:chOff x="2443" y="4642"/>
                            <a:chExt cx="7304" cy="9240"/>
                          </a:xfrm>
                        </wpg:grpSpPr>
                        <wps:wsp>
                          <wps:cNvPr id="224" name="直线 703"/>
                          <wps:cNvCnPr/>
                          <wps:spPr bwMode="auto">
                            <a:xfrm>
                              <a:off x="2443" y="4642"/>
                              <a:ext cx="7303" cy="1"/>
                            </a:xfrm>
                            <a:prstGeom prst="line">
                              <a:avLst/>
                            </a:prstGeom>
                            <a:noFill/>
                            <a:ln w="9525">
                              <a:solidFill>
                                <a:srgbClr val="000000"/>
                              </a:solidFill>
                              <a:prstDash val="sysDot"/>
                              <a:round/>
                            </a:ln>
                          </wps:spPr>
                          <wps:bodyPr/>
                        </wps:wsp>
                        <wps:wsp>
                          <wps:cNvPr id="225" name="直线 704"/>
                          <wps:cNvCnPr/>
                          <wps:spPr bwMode="auto">
                            <a:xfrm>
                              <a:off x="2443" y="4642"/>
                              <a:ext cx="1" cy="9239"/>
                            </a:xfrm>
                            <a:prstGeom prst="line">
                              <a:avLst/>
                            </a:prstGeom>
                            <a:noFill/>
                            <a:ln w="9525">
                              <a:solidFill>
                                <a:srgbClr val="000000"/>
                              </a:solidFill>
                              <a:prstDash val="sysDot"/>
                              <a:round/>
                            </a:ln>
                          </wps:spPr>
                          <wps:bodyPr/>
                        </wps:wsp>
                        <wps:wsp>
                          <wps:cNvPr id="226" name="直线 705"/>
                          <wps:cNvCnPr/>
                          <wps:spPr bwMode="auto">
                            <a:xfrm>
                              <a:off x="2443" y="13881"/>
                              <a:ext cx="7303" cy="1"/>
                            </a:xfrm>
                            <a:prstGeom prst="line">
                              <a:avLst/>
                            </a:prstGeom>
                            <a:noFill/>
                            <a:ln w="9525">
                              <a:solidFill>
                                <a:srgbClr val="000000"/>
                              </a:solidFill>
                              <a:prstDash val="sysDot"/>
                              <a:round/>
                            </a:ln>
                          </wps:spPr>
                          <wps:bodyPr/>
                        </wps:wsp>
                        <wps:wsp>
                          <wps:cNvPr id="227" name="直线 706"/>
                          <wps:cNvCnPr/>
                          <wps:spPr bwMode="auto">
                            <a:xfrm flipV="1">
                              <a:off x="9746" y="4642"/>
                              <a:ext cx="1" cy="9239"/>
                            </a:xfrm>
                            <a:prstGeom prst="line">
                              <a:avLst/>
                            </a:prstGeom>
                            <a:noFill/>
                            <a:ln w="9525">
                              <a:solidFill>
                                <a:srgbClr val="000000"/>
                              </a:solidFill>
                              <a:prstDash val="sysDot"/>
                              <a:round/>
                            </a:ln>
                          </wps:spPr>
                          <wps:bodyPr/>
                        </wps:wsp>
                      </wpg:wgp>
                      <wps:wsp>
                        <wps:cNvPr id="228" name="直线 707"/>
                        <wps:cNvCnPr/>
                        <wps:spPr bwMode="auto">
                          <a:xfrm>
                            <a:off x="0" y="2839728"/>
                            <a:ext cx="5181600" cy="743"/>
                          </a:xfrm>
                          <a:prstGeom prst="line">
                            <a:avLst/>
                          </a:prstGeom>
                          <a:noFill/>
                          <a:ln w="9525">
                            <a:solidFill>
                              <a:srgbClr val="000000"/>
                            </a:solidFill>
                            <a:prstDash val="sysDot"/>
                            <a:round/>
                          </a:ln>
                        </wps:spPr>
                        <wps:bodyPr/>
                      </wps:wsp>
                      <wps:wsp>
                        <wps:cNvPr id="229" name="直线 708"/>
                        <wps:cNvCnPr/>
                        <wps:spPr bwMode="auto">
                          <a:xfrm>
                            <a:off x="0" y="4688525"/>
                            <a:ext cx="5181600" cy="743"/>
                          </a:xfrm>
                          <a:prstGeom prst="line">
                            <a:avLst/>
                          </a:prstGeom>
                          <a:noFill/>
                          <a:ln w="9525">
                            <a:solidFill>
                              <a:srgbClr val="000000"/>
                            </a:solidFill>
                            <a:prstDash val="sysDot"/>
                            <a:round/>
                          </a:ln>
                        </wps:spPr>
                        <wps:bodyPr/>
                      </wps:wsp>
                    </wpc:wpc>
                  </a:graphicData>
                </a:graphic>
              </wp:inline>
            </w:drawing>
          </mc:Choice>
          <mc:Fallback>
            <w:pict>
              <v:group id="_x0000_s1026" o:spid="_x0000_s1026" o:spt="203" style="height:478.4pt;width:408pt;" coordsize="5181600,6075680" editas="canvas" o:gfxdata="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Meon&#10;bdYAAAAFAQAADwAAAAAAAAABACAAAAAiAAAAZHJzL2Rvd25yZXYueG1sUEsBAhQAFAAAAAgAh07i&#10;QGnu3jV8BwAA30QAAA4AAAAAAAAAAQAgAAAAJQEAAGRycy9lMm9Eb2MueG1sUEsFBgAAAAAGAAYA&#10;WQEAABMLAAAAAA==&#10;">
                <o:lock v:ext="edit" aspectratio="f"/>
                <v:shape id="_x0000_s1026" o:spid="_x0000_s1026" style="position:absolute;left:0;top:0;height:6075680;width:5181600;" filled="f" stroked="f" coordsize="21600,21600" o:gfxdata="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">
                  <v:fill on="f" focussize="0,0"/>
                  <v:stroke on="f"/>
                  <v:imagedata o:title=""/>
                  <o:lock v:ext="edit" aspectratio="t"/>
                </v:shape>
                <v:group id="组合 676" o:spid="_x0000_s1026" o:spt="203" style="position:absolute;left:76298;top:132322;height:5679456;width:4114909;" coordorigin="2546,5798" coordsize="5555,7640" o:gfxdata="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pvFmFtYAAAAFAQAADwAAAAAAAAABACAAAAAiAAAAZHJz&#10;L2Rvd25yZXYueG1sUEsBAhQAFAAAAAgAh07iQFyNt58IBgAAbzUAAA4AAAAAAAAAAQAgAAAAJQEA&#10;AGRycy9lMm9Eb2MueG1sUEsFBgAAAAAGAAYAWQEAAJ8JAAAAAA==&#10;">
                  <o:lock v:ext="edit" aspectratio="f"/>
                  <v:shape id="文本框 677" o:spid="_x0000_s1026" o:spt="202" type="#_x0000_t202" style="position:absolute;left:2546;top:6064;height:1155;width:411;" fillcolor="#FFFFFF" filled="t" stroked="f" coordsize="21600,21600" o:gfxdata="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vtEd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第一阶段</w:t>
                          </w:r>
                        </w:p>
                      </w:txbxContent>
                    </v:textbox>
                  </v:shape>
                  <v:line id="直线 678" o:spid="_x0000_s1026" o:spt="20" style="position:absolute;left:4398;top:9618;height:1;width:3086;" filled="f" stroked="t" coordsize="21600,21600" o:gfxdata="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aU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79" o:spid="_x0000_s1026" o:spt="20" style="position:absolute;left:4398;top:9618;height:266;width:1;"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80" o:spid="_x0000_s1026" o:spt="20" style="position:absolute;left:7484;top:9618;height:266;width:1;" filled="f" stroked="t" coordsize="21600,21600"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81" o:spid="_x0000_s1026" o:spt="20" style="position:absolute;left:4398;top:10862;height:1;width:3086;" filled="f" stroked="t" coordsize="21600,2160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82" o:spid="_x0000_s1026" o:spt="20" style="position:absolute;left:4398;top:10595;flip:y;height:267;width:1;" filled="f" stroked="t" coordsize="21600,2160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83" o:spid="_x0000_s1026" o:spt="20" style="position:absolute;left:7484;top:10595;flip:y;height:267;width:1;"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684" o:spid="_x0000_s1026" o:spt="202" type="#_x0000_t202" style="position:absolute;left:2546;top:10151;height:1155;width:411;" fillcolor="#FFFFFF" filled="t" stroked="f" coordsize="21600,21600" o:gfxdata="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Ip4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第二阶段</w:t>
                          </w:r>
                        </w:p>
                      </w:txbxContent>
                    </v:textbox>
                  </v:shape>
                  <v:shape id="文本框 685" o:spid="_x0000_s1026" o:spt="202" type="#_x0000_t202" style="position:absolute;left:2546;top:12283;height:1155;width:411;" fillcolor="#FFFFFF" filled="t" stroked="f" coordsize="21600,21600" o:gfxdata="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IUD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第三阶段</w:t>
                          </w:r>
                        </w:p>
                      </w:txbxContent>
                    </v:textbox>
                  </v:shape>
                  <v:line id="直线 686" o:spid="_x0000_s1026" o:spt="20" style="position:absolute;left:5939;top:6240;height:268;width:1;" filled="f" stroked="t" coordsize="21600,21600" o:gfxdata="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B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87" o:spid="_x0000_s1026" o:spt="20" style="position:absolute;left:5940;top:7485;height:268;width:1;"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88" o:spid="_x0000_s1026" o:spt="20" style="position:absolute;left:5941;top:8640;height:267;width:1;" filled="f" stroked="t" coordsize="21600,21600" o:gfxdata="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iN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89" o:spid="_x0000_s1026" o:spt="20" style="position:absolute;left:5941;top:9351;height:267;width:1;" filled="f" stroked="t" coordsize="21600,21600" o:gfxdata="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EJF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90" o:spid="_x0000_s1026" o:spt="20" style="position:absolute;left:5941;top:10862;height:355;width:1;" filled="f" stroked="t" coordsize="21600,21600" o:gfxdata="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r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91" o:spid="_x0000_s1026" o:spt="20" style="position:absolute;left:5940;top:12994;height:267;width:1;"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92" o:spid="_x0000_s1026" o:spt="20" style="position:absolute;left:5941;top:11839;height:267;width:1;" filled="f" stroked="t" coordsize="21600,21600" o:gfxdata="UEsDBAoAAAAAAIdO4kAAAAAAAAAAAAAAAAAEAAAAZHJzL1BLAwQUAAAACACHTuJASJOXYL8AAADc&#10;AAAADwAAAGRycy9kb3ducmV2LnhtbEWPT4vCMBTE7wt+h/CEva1pXVh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Tl2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93" o:spid="_x0000_s1026" o:spt="202" type="#_x0000_t202" style="position:absolute;left:4088;top:5798;height:445;width:3703;"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autoSpaceDE w:val="0"/>
                            <w:autoSpaceDN w:val="0"/>
                            <w:adjustRightInd w:val="0"/>
                            <w:snapToGrid w:val="0"/>
                            <w:jc w:val="center"/>
                            <w:rPr>
                              <w:sz w:val="21"/>
                              <w:szCs w:val="21"/>
                            </w:rPr>
                          </w:pPr>
                          <w:r>
                            <w:rPr>
                              <w:rFonts w:hint="eastAsia"/>
                              <w:sz w:val="21"/>
                              <w:szCs w:val="21"/>
                            </w:rPr>
                            <w:t>依据相关规定确定环境影响评价文件类型</w:t>
                          </w:r>
                        </w:p>
                      </w:txbxContent>
                    </v:textbox>
                  </v:shape>
                  <v:shape id="文本框 694" o:spid="_x0000_s1026" o:spt="202" type="#_x0000_t202" style="position:absolute;left:3985;top:6508;height:977;width:3909;" fillcolor="#FFFFFF" filled="t" stroked="t" coordsize="21600,21600" o:gfxdata="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S&#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pStyle w:val="110"/>
                            <w:snapToGrid w:val="0"/>
                            <w:jc w:val="center"/>
                            <w:rPr>
                              <w:rFonts w:ascii="Times New Roman" w:eastAsia="宋体" w:cs="Times New Roman"/>
                              <w:sz w:val="21"/>
                              <w:szCs w:val="21"/>
                            </w:rPr>
                          </w:pPr>
                          <w:r>
                            <w:rPr>
                              <w:rFonts w:ascii="Times New Roman" w:eastAsia="宋体" w:cs="Times New Roman"/>
                              <w:sz w:val="21"/>
                              <w:szCs w:val="21"/>
                            </w:rPr>
                            <w:t>1研究相关技术文件和其他有关文件</w:t>
                          </w:r>
                        </w:p>
                        <w:p>
                          <w:pPr>
                            <w:autoSpaceDE w:val="0"/>
                            <w:autoSpaceDN w:val="0"/>
                            <w:adjustRightInd w:val="0"/>
                            <w:snapToGrid w:val="0"/>
                            <w:jc w:val="center"/>
                            <w:rPr>
                              <w:sz w:val="21"/>
                              <w:szCs w:val="21"/>
                            </w:rPr>
                          </w:pPr>
                          <w:r>
                            <w:rPr>
                              <w:sz w:val="21"/>
                              <w:szCs w:val="21"/>
                            </w:rPr>
                            <w:t>2</w:t>
                          </w:r>
                          <w:r>
                            <w:rPr>
                              <w:rFonts w:hAnsi="宋体"/>
                              <w:sz w:val="21"/>
                              <w:szCs w:val="21"/>
                            </w:rPr>
                            <w:t>进行初步工程分析</w:t>
                          </w:r>
                        </w:p>
                        <w:p>
                          <w:pPr>
                            <w:autoSpaceDE w:val="0"/>
                            <w:autoSpaceDN w:val="0"/>
                            <w:adjustRightInd w:val="0"/>
                            <w:snapToGrid w:val="0"/>
                            <w:jc w:val="center"/>
                            <w:rPr>
                              <w:sz w:val="21"/>
                              <w:szCs w:val="21"/>
                            </w:rPr>
                          </w:pPr>
                          <w:r>
                            <w:rPr>
                              <w:sz w:val="21"/>
                              <w:szCs w:val="21"/>
                            </w:rPr>
                            <w:t>3</w:t>
                          </w:r>
                          <w:r>
                            <w:rPr>
                              <w:rFonts w:hAnsi="宋体"/>
                              <w:sz w:val="21"/>
                              <w:szCs w:val="21"/>
                            </w:rPr>
                            <w:t>开展初步的环境状况调查</w:t>
                          </w:r>
                        </w:p>
                      </w:txbxContent>
                    </v:textbox>
                  </v:shape>
                  <v:shape id="文本框 695" o:spid="_x0000_s1026" o:spt="202" type="#_x0000_t202" style="position:absolute;left:3986;top:7752;height:888;width:3908;" fillcolor="#FFFFFF" filled="t" stroked="t" coordsize="21600,21600" o:gfxdata="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8e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110"/>
                            <w:snapToGrid w:val="0"/>
                            <w:jc w:val="center"/>
                            <w:rPr>
                              <w:rFonts w:ascii="Times New Roman" w:eastAsia="宋体" w:cs="Times New Roman"/>
                              <w:color w:val="auto"/>
                              <w:sz w:val="21"/>
                              <w:szCs w:val="21"/>
                            </w:rPr>
                          </w:pPr>
                          <w:r>
                            <w:rPr>
                              <w:rFonts w:ascii="Times New Roman" w:eastAsia="宋体" w:cs="Times New Roman"/>
                              <w:color w:val="auto"/>
                              <w:sz w:val="21"/>
                              <w:szCs w:val="21"/>
                            </w:rPr>
                            <w:t>1环境影响识别与评价因子筛选</w:t>
                          </w:r>
                        </w:p>
                        <w:p>
                          <w:pPr>
                            <w:autoSpaceDE w:val="0"/>
                            <w:autoSpaceDN w:val="0"/>
                            <w:adjustRightInd w:val="0"/>
                            <w:snapToGrid w:val="0"/>
                            <w:spacing w:line="240" w:lineRule="auto"/>
                            <w:jc w:val="center"/>
                            <w:rPr>
                              <w:sz w:val="21"/>
                              <w:szCs w:val="21"/>
                            </w:rPr>
                          </w:pPr>
                          <w:r>
                            <w:rPr>
                              <w:sz w:val="21"/>
                              <w:szCs w:val="21"/>
                            </w:rPr>
                            <w:t>2</w:t>
                          </w:r>
                          <w:r>
                            <w:rPr>
                              <w:rFonts w:hAnsi="宋体"/>
                              <w:sz w:val="21"/>
                              <w:szCs w:val="21"/>
                            </w:rPr>
                            <w:t>明确评价重点和环境保护目标</w:t>
                          </w:r>
                        </w:p>
                        <w:p>
                          <w:pPr>
                            <w:autoSpaceDE w:val="0"/>
                            <w:autoSpaceDN w:val="0"/>
                            <w:adjustRightInd w:val="0"/>
                            <w:snapToGrid w:val="0"/>
                            <w:spacing w:line="240" w:lineRule="auto"/>
                            <w:jc w:val="center"/>
                            <w:rPr>
                              <w:sz w:val="21"/>
                              <w:szCs w:val="21"/>
                            </w:rPr>
                          </w:pPr>
                          <w:r>
                            <w:rPr>
                              <w:sz w:val="21"/>
                              <w:szCs w:val="21"/>
                            </w:rPr>
                            <w:t>3</w:t>
                          </w:r>
                          <w:r>
                            <w:rPr>
                              <w:rFonts w:hAnsi="宋体"/>
                              <w:sz w:val="21"/>
                              <w:szCs w:val="21"/>
                            </w:rPr>
                            <w:t>确定工作等级、评价范围和评价标准</w:t>
                          </w:r>
                        </w:p>
                      </w:txbxContent>
                    </v:textbox>
                  </v:shape>
                  <v:shape id="文本框 696" o:spid="_x0000_s1026" o:spt="202" type="#_x0000_t202" style="position:absolute;left:4810;top:8907;height:444;width:2262;"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autoSpaceDE w:val="0"/>
                            <w:autoSpaceDN w:val="0"/>
                            <w:adjustRightInd w:val="0"/>
                            <w:snapToGrid w:val="0"/>
                            <w:jc w:val="center"/>
                            <w:rPr>
                              <w:sz w:val="21"/>
                              <w:szCs w:val="21"/>
                            </w:rPr>
                          </w:pPr>
                          <w:r>
                            <w:rPr>
                              <w:rFonts w:hAnsi="宋体"/>
                              <w:sz w:val="21"/>
                              <w:szCs w:val="21"/>
                            </w:rPr>
                            <w:t>制定工作方案</w:t>
                          </w:r>
                        </w:p>
                      </w:txbxContent>
                    </v:textbox>
                  </v:shape>
                  <v:shape id="文本框 697" o:spid="_x0000_s1026" o:spt="202" type="#_x0000_t202" style="position:absolute;left:3677;top:9884;height:711;width:1440;" fillcolor="#FFFFFF" filled="t" stroked="t" coordsize="21600,21600" o:gfxdata="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EwA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autoSpaceDE w:val="0"/>
                            <w:autoSpaceDN w:val="0"/>
                            <w:adjustRightInd w:val="0"/>
                            <w:snapToGrid w:val="0"/>
                            <w:jc w:val="center"/>
                            <w:rPr>
                              <w:rFonts w:hAnsi="宋体"/>
                              <w:sz w:val="21"/>
                              <w:szCs w:val="21"/>
                            </w:rPr>
                          </w:pPr>
                          <w:r>
                            <w:rPr>
                              <w:rFonts w:hAnsi="宋体"/>
                              <w:sz w:val="21"/>
                              <w:szCs w:val="21"/>
                            </w:rPr>
                            <w:t>环境</w:t>
                          </w:r>
                          <w:r>
                            <w:rPr>
                              <w:rFonts w:hint="eastAsia" w:hAnsi="宋体"/>
                              <w:sz w:val="21"/>
                              <w:szCs w:val="21"/>
                            </w:rPr>
                            <w:t>现状</w:t>
                          </w:r>
                          <w:r>
                            <w:rPr>
                              <w:rFonts w:hAnsi="宋体"/>
                              <w:sz w:val="21"/>
                              <w:szCs w:val="21"/>
                            </w:rPr>
                            <w:t>调查</w:t>
                          </w:r>
                        </w:p>
                        <w:p>
                          <w:pPr>
                            <w:autoSpaceDE w:val="0"/>
                            <w:autoSpaceDN w:val="0"/>
                            <w:adjustRightInd w:val="0"/>
                            <w:snapToGrid w:val="0"/>
                            <w:jc w:val="center"/>
                            <w:rPr>
                              <w:sz w:val="21"/>
                              <w:szCs w:val="21"/>
                            </w:rPr>
                          </w:pPr>
                          <w:r>
                            <w:rPr>
                              <w:rFonts w:hAnsi="宋体"/>
                              <w:sz w:val="21"/>
                              <w:szCs w:val="21"/>
                            </w:rPr>
                            <w:t>监测与评价</w:t>
                          </w:r>
                        </w:p>
                      </w:txbxContent>
                    </v:textbox>
                  </v:shape>
                  <v:shape id="文本框 698" o:spid="_x0000_s1026" o:spt="202" type="#_x0000_t202" style="position:absolute;left:6970;top:9884;height:711;width:1131;" fillcolor="#FFFFFF" filled="t" stroked="t" coordsize="21600,21600" o:gfxdata="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ZZ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autoSpaceDE w:val="0"/>
                            <w:autoSpaceDN w:val="0"/>
                            <w:adjustRightInd w:val="0"/>
                            <w:snapToGrid w:val="0"/>
                            <w:jc w:val="center"/>
                            <w:rPr>
                              <w:rFonts w:hAnsi="宋体"/>
                              <w:sz w:val="21"/>
                              <w:szCs w:val="21"/>
                            </w:rPr>
                          </w:pPr>
                          <w:r>
                            <w:rPr>
                              <w:rFonts w:hAnsi="宋体"/>
                              <w:sz w:val="21"/>
                              <w:szCs w:val="21"/>
                            </w:rPr>
                            <w:t>建设项目</w:t>
                          </w:r>
                        </w:p>
                        <w:p>
                          <w:pPr>
                            <w:adjustRightInd w:val="0"/>
                            <w:snapToGrid w:val="0"/>
                            <w:jc w:val="center"/>
                            <w:rPr>
                              <w:sz w:val="21"/>
                              <w:szCs w:val="21"/>
                            </w:rPr>
                          </w:pPr>
                          <w:r>
                            <w:rPr>
                              <w:rFonts w:hAnsi="宋体"/>
                              <w:sz w:val="21"/>
                              <w:szCs w:val="21"/>
                            </w:rPr>
                            <w:t>工程分析</w:t>
                          </w:r>
                        </w:p>
                      </w:txbxContent>
                    </v:textbox>
                  </v:shape>
                  <v:shape id="文本框 699" o:spid="_x0000_s1026" o:spt="202" type="#_x0000_t202" style="position:absolute;left:4090;top:11217;height:622;width:3702;" fillcolor="#FFFFFF" filled="t" stroked="t" coordsize="21600,21600" o:gfxdata="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eBre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110"/>
                            <w:snapToGrid w:val="0"/>
                            <w:jc w:val="center"/>
                            <w:rPr>
                              <w:rFonts w:ascii="Times New Roman" w:eastAsia="宋体" w:cs="Times New Roman"/>
                              <w:sz w:val="21"/>
                              <w:szCs w:val="21"/>
                            </w:rPr>
                          </w:pPr>
                          <w:r>
                            <w:rPr>
                              <w:rFonts w:hint="eastAsia" w:ascii="Times New Roman" w:eastAsia="宋体" w:cs="Times New Roman"/>
                              <w:sz w:val="21"/>
                              <w:szCs w:val="21"/>
                            </w:rPr>
                            <w:t>1</w:t>
                          </w:r>
                          <w:r>
                            <w:rPr>
                              <w:rFonts w:ascii="Times New Roman" w:eastAsia="宋体" w:cs="Times New Roman"/>
                              <w:sz w:val="21"/>
                              <w:szCs w:val="21"/>
                            </w:rPr>
                            <w:t>各环境要素环境影响预测与评价</w:t>
                          </w:r>
                        </w:p>
                        <w:p>
                          <w:pPr>
                            <w:autoSpaceDE w:val="0"/>
                            <w:autoSpaceDN w:val="0"/>
                            <w:adjustRightInd w:val="0"/>
                            <w:snapToGrid w:val="0"/>
                            <w:jc w:val="center"/>
                            <w:rPr>
                              <w:sz w:val="21"/>
                              <w:szCs w:val="21"/>
                            </w:rPr>
                          </w:pPr>
                          <w:r>
                            <w:rPr>
                              <w:rFonts w:hint="eastAsia" w:hAnsi="宋体"/>
                              <w:sz w:val="21"/>
                              <w:szCs w:val="21"/>
                            </w:rPr>
                            <w:t>2</w:t>
                          </w:r>
                          <w:r>
                            <w:rPr>
                              <w:rFonts w:hAnsi="宋体"/>
                              <w:sz w:val="21"/>
                              <w:szCs w:val="21"/>
                            </w:rPr>
                            <w:t>各专题环境影响分析与评价</w:t>
                          </w:r>
                        </w:p>
                      </w:txbxContent>
                    </v:textbox>
                  </v:shape>
                  <v:shape id="文本框 700" o:spid="_x0000_s1026" o:spt="202" type="#_x0000_t202" style="position:absolute;left:4090;top:12105;height:889;width:3703;" fillcolor="#FFFFFF" filled="t" stroked="t" coordsize="21600,21600" o:gfxdata="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oy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pStyle w:val="110"/>
                            <w:snapToGrid w:val="0"/>
                            <w:jc w:val="center"/>
                            <w:rPr>
                              <w:rFonts w:ascii="Times New Roman" w:eastAsia="宋体" w:cs="Times New Roman"/>
                              <w:sz w:val="21"/>
                              <w:szCs w:val="21"/>
                            </w:rPr>
                          </w:pPr>
                          <w:r>
                            <w:rPr>
                              <w:rFonts w:ascii="Times New Roman" w:eastAsia="宋体" w:cs="Times New Roman"/>
                              <w:sz w:val="21"/>
                              <w:szCs w:val="21"/>
                            </w:rPr>
                            <w:t>1提出环境保护措施，进行技术经济论证</w:t>
                          </w:r>
                        </w:p>
                        <w:p>
                          <w:pPr>
                            <w:adjustRightInd w:val="0"/>
                            <w:snapToGrid w:val="0"/>
                            <w:spacing w:line="240" w:lineRule="auto"/>
                            <w:ind w:firstLine="420"/>
                            <w:jc w:val="center"/>
                            <w:rPr>
                              <w:rFonts w:hAnsi="宋体"/>
                              <w:sz w:val="21"/>
                              <w:szCs w:val="21"/>
                            </w:rPr>
                          </w:pPr>
                          <w:r>
                            <w:rPr>
                              <w:sz w:val="21"/>
                              <w:szCs w:val="21"/>
                            </w:rPr>
                            <w:t>2</w:t>
                          </w:r>
                          <w:r>
                            <w:rPr>
                              <w:rFonts w:hAnsi="宋体"/>
                              <w:sz w:val="21"/>
                              <w:szCs w:val="21"/>
                            </w:rPr>
                            <w:t>给出</w:t>
                          </w:r>
                          <w:r>
                            <w:rPr>
                              <w:rFonts w:hint="eastAsia" w:hAnsi="宋体"/>
                              <w:sz w:val="21"/>
                              <w:szCs w:val="21"/>
                            </w:rPr>
                            <w:t>污染物</w:t>
                          </w:r>
                          <w:r>
                            <w:rPr>
                              <w:rFonts w:hAnsi="宋体"/>
                              <w:sz w:val="21"/>
                              <w:szCs w:val="21"/>
                            </w:rPr>
                            <w:t>排放清单</w:t>
                          </w:r>
                        </w:p>
                        <w:p>
                          <w:pPr>
                            <w:adjustRightInd w:val="0"/>
                            <w:snapToGrid w:val="0"/>
                            <w:spacing w:line="240" w:lineRule="auto"/>
                            <w:ind w:firstLine="420"/>
                            <w:jc w:val="center"/>
                            <w:rPr>
                              <w:szCs w:val="21"/>
                            </w:rPr>
                          </w:pPr>
                          <w:r>
                            <w:rPr>
                              <w:rFonts w:hint="eastAsia"/>
                              <w:sz w:val="21"/>
                              <w:szCs w:val="21"/>
                            </w:rPr>
                            <w:t>3给出建设项目环境影响评价</w:t>
                          </w:r>
                          <w:r>
                            <w:rPr>
                              <w:rFonts w:hint="eastAsia"/>
                              <w:szCs w:val="21"/>
                            </w:rPr>
                            <w:t>结论</w:t>
                          </w:r>
                        </w:p>
                      </w:txbxContent>
                    </v:textbox>
                  </v:shape>
                </v:group>
                <v:shape id="文本框 701" o:spid="_x0000_s1026" o:spt="202" type="#_x0000_t202" style="position:absolute;left:1676335;top:5679456;height:330063;width:1827449;" fillcolor="#FFFFFF" filled="t" stroked="t" coordsize="21600,21600" o:gfxdata="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BgIS1QAAAAUBAAAPAAAAAAAAAAEAIAAAACIAAABkcnMvZG93bnJldi54bWxQ&#10;SwECFAAUAAAACACHTuJAuvce3DMCAABJBAAADgAAAAAAAAABACAAAAAkAQAAZHJzL2Uyb0RvYy54&#10;bWxQSwUGAAAAAAYABgBZAQAAyQUAAAAA&#10;">
                  <v:fill on="t" focussize="0,0"/>
                  <v:stroke color="#000000" miterlimit="8" joinstyle="miter"/>
                  <v:imagedata o:title=""/>
                  <o:lock v:ext="edit" aspectratio="f"/>
                  <v:textbox>
                    <w:txbxContent>
                      <w:p>
                        <w:pPr>
                          <w:autoSpaceDE w:val="0"/>
                          <w:autoSpaceDN w:val="0"/>
                          <w:adjustRightInd w:val="0"/>
                          <w:snapToGrid w:val="0"/>
                          <w:ind w:left="420" w:hanging="420"/>
                          <w:jc w:val="center"/>
                          <w:rPr>
                            <w:sz w:val="21"/>
                            <w:szCs w:val="21"/>
                          </w:rPr>
                        </w:pPr>
                        <w:r>
                          <w:rPr>
                            <w:rFonts w:hAnsi="宋体"/>
                            <w:sz w:val="21"/>
                            <w:szCs w:val="21"/>
                          </w:rPr>
                          <w:t>编制环境影响</w:t>
                        </w:r>
                        <w:r>
                          <w:rPr>
                            <w:rFonts w:hint="eastAsia" w:hAnsi="宋体"/>
                            <w:sz w:val="21"/>
                            <w:szCs w:val="21"/>
                          </w:rPr>
                          <w:t>报告书</w:t>
                        </w:r>
                      </w:p>
                    </w:txbxContent>
                  </v:textbox>
                </v:shape>
                <v:group id="组合 702" o:spid="_x0000_s1026" o:spt="203" style="position:absolute;left:0;top:66161;height:6009519;width:5181600;" coordorigin="2443,4642" coordsize="7304,9240" o:gfxdata="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vFmFtYAAAAFAQAADwAA&#10;AAAAAAABACAAAAAiAAAAZHJzL2Rvd25yZXYueG1sUEsBAhQAFAAAAAgAh07iQP43dS2KAgAAnAkA&#10;AA4AAAAAAAAAAQAgAAAAJQEAAGRycy9lMm9Eb2MueG1sUEsFBgAAAAAGAAYAWQEAACEGAAAAAA==&#10;">
                  <o:lock v:ext="edit" aspectratio="f"/>
                  <v:line id="直线 703" o:spid="_x0000_s1026" o:spt="20" style="position:absolute;left:2443;top:4642;height:1;width:7303;" filled="f" stroked="t" coordsize="21600,21600" o:gfxdata="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8i37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line id="直线 704" o:spid="_x0000_s1026" o:spt="20" style="position:absolute;left:2443;top:4642;height:9239;width:1;" filled="f" stroked="t" coordsize="21600,21600" o:gfxdata="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OHRL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line id="直线 705" o:spid="_x0000_s1026" o:spt="20" style="position:absolute;left:2443;top:13881;height:1;width:7303;" filled="f" stroked="t" coordsize="21600,21600" o:gfxdata="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EZM7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line id="直线 706" o:spid="_x0000_s1026" o:spt="20" style="position:absolute;left:9746;top:4642;flip:y;height:9239;width:1;" filled="f" stroked="t" coordsize="21600,21600" o:gfxdata="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nwzvQAA&#10;ANwAAAAPAAAAAAAAAAEAIAAAACIAAABkcnMvZG93bnJldi54bWxQSwECFAAUAAAACACHTuJAMy8F&#10;njsAAAA5AAAAEAAAAAAAAAABACAAAAAMAQAAZHJzL3NoYXBleG1sLnhtbFBLBQYAAAAABgAGAFsB&#10;AAC2AwAAAAA=&#10;">
                    <v:fill on="f" focussize="0,0"/>
                    <v:stroke color="#000000" joinstyle="round" dashstyle="1 1"/>
                    <v:imagedata o:title=""/>
                    <o:lock v:ext="edit" aspectratio="f"/>
                  </v:line>
                </v:group>
                <v:line id="直线 707" o:spid="_x0000_s1026" o:spt="20" style="position:absolute;left:0;top:2839728;height:743;width:5181600;" filled="f" stroked="t" coordsize="21600,21600" o:gfxdata="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HSDL1AAAAAUBAAAPAAAAAAAAAAEAIAAAACIAAABkcnMvZG93bnJldi54bWxQSwECFAAUAAAA&#10;CACHTuJAyXirPbkBAABHAwAADgAAAAAAAAABACAAAAAjAQAAZHJzL2Uyb0RvYy54bWxQSwUGAAAA&#10;AAYABgBZAQAATgUAAAAA&#10;">
                  <v:fill on="f" focussize="0,0"/>
                  <v:stroke color="#000000" joinstyle="round" dashstyle="1 1"/>
                  <v:imagedata o:title=""/>
                  <o:lock v:ext="edit" aspectratio="f"/>
                </v:line>
                <v:line id="直线 708" o:spid="_x0000_s1026" o:spt="20" style="position:absolute;left:0;top:4688525;height:743;width:5181600;" filled="f" stroked="t" coordsize="21600,21600" o:gfxdata="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HSDL1AAAAAUBAAAPAAAAAAAAAAEAIAAAACIAAABkcnMvZG93bnJldi54bWxQSwECFAAUAAAA&#10;CACHTuJAb6vxULkBAABHAwAADgAAAAAAAAABACAAAAAjAQAAZHJzL2Uyb0RvYy54bWxQSwUGAAAA&#10;AAYABgBZAQAATgUAAAAA&#10;">
                  <v:fill on="f" focussize="0,0"/>
                  <v:stroke color="#000000" joinstyle="round" dashstyle="1 1"/>
                  <v:imagedata o:title=""/>
                  <o:lock v:ext="edit" aspectratio="f"/>
                </v:line>
                <w10:wrap type="none"/>
                <w10:anchorlock/>
              </v:group>
            </w:pict>
          </mc:Fallback>
        </mc:AlternateContent>
      </w:r>
    </w:p>
    <w:p>
      <w:pPr>
        <w:widowControl/>
        <w:wordWrap w:val="0"/>
        <w:autoSpaceDE w:val="0"/>
        <w:autoSpaceDN w:val="0"/>
        <w:jc w:val="center"/>
        <w:rPr>
          <w:rFonts w:ascii="Times New Roman" w:hAnsi="Times New Roman" w:eastAsia="黑体"/>
          <w:kern w:val="0"/>
          <w:sz w:val="21"/>
          <w:szCs w:val="21"/>
        </w:rPr>
      </w:pPr>
      <w:r>
        <w:rPr>
          <w:rFonts w:ascii="Times New Roman" w:hAnsi="Times New Roman" w:eastAsia="黑体"/>
          <w:kern w:val="0"/>
          <w:sz w:val="21"/>
          <w:szCs w:val="21"/>
        </w:rPr>
        <w:t>图1.11-1  建设项目环评工作程序框图</w:t>
      </w:r>
    </w:p>
    <w:p>
      <w:pPr>
        <w:spacing w:line="560" w:lineRule="exact"/>
        <w:ind w:firstLine="480" w:firstLineChars="200"/>
        <w:rPr>
          <w:rFonts w:ascii="Times New Roman" w:hAnsi="Times New Roman"/>
        </w:rPr>
      </w:pPr>
      <w:r>
        <w:rPr>
          <w:rFonts w:ascii="Times New Roman" w:hAnsi="Times New Roman"/>
          <w:sz w:val="24"/>
        </w:rPr>
        <w:br w:type="page"/>
      </w:r>
    </w:p>
    <w:p>
      <w:pPr>
        <w:widowControl/>
        <w:spacing w:line="240" w:lineRule="auto"/>
        <w:jc w:val="left"/>
        <w:rPr>
          <w:rFonts w:ascii="Times New Roman" w:hAnsi="Times New Roman" w:eastAsia="黑体"/>
          <w:sz w:val="36"/>
        </w:rPr>
        <w:sectPr>
          <w:footerReference r:id="rId6" w:type="default"/>
          <w:pgSz w:w="11906" w:h="16838"/>
          <w:pgMar w:top="1440" w:right="1800" w:bottom="1440" w:left="1800" w:header="851" w:footer="992" w:gutter="0"/>
          <w:pgNumType w:start="1"/>
          <w:cols w:space="425" w:num="1"/>
          <w:docGrid w:type="lines" w:linePitch="312" w:charSpace="0"/>
        </w:sectPr>
      </w:pPr>
    </w:p>
    <w:p>
      <w:pPr>
        <w:pStyle w:val="101"/>
        <w:spacing w:before="780" w:after="780"/>
        <w:rPr>
          <w:rFonts w:ascii="Times New Roman" w:hAnsi="Times New Roman"/>
        </w:rPr>
      </w:pPr>
      <w:bookmarkStart w:id="84" w:name="_Toc9873307"/>
      <w:r>
        <w:rPr>
          <w:rFonts w:ascii="Times New Roman" w:hAnsi="Times New Roman"/>
        </w:rPr>
        <w:t>第二章  建设项目概况及工程分析</w:t>
      </w:r>
      <w:bookmarkEnd w:id="21"/>
      <w:bookmarkEnd w:id="84"/>
    </w:p>
    <w:p>
      <w:pPr>
        <w:pStyle w:val="103"/>
        <w:numPr>
          <w:ilvl w:val="0"/>
          <w:numId w:val="0"/>
        </w:numPr>
        <w:rPr>
          <w:rFonts w:ascii="Times New Roman" w:hAnsi="Times New Roman"/>
          <w:b w:val="0"/>
          <w:bCs/>
          <w:kern w:val="28"/>
          <w:sz w:val="32"/>
          <w:szCs w:val="32"/>
        </w:rPr>
      </w:pPr>
      <w:bookmarkStart w:id="85" w:name="_Toc490332991"/>
      <w:bookmarkStart w:id="86" w:name="_Toc366489522"/>
      <w:bookmarkStart w:id="87" w:name="_Toc485577704"/>
      <w:bookmarkStart w:id="88" w:name="_Toc366503567"/>
      <w:bookmarkStart w:id="89" w:name="_Toc9873308"/>
      <w:bookmarkStart w:id="90" w:name="_Toc411330293"/>
      <w:bookmarkStart w:id="91" w:name="_Toc366007724"/>
      <w:bookmarkStart w:id="92" w:name="_Toc371189273"/>
      <w:r>
        <w:rPr>
          <w:rFonts w:ascii="Times New Roman" w:hAnsi="Times New Roman"/>
          <w:b w:val="0"/>
          <w:bCs/>
          <w:kern w:val="28"/>
          <w:sz w:val="32"/>
          <w:szCs w:val="32"/>
        </w:rPr>
        <w:t>2.1　现有工程概况</w:t>
      </w:r>
      <w:bookmarkEnd w:id="85"/>
      <w:bookmarkEnd w:id="86"/>
      <w:bookmarkEnd w:id="87"/>
      <w:bookmarkEnd w:id="88"/>
      <w:bookmarkEnd w:id="89"/>
      <w:bookmarkEnd w:id="90"/>
      <w:bookmarkEnd w:id="91"/>
      <w:bookmarkEnd w:id="92"/>
    </w:p>
    <w:p>
      <w:pPr>
        <w:pStyle w:val="108"/>
      </w:pPr>
      <w:bookmarkStart w:id="93" w:name="_Toc9873309"/>
      <w:r>
        <w:t>2.1.1　企业概况</w:t>
      </w:r>
      <w:bookmarkEnd w:id="93"/>
    </w:p>
    <w:p>
      <w:pPr>
        <w:pStyle w:val="109"/>
        <w:ind w:firstLine="480"/>
        <w:rPr>
          <w:szCs w:val="24"/>
        </w:rPr>
      </w:pPr>
      <w:r>
        <w:rPr>
          <w:szCs w:val="24"/>
        </w:rPr>
        <w:t>2017年成都旺江农牧科技有限公司利用成都旺江饲料有限公司年产36万吨优质饲料生产线及自有繁育场的优势，经过市场调研，在邛崃市冉义镇白玉村投资1500万元，引进目前世界先进的垂直通风系统猪舍和高产养殖技术，建设了生猪养殖基地，年出栏商品猪30000头。</w:t>
      </w:r>
    </w:p>
    <w:p>
      <w:pPr>
        <w:pStyle w:val="109"/>
        <w:ind w:firstLine="480"/>
      </w:pPr>
      <w:r>
        <w:rPr>
          <w:szCs w:val="24"/>
        </w:rPr>
        <w:t>项目占地面积约97亩（预留二期用地60亩），每年从母公司在邛崃市牟礼镇（距离本场约23公里）繁育养殖场直接引进断奶猪，仔猪在保育舍保育周期为4周，育肥周期为16周，年存栏量折合大猪为9790头。</w:t>
      </w:r>
    </w:p>
    <w:p>
      <w:pPr>
        <w:pStyle w:val="108"/>
      </w:pPr>
      <w:bookmarkStart w:id="94" w:name="_Toc9873310"/>
      <w:r>
        <w:t>2.1.2　环评工作开展情况</w:t>
      </w:r>
      <w:bookmarkEnd w:id="94"/>
    </w:p>
    <w:p>
      <w:pPr>
        <w:ind w:firstLine="480" w:firstLineChars="200"/>
        <w:rPr>
          <w:rFonts w:ascii="Times New Roman" w:hAnsi="Times New Roman"/>
          <w:sz w:val="24"/>
          <w:szCs w:val="24"/>
        </w:rPr>
      </w:pPr>
      <w:r>
        <w:rPr>
          <w:rFonts w:ascii="Times New Roman" w:hAnsi="Times New Roman"/>
          <w:sz w:val="24"/>
          <w:szCs w:val="24"/>
        </w:rPr>
        <w:t>2017 年 1月，四川省环科源科技有限公司编制完成了项目环评报告；2017年3月20 日，成都市环境保护局以成环建评[2017]58号出具了审查批复。项目于2017年4月开工建设，2018年3月竣工。</w:t>
      </w:r>
    </w:p>
    <w:p>
      <w:pPr>
        <w:pStyle w:val="108"/>
      </w:pPr>
      <w:bookmarkStart w:id="95" w:name="_Toc9873311"/>
      <w:r>
        <w:t>2.1.3　现有工程项目组成</w:t>
      </w:r>
      <w:bookmarkEnd w:id="95"/>
    </w:p>
    <w:p>
      <w:pPr>
        <w:pStyle w:val="109"/>
        <w:ind w:firstLine="480"/>
      </w:pPr>
      <w:r>
        <w:rPr>
          <w:bCs/>
          <w:szCs w:val="24"/>
        </w:rPr>
        <w:t>现有工程主要建设内容为猪只保育舍、育肥舍，粪污水深坑、干粪堆场等公辅设施以及办公生活设施。现有工程</w:t>
      </w:r>
      <w:r>
        <w:t>项目组成及主要环境问题见表2.1-1。</w:t>
      </w:r>
    </w:p>
    <w:p>
      <w:pPr>
        <w:spacing w:line="240" w:lineRule="auto"/>
        <w:jc w:val="center"/>
        <w:rPr>
          <w:rFonts w:ascii="Times New Roman" w:hAnsi="Times New Roman" w:eastAsia="黑体"/>
          <w:bCs/>
          <w:sz w:val="21"/>
          <w:szCs w:val="21"/>
        </w:rPr>
      </w:pPr>
      <w:r>
        <w:rPr>
          <w:rFonts w:ascii="Times New Roman" w:hAnsi="Times New Roman" w:eastAsia="黑体"/>
          <w:bCs/>
          <w:sz w:val="21"/>
          <w:szCs w:val="21"/>
        </w:rPr>
        <w:t>表2.1-1  现有工程项目组成及主要环境问题</w:t>
      </w:r>
    </w:p>
    <w:tbl>
      <w:tblPr>
        <w:tblStyle w:val="90"/>
        <w:tblW w:w="8515"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36"/>
        <w:gridCol w:w="1437"/>
        <w:gridCol w:w="4962"/>
        <w:gridCol w:w="118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59" w:hRule="atLeast"/>
          <w:tblHeader/>
          <w:jc w:val="center"/>
        </w:trPr>
        <w:tc>
          <w:tcPr>
            <w:tcW w:w="936" w:type="dxa"/>
            <w:vAlign w:val="center"/>
          </w:tcPr>
          <w:p>
            <w:pPr>
              <w:spacing w:line="300" w:lineRule="exact"/>
              <w:jc w:val="center"/>
              <w:rPr>
                <w:rFonts w:ascii="Times New Roman" w:hAnsi="Times New Roman" w:eastAsiaTheme="minorEastAsia"/>
                <w:b/>
                <w:bCs/>
                <w:sz w:val="21"/>
                <w:szCs w:val="21"/>
              </w:rPr>
            </w:pPr>
            <w:r>
              <w:rPr>
                <w:rFonts w:ascii="Times New Roman" w:hAnsi="Times New Roman" w:eastAsiaTheme="minorEastAsia"/>
                <w:b/>
                <w:bCs/>
                <w:sz w:val="21"/>
                <w:szCs w:val="21"/>
              </w:rPr>
              <w:t>类别</w:t>
            </w:r>
          </w:p>
        </w:tc>
        <w:tc>
          <w:tcPr>
            <w:tcW w:w="1437" w:type="dxa"/>
            <w:vAlign w:val="center"/>
          </w:tcPr>
          <w:p>
            <w:pPr>
              <w:spacing w:line="300" w:lineRule="exact"/>
              <w:jc w:val="center"/>
              <w:rPr>
                <w:rFonts w:ascii="Times New Roman" w:hAnsi="Times New Roman" w:eastAsiaTheme="minorEastAsia"/>
                <w:b/>
                <w:sz w:val="21"/>
                <w:szCs w:val="21"/>
              </w:rPr>
            </w:pPr>
            <w:r>
              <w:rPr>
                <w:rFonts w:ascii="Times New Roman" w:hAnsi="Times New Roman" w:eastAsiaTheme="minorEastAsia"/>
                <w:b/>
                <w:bCs/>
                <w:sz w:val="21"/>
                <w:szCs w:val="21"/>
              </w:rPr>
              <w:t>项目名称</w:t>
            </w:r>
          </w:p>
        </w:tc>
        <w:tc>
          <w:tcPr>
            <w:tcW w:w="4962" w:type="dxa"/>
            <w:vAlign w:val="center"/>
          </w:tcPr>
          <w:p>
            <w:pPr>
              <w:spacing w:line="300" w:lineRule="exact"/>
              <w:jc w:val="center"/>
              <w:rPr>
                <w:rFonts w:ascii="Times New Roman" w:hAnsi="Times New Roman" w:eastAsiaTheme="minorEastAsia"/>
                <w:b/>
                <w:sz w:val="21"/>
                <w:szCs w:val="21"/>
              </w:rPr>
            </w:pPr>
            <w:r>
              <w:rPr>
                <w:rFonts w:ascii="Times New Roman" w:hAnsi="Times New Roman" w:eastAsiaTheme="minorEastAsia"/>
                <w:b/>
                <w:bCs/>
                <w:sz w:val="21"/>
                <w:szCs w:val="21"/>
              </w:rPr>
              <w:t>建设内容</w:t>
            </w:r>
          </w:p>
        </w:tc>
        <w:tc>
          <w:tcPr>
            <w:tcW w:w="1180" w:type="dxa"/>
            <w:vAlign w:val="center"/>
          </w:tcPr>
          <w:p>
            <w:pPr>
              <w:spacing w:line="300" w:lineRule="exact"/>
              <w:jc w:val="center"/>
              <w:rPr>
                <w:rFonts w:ascii="Times New Roman" w:hAnsi="Times New Roman" w:eastAsiaTheme="minorEastAsia"/>
                <w:b/>
                <w:bCs/>
                <w:sz w:val="21"/>
                <w:szCs w:val="21"/>
              </w:rPr>
            </w:pPr>
            <w:r>
              <w:rPr>
                <w:rFonts w:ascii="Times New Roman" w:hAnsi="Times New Roman" w:eastAsiaTheme="minorEastAsia"/>
                <w:b/>
                <w:bCs/>
                <w:sz w:val="21"/>
                <w:szCs w:val="21"/>
              </w:rPr>
              <w:t>主要环境问题</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restart"/>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主体</w:t>
            </w:r>
          </w:p>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工程</w:t>
            </w: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保育舍</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1栋，2396.7m</w:t>
            </w:r>
            <w:r>
              <w:rPr>
                <w:rFonts w:ascii="Times New Roman" w:hAnsi="Times New Roman" w:eastAsiaTheme="minorEastAsia"/>
                <w:sz w:val="21"/>
                <w:szCs w:val="21"/>
                <w:vertAlign w:val="superscript"/>
              </w:rPr>
              <w:t>2</w:t>
            </w:r>
            <w:r>
              <w:rPr>
                <w:rFonts w:ascii="Times New Roman" w:hAnsi="Times New Roman" w:eastAsiaTheme="minorEastAsia"/>
                <w:sz w:val="21"/>
                <w:szCs w:val="21"/>
              </w:rPr>
              <w:t>，包括全自动通风、喂料系统等</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废气、废水、噪声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育肥舍</w:t>
            </w:r>
          </w:p>
        </w:tc>
        <w:tc>
          <w:tcPr>
            <w:tcW w:w="4962" w:type="dxa"/>
            <w:vAlign w:val="center"/>
          </w:tcPr>
          <w:p>
            <w:pPr>
              <w:spacing w:line="270" w:lineRule="exact"/>
              <w:jc w:val="left"/>
              <w:rPr>
                <w:rFonts w:ascii="Times New Roman" w:hAnsi="Times New Roman" w:eastAsiaTheme="minorEastAsia"/>
                <w:sz w:val="21"/>
                <w:szCs w:val="21"/>
              </w:rPr>
            </w:pPr>
            <w:r>
              <w:rPr>
                <w:rFonts w:ascii="Times New Roman" w:hAnsi="Times New Roman" w:eastAsiaTheme="minorEastAsia"/>
                <w:sz w:val="21"/>
                <w:szCs w:val="21"/>
              </w:rPr>
              <w:t>3栋，7662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，包括全自动通风、喂料系统等</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废气、废水、噪声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污粪发酵</w:t>
            </w:r>
          </w:p>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深坑</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位于圈舍、保育舍和育肥舍下方，总容积26822 m</w:t>
            </w:r>
            <w:r>
              <w:rPr>
                <w:rFonts w:ascii="Times New Roman" w:hAnsi="Times New Roman" w:eastAsiaTheme="minorEastAsia"/>
                <w:sz w:val="21"/>
                <w:szCs w:val="21"/>
                <w:vertAlign w:val="superscript"/>
              </w:rPr>
              <w:t>3</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干粪堆场</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位于育肥舍东面，占地面积200m</w:t>
            </w:r>
            <w:r>
              <w:rPr>
                <w:rFonts w:ascii="Times New Roman" w:hAnsi="Times New Roman" w:eastAsiaTheme="minorEastAsia"/>
                <w:sz w:val="21"/>
                <w:szCs w:val="21"/>
                <w:vertAlign w:val="superscript"/>
              </w:rPr>
              <w:t>2</w:t>
            </w:r>
            <w:r>
              <w:rPr>
                <w:rFonts w:ascii="Times New Roman" w:hAnsi="Times New Roman" w:eastAsiaTheme="minorEastAsia"/>
                <w:sz w:val="21"/>
                <w:szCs w:val="21"/>
              </w:rPr>
              <w:t>，干粪堆积在干粪堆场</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restart"/>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辅助</w:t>
            </w:r>
          </w:p>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工程</w:t>
            </w: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兽医室</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建筑面积35m</w:t>
            </w:r>
            <w:r>
              <w:rPr>
                <w:rFonts w:ascii="Times New Roman" w:hAnsi="Times New Roman" w:eastAsiaTheme="minorEastAsia"/>
                <w:sz w:val="21"/>
                <w:szCs w:val="21"/>
                <w:vertAlign w:val="superscript"/>
              </w:rPr>
              <w:t>2</w:t>
            </w:r>
            <w:r>
              <w:rPr>
                <w:rFonts w:ascii="Times New Roman" w:hAnsi="Times New Roman" w:eastAsiaTheme="minorEastAsia"/>
                <w:sz w:val="21"/>
                <w:szCs w:val="21"/>
              </w:rPr>
              <w:t>，</w:t>
            </w:r>
            <w:r>
              <w:rPr>
                <w:rFonts w:ascii="Times New Roman" w:hAnsi="Times New Roman" w:eastAsiaTheme="minorEastAsia"/>
                <w:bCs/>
                <w:sz w:val="21"/>
                <w:szCs w:val="21"/>
              </w:rPr>
              <w:t>位于厂区西南侧，</w:t>
            </w:r>
            <w:r>
              <w:rPr>
                <w:rFonts w:ascii="Times New Roman" w:hAnsi="Times New Roman" w:eastAsiaTheme="minorEastAsia"/>
                <w:sz w:val="21"/>
                <w:szCs w:val="21"/>
              </w:rPr>
              <w:t>配置医疗设备等</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固废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饲料系统</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bCs/>
                <w:sz w:val="21"/>
                <w:szCs w:val="21"/>
              </w:rPr>
              <w:t>项目在保育舍和育肥舍圈舍中设置自动喂料系统，并在圈舍北边设置立式饲料桶（共15个），</w:t>
            </w:r>
            <w:r>
              <w:rPr>
                <w:rFonts w:ascii="Times New Roman" w:hAnsi="Times New Roman" w:eastAsiaTheme="minorEastAsia"/>
                <w:sz w:val="21"/>
                <w:szCs w:val="21"/>
              </w:rPr>
              <w:t>其中保育舍3个，育肥舍12个，从存贮仓内到猪槽全自动操作</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消毒间</w:t>
            </w:r>
          </w:p>
        </w:tc>
        <w:tc>
          <w:tcPr>
            <w:tcW w:w="4962" w:type="dxa"/>
            <w:vAlign w:val="center"/>
          </w:tcPr>
          <w:p>
            <w:pPr>
              <w:spacing w:line="300" w:lineRule="exact"/>
              <w:rPr>
                <w:rFonts w:ascii="Times New Roman" w:hAnsi="Times New Roman" w:eastAsiaTheme="minorEastAsia"/>
                <w:bCs/>
                <w:sz w:val="21"/>
                <w:szCs w:val="21"/>
              </w:rPr>
            </w:pPr>
            <w:r>
              <w:rPr>
                <w:rFonts w:ascii="Times New Roman" w:hAnsi="Times New Roman" w:eastAsiaTheme="minorEastAsia"/>
                <w:bCs/>
                <w:sz w:val="21"/>
                <w:szCs w:val="21"/>
              </w:rPr>
              <w:t>项目建设消毒间3座（</w:t>
            </w:r>
            <w:r>
              <w:rPr>
                <w:rFonts w:ascii="Times New Roman" w:hAnsi="Times New Roman" w:eastAsiaTheme="minorEastAsia"/>
                <w:sz w:val="21"/>
                <w:szCs w:val="21"/>
              </w:rPr>
              <w:t>面积150 m</w:t>
            </w:r>
            <w:r>
              <w:rPr>
                <w:rFonts w:ascii="Times New Roman" w:hAnsi="Times New Roman" w:eastAsiaTheme="minorEastAsia"/>
                <w:sz w:val="21"/>
                <w:szCs w:val="21"/>
                <w:vertAlign w:val="superscript"/>
              </w:rPr>
              <w:t>2</w:t>
            </w:r>
            <w:r>
              <w:rPr>
                <w:rFonts w:ascii="Times New Roman" w:hAnsi="Times New Roman" w:eastAsiaTheme="minorEastAsia"/>
                <w:bCs/>
                <w:sz w:val="21"/>
                <w:szCs w:val="21"/>
              </w:rPr>
              <w:t>）</w:t>
            </w:r>
            <w:r>
              <w:rPr>
                <w:rFonts w:ascii="Times New Roman" w:hAnsi="Times New Roman" w:eastAsiaTheme="minorEastAsia"/>
                <w:sz w:val="21"/>
                <w:szCs w:val="21"/>
              </w:rPr>
              <w:t>，分别</w:t>
            </w:r>
            <w:r>
              <w:rPr>
                <w:rFonts w:ascii="Times New Roman" w:hAnsi="Times New Roman" w:eastAsiaTheme="minorEastAsia"/>
                <w:bCs/>
                <w:sz w:val="21"/>
                <w:szCs w:val="21"/>
              </w:rPr>
              <w:t>位于厂区大门西侧、北侧，</w:t>
            </w:r>
            <w:r>
              <w:rPr>
                <w:rFonts w:ascii="Times New Roman" w:hAnsi="Times New Roman" w:eastAsiaTheme="minorEastAsia"/>
                <w:sz w:val="21"/>
                <w:szCs w:val="21"/>
              </w:rPr>
              <w:t>对厂区工作人员、进场物品（紫外线）进行消毒</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冷藏室</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冷藏室1座（面积40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），用于暂存病死猪</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固废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restart"/>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公用</w:t>
            </w:r>
          </w:p>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工程</w:t>
            </w: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供水</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采取厂区地下水</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泵房噪声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供电</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10kv专用供电线；配电室一间，设置发电机房，自备柴油发电机1台（160KW）</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供热</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bCs/>
                <w:sz w:val="21"/>
                <w:szCs w:val="21"/>
              </w:rPr>
              <w:t>项目供热采取天然气和电能供热，</w:t>
            </w:r>
            <w:r>
              <w:rPr>
                <w:rFonts w:ascii="Times New Roman" w:hAnsi="Times New Roman" w:eastAsiaTheme="minorEastAsia"/>
                <w:sz w:val="21"/>
                <w:szCs w:val="21"/>
              </w:rPr>
              <w:t>圈舍内采用保温灯和加热伞</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办公及生活</w:t>
            </w: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办公楼</w:t>
            </w:r>
          </w:p>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职工食堂</w:t>
            </w:r>
          </w:p>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职工宿舍</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一栋，两层，建筑面积983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。食堂安装油烟净化装置，设置专用烟道在楼顶排放</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废水、废气、固废、噪声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restart"/>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环保</w:t>
            </w:r>
          </w:p>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工程</w:t>
            </w: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养殖废水</w:t>
            </w:r>
          </w:p>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处理系统</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采用“固液分离+全漏缝+2.7米深坑发酵”处理。处理后采用：专业抽粪合作社+当地全量收集还田处置，不外排。即取消水解酸化，采用长时间厌氧发酵的方式腐熟粪肥</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污水预</w:t>
            </w:r>
          </w:p>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处理池</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设生活污水预处理池1处，约50m</w:t>
            </w:r>
            <w:r>
              <w:rPr>
                <w:rFonts w:ascii="Times New Roman" w:hAnsi="Times New Roman" w:eastAsiaTheme="minorEastAsia"/>
                <w:sz w:val="21"/>
                <w:szCs w:val="21"/>
                <w:vertAlign w:val="superscript"/>
              </w:rPr>
              <w:t>3</w:t>
            </w:r>
            <w:r>
              <w:rPr>
                <w:rFonts w:ascii="Times New Roman" w:hAnsi="Times New Roman" w:eastAsiaTheme="minorEastAsia"/>
                <w:sz w:val="21"/>
                <w:szCs w:val="21"/>
              </w:rPr>
              <w:t>，生活污水经预处理后排入深坑发酵回用</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生活废水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食堂隔油池</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办公区食堂设置1处2m</w:t>
            </w:r>
            <w:r>
              <w:rPr>
                <w:rFonts w:ascii="Times New Roman" w:hAnsi="Times New Roman" w:eastAsiaTheme="minorEastAsia"/>
                <w:sz w:val="21"/>
                <w:szCs w:val="21"/>
                <w:vertAlign w:val="superscript"/>
              </w:rPr>
              <w:t>3</w:t>
            </w:r>
            <w:r>
              <w:rPr>
                <w:rFonts w:ascii="Times New Roman" w:hAnsi="Times New Roman" w:eastAsiaTheme="minorEastAsia"/>
                <w:sz w:val="21"/>
                <w:szCs w:val="21"/>
              </w:rPr>
              <w:t>隔油池，对食堂餐饮废水进行隔油处理</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废水、废气、固废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油烟净化器及专用烟道</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设油烟净化器1套、专用油烟烟道1套，油烟处理效率80%，餐饮油烟经油烟净化器处理后通过专业烟道引至屋顶排放</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餐饮油烟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napToGrid w:val="0"/>
              <w:spacing w:line="270" w:lineRule="exact"/>
              <w:jc w:val="center"/>
              <w:rPr>
                <w:rFonts w:ascii="Times New Roman" w:hAnsi="Times New Roman"/>
                <w:sz w:val="21"/>
                <w:szCs w:val="21"/>
              </w:rPr>
            </w:pPr>
            <w:r>
              <w:rPr>
                <w:rFonts w:ascii="Times New Roman" w:hAnsi="Times New Roman"/>
                <w:sz w:val="21"/>
                <w:szCs w:val="21"/>
              </w:rPr>
              <w:t>废气净化</w:t>
            </w:r>
          </w:p>
        </w:tc>
        <w:tc>
          <w:tcPr>
            <w:tcW w:w="4962" w:type="dxa"/>
            <w:vAlign w:val="center"/>
          </w:tcPr>
          <w:p>
            <w:pPr>
              <w:snapToGrid w:val="0"/>
              <w:spacing w:line="270" w:lineRule="exact"/>
              <w:rPr>
                <w:rFonts w:ascii="Times New Roman" w:hAnsi="Times New Roman"/>
                <w:sz w:val="21"/>
                <w:szCs w:val="21"/>
              </w:rPr>
            </w:pPr>
            <w:r>
              <w:rPr>
                <w:rFonts w:ascii="Times New Roman" w:hAnsi="Times New Roman"/>
                <w:sz w:val="21"/>
                <w:szCs w:val="21"/>
              </w:rPr>
              <w:t>耳房风机口设置活性炭吸附装置</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恶臭气体</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6" w:hRule="atLeast"/>
          <w:jc w:val="center"/>
        </w:trPr>
        <w:tc>
          <w:tcPr>
            <w:tcW w:w="936" w:type="dxa"/>
            <w:vMerge w:val="continue"/>
            <w:vAlign w:val="center"/>
          </w:tcPr>
          <w:p>
            <w:pPr>
              <w:spacing w:line="300" w:lineRule="exact"/>
              <w:jc w:val="center"/>
              <w:rPr>
                <w:rFonts w:ascii="Times New Roman" w:hAnsi="Times New Roman" w:eastAsiaTheme="minorEastAsia"/>
                <w:bCs/>
                <w:sz w:val="21"/>
                <w:szCs w:val="21"/>
              </w:rPr>
            </w:pPr>
          </w:p>
        </w:tc>
        <w:tc>
          <w:tcPr>
            <w:tcW w:w="1437"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医疗废物暂存间</w:t>
            </w:r>
          </w:p>
        </w:tc>
        <w:tc>
          <w:tcPr>
            <w:tcW w:w="4962"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面积40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，设置在厂区西南侧，与冷藏间相邻</w:t>
            </w:r>
          </w:p>
        </w:tc>
        <w:tc>
          <w:tcPr>
            <w:tcW w:w="1180" w:type="dxa"/>
            <w:vAlign w:val="center"/>
          </w:tcPr>
          <w:p>
            <w:pPr>
              <w:spacing w:line="300" w:lineRule="exact"/>
              <w:jc w:val="center"/>
              <w:rPr>
                <w:rFonts w:ascii="Times New Roman" w:hAnsi="Times New Roman" w:eastAsiaTheme="minorEastAsia"/>
                <w:bCs/>
                <w:sz w:val="21"/>
                <w:szCs w:val="21"/>
              </w:rPr>
            </w:pPr>
            <w:r>
              <w:rPr>
                <w:rFonts w:ascii="Times New Roman" w:hAnsi="Times New Roman" w:eastAsiaTheme="minorEastAsia"/>
                <w:bCs/>
                <w:sz w:val="21"/>
                <w:szCs w:val="21"/>
              </w:rPr>
              <w:t>固废</w:t>
            </w:r>
          </w:p>
        </w:tc>
      </w:tr>
    </w:tbl>
    <w:p>
      <w:pPr>
        <w:ind w:firstLine="480"/>
        <w:rPr>
          <w:rFonts w:ascii="Times New Roman" w:hAnsi="Times New Roman"/>
          <w:sz w:val="24"/>
          <w:szCs w:val="24"/>
        </w:rPr>
      </w:pPr>
    </w:p>
    <w:p>
      <w:pPr>
        <w:widowControl/>
        <w:spacing w:line="240" w:lineRule="auto"/>
        <w:jc w:val="left"/>
        <w:rPr>
          <w:rFonts w:ascii="Times New Roman" w:hAnsi="Times New Roman"/>
          <w:sz w:val="24"/>
          <w:szCs w:val="24"/>
        </w:rPr>
      </w:pPr>
      <w:r>
        <w:rPr>
          <w:rFonts w:ascii="Times New Roman" w:hAnsi="Times New Roman"/>
          <w:sz w:val="24"/>
          <w:szCs w:val="24"/>
        </w:rPr>
        <w:br w:type="page"/>
      </w:r>
    </w:p>
    <w:p>
      <w:pPr>
        <w:ind w:firstLine="480"/>
        <w:rPr>
          <w:rFonts w:ascii="Times New Roman" w:hAnsi="Times New Roman"/>
          <w:sz w:val="24"/>
          <w:szCs w:val="24"/>
        </w:rPr>
      </w:pPr>
      <w:r>
        <w:rPr>
          <w:rFonts w:ascii="Times New Roman" w:hAnsi="Times New Roman"/>
          <w:sz w:val="24"/>
          <w:szCs w:val="24"/>
        </w:rPr>
        <w:t>现有工程主要建设工程现状照片如下：</w:t>
      </w:r>
    </w:p>
    <w:tbl>
      <w:tblPr>
        <w:tblStyle w:val="9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rPr>
                <w:rFonts w:ascii="Times New Roman" w:hAnsi="Times New Roman"/>
                <w:sz w:val="24"/>
                <w:szCs w:val="24"/>
              </w:rPr>
            </w:pPr>
            <w:r>
              <w:rPr>
                <w:rFonts w:ascii="Times New Roman" w:hAnsi="Times New Roman"/>
                <w:sz w:val="24"/>
                <w:szCs w:val="24"/>
              </w:rPr>
              <w:drawing>
                <wp:inline distT="0" distB="0" distL="0" distR="0">
                  <wp:extent cx="2699385" cy="2024380"/>
                  <wp:effectExtent l="0" t="0" r="5715" b="0"/>
                  <wp:docPr id="128" name="图片 128" descr="E:\3-配合项目\丁老师项目\旺江农冉义现代化生猪养殖二期建设项目\旺江资料\现场照片\邛崃旺江养殖现场照片\一期大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E:\3-配合项目\丁老师项目\旺江农冉义现代化生猪养殖二期建设项目\旺江资料\现场照片\邛崃旺江养殖现场照片\一期大门.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c>
          <w:tcPr>
            <w:tcW w:w="4261" w:type="dxa"/>
          </w:tcPr>
          <w:p>
            <w:pPr>
              <w:rPr>
                <w:rFonts w:ascii="Times New Roman" w:hAnsi="Times New Roman"/>
                <w:sz w:val="24"/>
                <w:szCs w:val="24"/>
              </w:rPr>
            </w:pPr>
            <w:r>
              <w:rPr>
                <w:rFonts w:ascii="Times New Roman" w:hAnsi="Times New Roman"/>
                <w:sz w:val="24"/>
                <w:szCs w:val="24"/>
              </w:rPr>
              <w:drawing>
                <wp:inline distT="0" distB="0" distL="0" distR="0">
                  <wp:extent cx="2699385" cy="2024380"/>
                  <wp:effectExtent l="0" t="0" r="5715" b="0"/>
                  <wp:docPr id="31" name="图片 31" descr="E:\3-配合项目\丁老师项目\旺江农冉义现代化生猪养殖二期建设项目\旺江资料\现场照片\邛崃旺江养殖现场照片\圈舍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3-配合项目\丁老师项目\旺江农冉义现代化生猪养殖二期建设项目\旺江资料\现场照片\邛崃旺江养殖现场照片\圈舍内部.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黑体"/>
                <w:sz w:val="21"/>
                <w:szCs w:val="21"/>
              </w:rPr>
            </w:pPr>
            <w:r>
              <w:rPr>
                <w:rFonts w:ascii="Times New Roman" w:hAnsi="Times New Roman" w:eastAsia="黑体"/>
                <w:sz w:val="21"/>
                <w:szCs w:val="21"/>
              </w:rPr>
              <w:t>整体现状</w:t>
            </w:r>
          </w:p>
        </w:tc>
        <w:tc>
          <w:tcPr>
            <w:tcW w:w="4261" w:type="dxa"/>
          </w:tcPr>
          <w:p>
            <w:pPr>
              <w:jc w:val="center"/>
              <w:rPr>
                <w:rFonts w:ascii="Times New Roman" w:hAnsi="Times New Roman" w:eastAsia="黑体"/>
                <w:sz w:val="21"/>
                <w:szCs w:val="21"/>
              </w:rPr>
            </w:pPr>
            <w:r>
              <w:rPr>
                <w:rFonts w:ascii="Times New Roman" w:hAnsi="Times New Roman" w:eastAsia="黑体"/>
                <w:sz w:val="21"/>
                <w:szCs w:val="21"/>
              </w:rPr>
              <w:t>育肥舍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黑体"/>
                <w:sz w:val="21"/>
                <w:szCs w:val="21"/>
              </w:rPr>
            </w:pPr>
            <w:r>
              <w:rPr>
                <w:rFonts w:ascii="Times New Roman" w:hAnsi="Times New Roman" w:eastAsia="黑体"/>
                <w:sz w:val="21"/>
                <w:szCs w:val="21"/>
              </w:rPr>
              <w:drawing>
                <wp:inline distT="0" distB="0" distL="0" distR="0">
                  <wp:extent cx="2699385" cy="2024380"/>
                  <wp:effectExtent l="0" t="0" r="5715" b="0"/>
                  <wp:docPr id="129" name="图片 129" descr="E:\3-配合项目\丁老师项目\旺江农冉义现代化生猪养殖二期建设项目\旺江资料\现场照片\邛崃旺江养殖现场照片\一期固体粪临时堆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E:\3-配合项目\丁老师项目\旺江农冉义现代化生猪养殖二期建设项目\旺江资料\现场照片\邛崃旺江养殖现场照片\一期固体粪临时堆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c>
          <w:tcPr>
            <w:tcW w:w="4261" w:type="dxa"/>
          </w:tcPr>
          <w:p>
            <w:pPr>
              <w:jc w:val="center"/>
              <w:rPr>
                <w:rFonts w:ascii="Times New Roman" w:hAnsi="Times New Roman" w:eastAsia="黑体"/>
                <w:sz w:val="21"/>
                <w:szCs w:val="21"/>
              </w:rPr>
            </w:pPr>
            <w:r>
              <w:rPr>
                <w:rFonts w:ascii="Times New Roman" w:hAnsi="Times New Roman" w:eastAsia="黑体"/>
                <w:sz w:val="21"/>
                <w:szCs w:val="21"/>
              </w:rPr>
              <w:drawing>
                <wp:inline distT="0" distB="0" distL="0" distR="0">
                  <wp:extent cx="2699385" cy="2024380"/>
                  <wp:effectExtent l="0" t="0" r="5715" b="0"/>
                  <wp:docPr id="130" name="图片 130" descr="E:\3-配合项目\丁老师项目\旺江农冉义现代化生猪养殖二期建设项目\旺江资料\现场照片\邛崃旺江养殖现场照片\一期职工宿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E:\3-配合项目\丁老师项目\旺江农冉义现代化生猪养殖二期建设项目\旺江资料\现场照片\邛崃旺江养殖现场照片\一期职工宿舍.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黑体"/>
                <w:sz w:val="21"/>
                <w:szCs w:val="21"/>
              </w:rPr>
            </w:pPr>
            <w:r>
              <w:rPr>
                <w:rFonts w:ascii="Times New Roman" w:hAnsi="Times New Roman" w:eastAsia="黑体"/>
                <w:sz w:val="21"/>
                <w:szCs w:val="21"/>
              </w:rPr>
              <w:t>干粪堆场</w:t>
            </w:r>
          </w:p>
        </w:tc>
        <w:tc>
          <w:tcPr>
            <w:tcW w:w="4261" w:type="dxa"/>
          </w:tcPr>
          <w:p>
            <w:pPr>
              <w:jc w:val="center"/>
              <w:rPr>
                <w:rFonts w:ascii="Times New Roman" w:hAnsi="Times New Roman" w:eastAsia="黑体"/>
                <w:sz w:val="21"/>
                <w:szCs w:val="21"/>
              </w:rPr>
            </w:pPr>
            <w:r>
              <w:rPr>
                <w:rFonts w:ascii="Times New Roman" w:hAnsi="Times New Roman" w:eastAsia="黑体"/>
                <w:sz w:val="21"/>
                <w:szCs w:val="21"/>
              </w:rPr>
              <w:t>办公楼及职工宿舍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黑体"/>
                <w:sz w:val="21"/>
                <w:szCs w:val="21"/>
              </w:rPr>
            </w:pPr>
            <w:r>
              <w:rPr>
                <w:rFonts w:ascii="Times New Roman" w:hAnsi="Times New Roman"/>
                <w:sz w:val="24"/>
                <w:szCs w:val="24"/>
              </w:rPr>
              <w:drawing>
                <wp:inline distT="0" distB="0" distL="0" distR="0">
                  <wp:extent cx="2699385" cy="2025650"/>
                  <wp:effectExtent l="0" t="0" r="5715" b="0"/>
                  <wp:docPr id="265" name="图片 265" descr="E:\3-配合项目\丁老师项目\旺江农冉义现代化生猪养殖二期建设项目\旺江资料\现场照片1\现场照片4.26\IMG_20190426_1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E:\3-配合项目\丁老师项目\旺江农冉义现代化生猪养殖二期建设项目\旺江资料\现场照片1\现场照片4.26\IMG_20190426_1044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00000" cy="2025714"/>
                          </a:xfrm>
                          <a:prstGeom prst="rect">
                            <a:avLst/>
                          </a:prstGeom>
                          <a:noFill/>
                          <a:ln>
                            <a:noFill/>
                          </a:ln>
                        </pic:spPr>
                      </pic:pic>
                    </a:graphicData>
                  </a:graphic>
                </wp:inline>
              </w:drawing>
            </w:r>
          </w:p>
        </w:tc>
        <w:tc>
          <w:tcPr>
            <w:tcW w:w="4261" w:type="dxa"/>
          </w:tcPr>
          <w:p>
            <w:pPr>
              <w:jc w:val="center"/>
              <w:rPr>
                <w:rFonts w:ascii="Times New Roman" w:hAnsi="Times New Roman" w:eastAsia="黑体"/>
                <w:sz w:val="21"/>
                <w:szCs w:val="21"/>
              </w:rPr>
            </w:pPr>
            <w:r>
              <w:rPr>
                <w:rFonts w:ascii="Times New Roman" w:hAnsi="Times New Roman"/>
                <w:sz w:val="24"/>
                <w:szCs w:val="24"/>
              </w:rPr>
              <w:drawing>
                <wp:inline distT="0" distB="0" distL="0" distR="0">
                  <wp:extent cx="2699385" cy="2024380"/>
                  <wp:effectExtent l="0" t="0" r="5715" b="0"/>
                  <wp:docPr id="266" name="图片 266" descr="E:\3-配合项目\丁老师项目\旺江农冉义现代化生猪养殖二期建设项目\旺江资料\现场照片1\现场照片4.26\IMG_20190426_11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E:\3-配合项目\丁老师项目\旺江农冉义现代化生猪养殖二期建设项目\旺江资料\现场照片1\现场照片4.26\IMG_20190426_1134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eastAsia="黑体"/>
                <w:sz w:val="21"/>
                <w:szCs w:val="21"/>
              </w:rPr>
            </w:pPr>
            <w:r>
              <w:rPr>
                <w:rFonts w:ascii="Times New Roman" w:hAnsi="Times New Roman" w:eastAsia="黑体"/>
                <w:sz w:val="21"/>
                <w:szCs w:val="21"/>
              </w:rPr>
              <w:t>医疗废物暂存间及冷藏室</w:t>
            </w:r>
          </w:p>
        </w:tc>
        <w:tc>
          <w:tcPr>
            <w:tcW w:w="4261" w:type="dxa"/>
          </w:tcPr>
          <w:p>
            <w:pPr>
              <w:jc w:val="center"/>
              <w:rPr>
                <w:rFonts w:ascii="Times New Roman" w:hAnsi="Times New Roman" w:eastAsia="黑体"/>
                <w:sz w:val="21"/>
                <w:szCs w:val="21"/>
              </w:rPr>
            </w:pPr>
            <w:r>
              <w:rPr>
                <w:rFonts w:ascii="Times New Roman" w:hAnsi="Times New Roman" w:eastAsia="黑体"/>
                <w:sz w:val="21"/>
                <w:szCs w:val="21"/>
              </w:rPr>
              <w:t>进场道路</w:t>
            </w:r>
          </w:p>
        </w:tc>
      </w:tr>
    </w:tbl>
    <w:p>
      <w:pPr>
        <w:pStyle w:val="108"/>
      </w:pPr>
      <w:bookmarkStart w:id="96" w:name="_Toc9873312"/>
      <w:r>
        <w:t>2.1.4　现有工程主要设备及原辅材料</w:t>
      </w:r>
      <w:bookmarkEnd w:id="96"/>
    </w:p>
    <w:p>
      <w:pPr>
        <w:pStyle w:val="104"/>
      </w:pPr>
      <w:r>
        <w:t>1、现有工程主要设备</w:t>
      </w:r>
    </w:p>
    <w:p>
      <w:pPr>
        <w:autoSpaceDE w:val="0"/>
        <w:autoSpaceDN w:val="0"/>
        <w:ind w:firstLine="480"/>
        <w:rPr>
          <w:rFonts w:ascii="Times New Roman" w:hAnsi="Times New Roman"/>
          <w:sz w:val="24"/>
          <w:szCs w:val="24"/>
        </w:rPr>
      </w:pPr>
      <w:r>
        <w:rPr>
          <w:rFonts w:ascii="Times New Roman" w:hAnsi="Times New Roman"/>
          <w:sz w:val="24"/>
          <w:szCs w:val="24"/>
        </w:rPr>
        <w:t>现有工程主要设备见表2.1-2。</w:t>
      </w:r>
    </w:p>
    <w:p>
      <w:pPr>
        <w:spacing w:line="240" w:lineRule="auto"/>
        <w:jc w:val="center"/>
        <w:rPr>
          <w:rFonts w:ascii="Times New Roman" w:hAnsi="Times New Roman" w:eastAsia="黑体"/>
          <w:sz w:val="21"/>
          <w:szCs w:val="21"/>
        </w:rPr>
      </w:pPr>
      <w:r>
        <w:rPr>
          <w:rFonts w:ascii="Times New Roman" w:hAnsi="Times New Roman" w:eastAsia="黑体"/>
          <w:sz w:val="21"/>
          <w:szCs w:val="21"/>
        </w:rPr>
        <w:t>表2.1-2  现有工程主要设备</w:t>
      </w:r>
    </w:p>
    <w:tbl>
      <w:tblPr>
        <w:tblStyle w:val="91"/>
        <w:tblW w:w="8449"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01"/>
        <w:gridCol w:w="3140"/>
        <w:gridCol w:w="2289"/>
        <w:gridCol w:w="201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blHeader/>
        </w:trPr>
        <w:tc>
          <w:tcPr>
            <w:tcW w:w="1001"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序号</w:t>
            </w:r>
          </w:p>
        </w:tc>
        <w:tc>
          <w:tcPr>
            <w:tcW w:w="3140"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名称</w:t>
            </w:r>
          </w:p>
        </w:tc>
        <w:tc>
          <w:tcPr>
            <w:tcW w:w="2289"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单位</w:t>
            </w:r>
          </w:p>
        </w:tc>
        <w:tc>
          <w:tcPr>
            <w:tcW w:w="2019"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数量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8449" w:type="dxa"/>
            <w:gridSpan w:val="4"/>
            <w:vAlign w:val="center"/>
          </w:tcPr>
          <w:p>
            <w:pPr>
              <w:spacing w:line="300" w:lineRule="exact"/>
              <w:jc w:val="left"/>
              <w:rPr>
                <w:rFonts w:ascii="Times New Roman" w:hAnsi="Times New Roman"/>
                <w:bCs/>
                <w:sz w:val="21"/>
                <w:szCs w:val="21"/>
              </w:rPr>
            </w:pPr>
            <w:r>
              <w:rPr>
                <w:rFonts w:ascii="Times New Roman" w:hAnsi="Times New Roman"/>
                <w:sz w:val="21"/>
                <w:szCs w:val="21"/>
              </w:rPr>
              <w:t>一、猪舍</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1.1</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通风系统</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套</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1.2</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自动饮水器</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个</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800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1.3</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自动喂料系统</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套</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8</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8449" w:type="dxa"/>
            <w:gridSpan w:val="4"/>
            <w:vAlign w:val="center"/>
          </w:tcPr>
          <w:p>
            <w:pPr>
              <w:spacing w:line="300" w:lineRule="exact"/>
              <w:jc w:val="left"/>
              <w:rPr>
                <w:rFonts w:ascii="Times New Roman" w:hAnsi="Times New Roman"/>
                <w:bCs/>
                <w:sz w:val="21"/>
                <w:szCs w:val="21"/>
              </w:rPr>
            </w:pPr>
            <w:r>
              <w:rPr>
                <w:rFonts w:ascii="Times New Roman" w:hAnsi="Times New Roman"/>
                <w:sz w:val="21"/>
                <w:szCs w:val="21"/>
              </w:rPr>
              <w:t>二、消毒淋浴更衣室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2.1</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紫外线灯</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个</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2.2</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淋浴设备</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套</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8449" w:type="dxa"/>
            <w:gridSpan w:val="4"/>
            <w:vAlign w:val="center"/>
          </w:tcPr>
          <w:p>
            <w:pPr>
              <w:spacing w:line="300" w:lineRule="exact"/>
              <w:jc w:val="left"/>
              <w:rPr>
                <w:rFonts w:ascii="Times New Roman" w:hAnsi="Times New Roman"/>
                <w:bCs/>
                <w:sz w:val="21"/>
                <w:szCs w:val="21"/>
              </w:rPr>
            </w:pPr>
            <w:r>
              <w:rPr>
                <w:rFonts w:ascii="Times New Roman" w:hAnsi="Times New Roman"/>
                <w:sz w:val="21"/>
                <w:szCs w:val="21"/>
              </w:rPr>
              <w:t>三、兽医诊疗室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3.1</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显微镜</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3.2</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针头</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盒</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3.3</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缝合针</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包</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3.4</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缝合线</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卷</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3.5</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剪刀</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把</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3.6</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金属注射器</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支</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3.7</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冰箱</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8449" w:type="dxa"/>
            <w:gridSpan w:val="4"/>
            <w:vAlign w:val="center"/>
          </w:tcPr>
          <w:p>
            <w:pPr>
              <w:spacing w:line="300" w:lineRule="exact"/>
              <w:jc w:val="left"/>
              <w:rPr>
                <w:rFonts w:ascii="Times New Roman" w:hAnsi="Times New Roman"/>
                <w:bCs/>
                <w:sz w:val="21"/>
                <w:szCs w:val="21"/>
              </w:rPr>
            </w:pPr>
            <w:r>
              <w:rPr>
                <w:rFonts w:ascii="Times New Roman" w:hAnsi="Times New Roman"/>
                <w:sz w:val="21"/>
                <w:szCs w:val="21"/>
              </w:rPr>
              <w:t>四、消毒设备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4.1</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消毒喷雾器</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4.2</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高压清洗消毒设备</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8449" w:type="dxa"/>
            <w:gridSpan w:val="4"/>
            <w:vAlign w:val="center"/>
          </w:tcPr>
          <w:p>
            <w:pPr>
              <w:spacing w:line="300" w:lineRule="exact"/>
              <w:jc w:val="left"/>
              <w:rPr>
                <w:rFonts w:ascii="Times New Roman" w:hAnsi="Times New Roman"/>
                <w:bCs/>
                <w:sz w:val="21"/>
                <w:szCs w:val="21"/>
              </w:rPr>
            </w:pPr>
            <w:r>
              <w:rPr>
                <w:rFonts w:ascii="Times New Roman" w:hAnsi="Times New Roman"/>
                <w:bCs/>
                <w:sz w:val="21"/>
                <w:szCs w:val="21"/>
              </w:rPr>
              <w:t>五、环保设备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5.1</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潜污泵</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套</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5.2</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推粪车</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8449" w:type="dxa"/>
            <w:gridSpan w:val="4"/>
            <w:vAlign w:val="center"/>
          </w:tcPr>
          <w:p>
            <w:pPr>
              <w:spacing w:line="300" w:lineRule="exact"/>
              <w:jc w:val="left"/>
              <w:rPr>
                <w:rFonts w:ascii="Times New Roman" w:hAnsi="Times New Roman"/>
                <w:bCs/>
                <w:sz w:val="21"/>
                <w:szCs w:val="21"/>
              </w:rPr>
            </w:pPr>
            <w:r>
              <w:rPr>
                <w:rFonts w:ascii="Times New Roman" w:hAnsi="Times New Roman"/>
                <w:bCs/>
                <w:sz w:val="21"/>
                <w:szCs w:val="21"/>
              </w:rPr>
              <w:t>六、其他设备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6.1</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工作服</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套</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6.2</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赶猪板</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个</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6.3</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转畜车</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6.4</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消防设备</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套</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rPr>
        <w:tc>
          <w:tcPr>
            <w:tcW w:w="100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6.5</w:t>
            </w:r>
          </w:p>
        </w:tc>
        <w:tc>
          <w:tcPr>
            <w:tcW w:w="3140"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柴油发电机（功率160KW）</w:t>
            </w:r>
          </w:p>
        </w:tc>
        <w:tc>
          <w:tcPr>
            <w:tcW w:w="228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台</w:t>
            </w:r>
          </w:p>
        </w:tc>
        <w:tc>
          <w:tcPr>
            <w:tcW w:w="201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w:t>
            </w:r>
          </w:p>
        </w:tc>
      </w:tr>
    </w:tbl>
    <w:p>
      <w:pPr>
        <w:pStyle w:val="104"/>
      </w:pPr>
      <w:r>
        <w:t>2、现有工程主要原辅材料</w:t>
      </w:r>
    </w:p>
    <w:p>
      <w:pPr>
        <w:ind w:firstLine="480" w:firstLineChars="200"/>
        <w:rPr>
          <w:rFonts w:ascii="Times New Roman" w:hAnsi="Times New Roman"/>
        </w:rPr>
      </w:pPr>
      <w:r>
        <w:rPr>
          <w:rFonts w:ascii="Times New Roman" w:hAnsi="Times New Roman"/>
          <w:sz w:val="24"/>
          <w:szCs w:val="24"/>
        </w:rPr>
        <w:t>现有工程主要原辅材料见表2.1-3：</w:t>
      </w:r>
    </w:p>
    <w:p>
      <w:pPr>
        <w:widowControl/>
        <w:spacing w:line="240" w:lineRule="auto"/>
        <w:jc w:val="left"/>
        <w:rPr>
          <w:rFonts w:ascii="Times New Roman" w:hAnsi="Times New Roman" w:eastAsia="黑体"/>
          <w:bCs/>
          <w:sz w:val="21"/>
          <w:szCs w:val="21"/>
        </w:rPr>
      </w:pPr>
      <w:r>
        <w:rPr>
          <w:rFonts w:ascii="Times New Roman" w:hAnsi="Times New Roman" w:eastAsia="黑体"/>
          <w:bCs/>
          <w:sz w:val="21"/>
          <w:szCs w:val="21"/>
        </w:rPr>
        <w:br w:type="page"/>
      </w:r>
    </w:p>
    <w:p>
      <w:pPr>
        <w:autoSpaceDE w:val="0"/>
        <w:autoSpaceDN w:val="0"/>
        <w:spacing w:line="240" w:lineRule="auto"/>
        <w:jc w:val="center"/>
        <w:rPr>
          <w:rFonts w:ascii="Times New Roman" w:hAnsi="Times New Roman" w:eastAsia="黑体"/>
          <w:bCs/>
          <w:sz w:val="21"/>
          <w:szCs w:val="21"/>
        </w:rPr>
      </w:pPr>
      <w:r>
        <w:rPr>
          <w:rFonts w:ascii="Times New Roman" w:hAnsi="Times New Roman" w:eastAsia="黑体"/>
          <w:bCs/>
          <w:sz w:val="21"/>
          <w:szCs w:val="21"/>
        </w:rPr>
        <w:t>表2.1-3  现有工程主要原辅料</w:t>
      </w:r>
    </w:p>
    <w:tbl>
      <w:tblPr>
        <w:tblStyle w:val="91"/>
        <w:tblW w:w="843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74"/>
        <w:gridCol w:w="2736"/>
        <w:gridCol w:w="993"/>
        <w:gridCol w:w="1275"/>
        <w:gridCol w:w="1579"/>
        <w:gridCol w:w="107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blHeader/>
        </w:trPr>
        <w:tc>
          <w:tcPr>
            <w:tcW w:w="774"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序号</w:t>
            </w:r>
          </w:p>
        </w:tc>
        <w:tc>
          <w:tcPr>
            <w:tcW w:w="2736"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名称</w:t>
            </w:r>
          </w:p>
        </w:tc>
        <w:tc>
          <w:tcPr>
            <w:tcW w:w="993"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规格</w:t>
            </w:r>
          </w:p>
        </w:tc>
        <w:tc>
          <w:tcPr>
            <w:tcW w:w="1275"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单位</w:t>
            </w:r>
          </w:p>
        </w:tc>
        <w:tc>
          <w:tcPr>
            <w:tcW w:w="1579"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年消耗量</w:t>
            </w:r>
          </w:p>
        </w:tc>
        <w:tc>
          <w:tcPr>
            <w:tcW w:w="1075" w:type="dxa"/>
            <w:vAlign w:val="center"/>
          </w:tcPr>
          <w:p>
            <w:pPr>
              <w:widowControl/>
              <w:spacing w:line="300" w:lineRule="exact"/>
              <w:jc w:val="center"/>
              <w:rPr>
                <w:rFonts w:ascii="Times New Roman" w:hAnsi="Times New Roman"/>
                <w:b/>
                <w:bCs/>
                <w:sz w:val="21"/>
                <w:szCs w:val="21"/>
              </w:rPr>
            </w:pPr>
            <w:r>
              <w:rPr>
                <w:rFonts w:ascii="Times New Roman" w:hAnsi="Times New Roman"/>
                <w:b/>
                <w:bCs/>
                <w:sz w:val="21"/>
                <w:szCs w:val="21"/>
              </w:rPr>
              <w:t>来源</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774"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原料</w:t>
            </w:r>
          </w:p>
        </w:tc>
        <w:tc>
          <w:tcPr>
            <w:tcW w:w="273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仔猪</w:t>
            </w:r>
          </w:p>
        </w:tc>
        <w:tc>
          <w:tcPr>
            <w:tcW w:w="993"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6.5kg</w:t>
            </w:r>
          </w:p>
        </w:tc>
        <w:tc>
          <w:tcPr>
            <w:tcW w:w="1275"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头/年</w:t>
            </w:r>
          </w:p>
        </w:tc>
        <w:tc>
          <w:tcPr>
            <w:tcW w:w="157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30000</w:t>
            </w:r>
          </w:p>
        </w:tc>
        <w:tc>
          <w:tcPr>
            <w:tcW w:w="1075"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牟礼基地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774" w:type="dxa"/>
            <w:vMerge w:val="restart"/>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辅料</w:t>
            </w:r>
          </w:p>
        </w:tc>
        <w:tc>
          <w:tcPr>
            <w:tcW w:w="273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成品饲料</w:t>
            </w:r>
          </w:p>
        </w:tc>
        <w:tc>
          <w:tcPr>
            <w:tcW w:w="993" w:type="dxa"/>
            <w:vMerge w:val="restart"/>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全价配合饲料</w:t>
            </w:r>
          </w:p>
        </w:tc>
        <w:tc>
          <w:tcPr>
            <w:tcW w:w="1275" w:type="dxa"/>
            <w:vMerge w:val="restart"/>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吨/年</w:t>
            </w:r>
          </w:p>
        </w:tc>
        <w:tc>
          <w:tcPr>
            <w:tcW w:w="1579" w:type="dxa"/>
            <w:vMerge w:val="restart"/>
            <w:vAlign w:val="center"/>
          </w:tcPr>
          <w:p>
            <w:pPr>
              <w:pStyle w:val="31"/>
              <w:ind w:firstLine="0" w:firstLineChars="0"/>
              <w:jc w:val="center"/>
              <w:rPr>
                <w:rFonts w:ascii="Times New Roman" w:hAnsi="Times New Roman" w:cs="Times New Roman"/>
                <w:bCs/>
                <w:sz w:val="21"/>
                <w:szCs w:val="21"/>
              </w:rPr>
            </w:pPr>
            <w:r>
              <w:rPr>
                <w:rFonts w:ascii="Times New Roman" w:hAnsi="Times New Roman" w:cs="Times New Roman"/>
                <w:bCs/>
                <w:sz w:val="21"/>
                <w:szCs w:val="21"/>
              </w:rPr>
              <w:t>9900</w:t>
            </w:r>
          </w:p>
        </w:tc>
        <w:tc>
          <w:tcPr>
            <w:tcW w:w="1075" w:type="dxa"/>
            <w:vMerge w:val="restart"/>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外购</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774" w:type="dxa"/>
            <w:vMerge w:val="continue"/>
            <w:vAlign w:val="center"/>
          </w:tcPr>
          <w:p>
            <w:pPr>
              <w:widowControl/>
              <w:spacing w:line="300" w:lineRule="exact"/>
              <w:jc w:val="center"/>
              <w:rPr>
                <w:rFonts w:ascii="Times New Roman" w:hAnsi="Times New Roman"/>
                <w:bCs/>
                <w:sz w:val="21"/>
                <w:szCs w:val="21"/>
              </w:rPr>
            </w:pPr>
          </w:p>
        </w:tc>
        <w:tc>
          <w:tcPr>
            <w:tcW w:w="273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微量元素、维生素等</w:t>
            </w:r>
          </w:p>
        </w:tc>
        <w:tc>
          <w:tcPr>
            <w:tcW w:w="993" w:type="dxa"/>
            <w:vMerge w:val="continue"/>
            <w:vAlign w:val="center"/>
          </w:tcPr>
          <w:p>
            <w:pPr>
              <w:widowControl/>
              <w:spacing w:line="300" w:lineRule="exact"/>
              <w:jc w:val="center"/>
              <w:rPr>
                <w:rFonts w:ascii="Times New Roman" w:hAnsi="Times New Roman"/>
                <w:bCs/>
                <w:sz w:val="21"/>
                <w:szCs w:val="21"/>
              </w:rPr>
            </w:pPr>
          </w:p>
        </w:tc>
        <w:tc>
          <w:tcPr>
            <w:tcW w:w="1275" w:type="dxa"/>
            <w:vMerge w:val="continue"/>
            <w:vAlign w:val="center"/>
          </w:tcPr>
          <w:p>
            <w:pPr>
              <w:widowControl/>
              <w:spacing w:line="300" w:lineRule="exact"/>
              <w:jc w:val="center"/>
              <w:rPr>
                <w:rFonts w:ascii="Times New Roman" w:hAnsi="Times New Roman"/>
                <w:bCs/>
                <w:sz w:val="21"/>
                <w:szCs w:val="21"/>
              </w:rPr>
            </w:pPr>
          </w:p>
        </w:tc>
        <w:tc>
          <w:tcPr>
            <w:tcW w:w="1579" w:type="dxa"/>
            <w:vMerge w:val="continue"/>
            <w:vAlign w:val="center"/>
          </w:tcPr>
          <w:p>
            <w:pPr>
              <w:widowControl/>
              <w:spacing w:line="300" w:lineRule="exact"/>
              <w:jc w:val="center"/>
              <w:rPr>
                <w:rFonts w:ascii="Times New Roman" w:hAnsi="Times New Roman"/>
                <w:bCs/>
                <w:sz w:val="21"/>
                <w:szCs w:val="21"/>
              </w:rPr>
            </w:pPr>
          </w:p>
        </w:tc>
        <w:tc>
          <w:tcPr>
            <w:tcW w:w="1075" w:type="dxa"/>
            <w:vMerge w:val="continue"/>
            <w:vAlign w:val="center"/>
          </w:tcPr>
          <w:p>
            <w:pPr>
              <w:widowControl/>
              <w:spacing w:line="300" w:lineRule="exact"/>
              <w:jc w:val="center"/>
              <w:rPr>
                <w:rFonts w:ascii="Times New Roman" w:hAnsi="Times New Roman"/>
                <w:bCs/>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774" w:type="dxa"/>
            <w:vMerge w:val="restart"/>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其他</w:t>
            </w:r>
          </w:p>
        </w:tc>
        <w:tc>
          <w:tcPr>
            <w:tcW w:w="273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消毒剂（戊二醛、苯扎溴铵、月三苄甲氯铵、聚微酮碘等）</w:t>
            </w:r>
          </w:p>
        </w:tc>
        <w:tc>
          <w:tcPr>
            <w:tcW w:w="993" w:type="dxa"/>
            <w:vAlign w:val="center"/>
          </w:tcPr>
          <w:p>
            <w:pPr>
              <w:widowControl/>
              <w:spacing w:line="300" w:lineRule="exact"/>
              <w:jc w:val="center"/>
              <w:rPr>
                <w:rFonts w:ascii="Times New Roman" w:hAnsi="Times New Roman"/>
                <w:bCs/>
                <w:sz w:val="21"/>
                <w:szCs w:val="21"/>
              </w:rPr>
            </w:pPr>
          </w:p>
        </w:tc>
        <w:tc>
          <w:tcPr>
            <w:tcW w:w="1275"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吨/年</w:t>
            </w:r>
          </w:p>
        </w:tc>
        <w:tc>
          <w:tcPr>
            <w:tcW w:w="157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0.2</w:t>
            </w:r>
          </w:p>
        </w:tc>
        <w:tc>
          <w:tcPr>
            <w:tcW w:w="1075"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外购</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774" w:type="dxa"/>
            <w:vMerge w:val="continue"/>
            <w:vAlign w:val="center"/>
          </w:tcPr>
          <w:p>
            <w:pPr>
              <w:widowControl/>
              <w:spacing w:line="300" w:lineRule="exact"/>
              <w:jc w:val="center"/>
              <w:rPr>
                <w:rFonts w:ascii="Times New Roman" w:hAnsi="Times New Roman"/>
                <w:bCs/>
                <w:sz w:val="21"/>
                <w:szCs w:val="21"/>
              </w:rPr>
            </w:pPr>
          </w:p>
        </w:tc>
        <w:tc>
          <w:tcPr>
            <w:tcW w:w="273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疫苗、兽药</w:t>
            </w:r>
          </w:p>
        </w:tc>
        <w:tc>
          <w:tcPr>
            <w:tcW w:w="993" w:type="dxa"/>
            <w:vAlign w:val="center"/>
          </w:tcPr>
          <w:p>
            <w:pPr>
              <w:widowControl/>
              <w:spacing w:line="300" w:lineRule="exact"/>
              <w:jc w:val="center"/>
              <w:rPr>
                <w:rFonts w:ascii="Times New Roman" w:hAnsi="Times New Roman"/>
                <w:bCs/>
                <w:sz w:val="21"/>
                <w:szCs w:val="21"/>
              </w:rPr>
            </w:pPr>
          </w:p>
        </w:tc>
        <w:tc>
          <w:tcPr>
            <w:tcW w:w="1275"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头份/年</w:t>
            </w:r>
          </w:p>
        </w:tc>
        <w:tc>
          <w:tcPr>
            <w:tcW w:w="1579"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100000</w:t>
            </w:r>
          </w:p>
        </w:tc>
        <w:tc>
          <w:tcPr>
            <w:tcW w:w="1075"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外购</w:t>
            </w:r>
          </w:p>
        </w:tc>
      </w:tr>
    </w:tbl>
    <w:p>
      <w:pPr>
        <w:pStyle w:val="104"/>
      </w:pPr>
      <w:r>
        <w:t>3、现有工程主要能耗</w:t>
      </w:r>
    </w:p>
    <w:p>
      <w:pPr>
        <w:ind w:firstLine="480"/>
        <w:rPr>
          <w:rFonts w:ascii="Times New Roman" w:hAnsi="Times New Roman"/>
          <w:sz w:val="24"/>
          <w:szCs w:val="24"/>
        </w:rPr>
      </w:pPr>
      <w:r>
        <w:rPr>
          <w:rFonts w:ascii="Times New Roman" w:hAnsi="Times New Roman"/>
          <w:sz w:val="24"/>
          <w:szCs w:val="24"/>
        </w:rPr>
        <w:t>现有工程主要能耗如下表：</w:t>
      </w:r>
    </w:p>
    <w:p>
      <w:pPr>
        <w:autoSpaceDE w:val="0"/>
        <w:autoSpaceDN w:val="0"/>
        <w:spacing w:line="240" w:lineRule="auto"/>
        <w:jc w:val="center"/>
        <w:rPr>
          <w:rFonts w:ascii="Times New Roman" w:hAnsi="Times New Roman" w:eastAsia="黑体"/>
          <w:bCs/>
          <w:sz w:val="21"/>
          <w:szCs w:val="21"/>
        </w:rPr>
      </w:pPr>
      <w:r>
        <w:rPr>
          <w:rFonts w:ascii="Times New Roman" w:hAnsi="Times New Roman" w:eastAsia="黑体"/>
          <w:bCs/>
          <w:sz w:val="21"/>
          <w:szCs w:val="21"/>
        </w:rPr>
        <w:t>表2.1-4  现有工程能耗情况</w:t>
      </w:r>
    </w:p>
    <w:tbl>
      <w:tblPr>
        <w:tblStyle w:val="91"/>
        <w:tblW w:w="8431"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26"/>
        <w:gridCol w:w="1332"/>
        <w:gridCol w:w="1991"/>
        <w:gridCol w:w="1974"/>
        <w:gridCol w:w="2108"/>
      </w:tblGrid>
      <w:tr>
        <w:tblPrEx>
          <w:tblLayout w:type="fixed"/>
          <w:tblCellMar>
            <w:top w:w="0" w:type="dxa"/>
            <w:left w:w="108" w:type="dxa"/>
            <w:bottom w:w="0" w:type="dxa"/>
            <w:right w:w="108" w:type="dxa"/>
          </w:tblCellMar>
        </w:tblPrEx>
        <w:trPr>
          <w:trHeight w:val="371" w:hRule="atLeast"/>
        </w:trPr>
        <w:tc>
          <w:tcPr>
            <w:tcW w:w="1026" w:type="dxa"/>
            <w:vAlign w:val="center"/>
          </w:tcPr>
          <w:p>
            <w:pPr>
              <w:autoSpaceDE w:val="0"/>
              <w:autoSpaceDN w:val="0"/>
              <w:spacing w:line="240" w:lineRule="auto"/>
              <w:jc w:val="center"/>
              <w:rPr>
                <w:rFonts w:ascii="Times New Roman" w:hAnsi="Times New Roman"/>
                <w:b/>
                <w:bCs/>
                <w:sz w:val="21"/>
                <w:szCs w:val="21"/>
              </w:rPr>
            </w:pPr>
            <w:r>
              <w:rPr>
                <w:rFonts w:ascii="Times New Roman" w:hAnsi="Times New Roman"/>
                <w:b/>
                <w:bCs/>
                <w:sz w:val="21"/>
                <w:szCs w:val="21"/>
              </w:rPr>
              <w:t>序号</w:t>
            </w:r>
          </w:p>
        </w:tc>
        <w:tc>
          <w:tcPr>
            <w:tcW w:w="1332" w:type="dxa"/>
            <w:vAlign w:val="center"/>
          </w:tcPr>
          <w:p>
            <w:pPr>
              <w:autoSpaceDE w:val="0"/>
              <w:autoSpaceDN w:val="0"/>
              <w:spacing w:line="240" w:lineRule="auto"/>
              <w:jc w:val="center"/>
              <w:rPr>
                <w:rFonts w:ascii="Times New Roman" w:hAnsi="Times New Roman"/>
                <w:b/>
                <w:bCs/>
                <w:sz w:val="21"/>
                <w:szCs w:val="21"/>
              </w:rPr>
            </w:pPr>
            <w:r>
              <w:rPr>
                <w:rFonts w:ascii="Times New Roman" w:hAnsi="Times New Roman"/>
                <w:b/>
                <w:bCs/>
                <w:sz w:val="21"/>
                <w:szCs w:val="21"/>
              </w:rPr>
              <w:t>名称</w:t>
            </w:r>
          </w:p>
        </w:tc>
        <w:tc>
          <w:tcPr>
            <w:tcW w:w="1991" w:type="dxa"/>
            <w:vAlign w:val="center"/>
          </w:tcPr>
          <w:p>
            <w:pPr>
              <w:autoSpaceDE w:val="0"/>
              <w:autoSpaceDN w:val="0"/>
              <w:spacing w:line="240" w:lineRule="auto"/>
              <w:jc w:val="center"/>
              <w:rPr>
                <w:rFonts w:ascii="Times New Roman" w:hAnsi="Times New Roman"/>
                <w:b/>
                <w:bCs/>
                <w:sz w:val="21"/>
                <w:szCs w:val="21"/>
              </w:rPr>
            </w:pPr>
            <w:r>
              <w:rPr>
                <w:rFonts w:ascii="Times New Roman" w:hAnsi="Times New Roman"/>
                <w:b/>
                <w:bCs/>
                <w:sz w:val="21"/>
                <w:szCs w:val="21"/>
              </w:rPr>
              <w:t>小时消耗量</w:t>
            </w:r>
          </w:p>
        </w:tc>
        <w:tc>
          <w:tcPr>
            <w:tcW w:w="1974" w:type="dxa"/>
            <w:vAlign w:val="center"/>
          </w:tcPr>
          <w:p>
            <w:pPr>
              <w:autoSpaceDE w:val="0"/>
              <w:autoSpaceDN w:val="0"/>
              <w:spacing w:line="240" w:lineRule="auto"/>
              <w:jc w:val="center"/>
              <w:rPr>
                <w:rFonts w:ascii="Times New Roman" w:hAnsi="Times New Roman"/>
                <w:b/>
                <w:bCs/>
                <w:sz w:val="21"/>
                <w:szCs w:val="21"/>
              </w:rPr>
            </w:pPr>
            <w:r>
              <w:rPr>
                <w:rFonts w:ascii="Times New Roman" w:hAnsi="Times New Roman"/>
                <w:b/>
                <w:bCs/>
                <w:sz w:val="21"/>
                <w:szCs w:val="21"/>
              </w:rPr>
              <w:t>年消耗量</w:t>
            </w:r>
          </w:p>
        </w:tc>
        <w:tc>
          <w:tcPr>
            <w:tcW w:w="2108" w:type="dxa"/>
            <w:vAlign w:val="center"/>
          </w:tcPr>
          <w:p>
            <w:pPr>
              <w:autoSpaceDE w:val="0"/>
              <w:autoSpaceDN w:val="0"/>
              <w:spacing w:line="240" w:lineRule="auto"/>
              <w:jc w:val="center"/>
              <w:rPr>
                <w:rFonts w:ascii="Times New Roman" w:hAnsi="Times New Roman"/>
                <w:b/>
                <w:bCs/>
                <w:sz w:val="21"/>
                <w:szCs w:val="21"/>
              </w:rPr>
            </w:pPr>
            <w:r>
              <w:rPr>
                <w:rFonts w:ascii="Times New Roman" w:hAnsi="Times New Roman"/>
                <w:b/>
                <w:bCs/>
                <w:sz w:val="21"/>
                <w:szCs w:val="21"/>
              </w:rPr>
              <w:t>备注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trPr>
        <w:tc>
          <w:tcPr>
            <w:tcW w:w="102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w:t>
            </w:r>
          </w:p>
        </w:tc>
        <w:tc>
          <w:tcPr>
            <w:tcW w:w="1332"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电</w:t>
            </w:r>
          </w:p>
        </w:tc>
        <w:tc>
          <w:tcPr>
            <w:tcW w:w="199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kw·h/年</w:t>
            </w:r>
          </w:p>
        </w:tc>
        <w:tc>
          <w:tcPr>
            <w:tcW w:w="1974"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614000</w:t>
            </w:r>
          </w:p>
        </w:tc>
        <w:tc>
          <w:tcPr>
            <w:tcW w:w="2108"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邛崃市供电公司</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trPr>
        <w:tc>
          <w:tcPr>
            <w:tcW w:w="102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2</w:t>
            </w:r>
          </w:p>
        </w:tc>
        <w:tc>
          <w:tcPr>
            <w:tcW w:w="1332"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天然气</w:t>
            </w:r>
          </w:p>
        </w:tc>
        <w:tc>
          <w:tcPr>
            <w:tcW w:w="199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3</w:t>
            </w:r>
            <w:r>
              <w:rPr>
                <w:rFonts w:ascii="Times New Roman" w:hAnsi="Times New Roman"/>
                <w:bCs/>
                <w:sz w:val="21"/>
                <w:szCs w:val="21"/>
              </w:rPr>
              <w:t>/年</w:t>
            </w:r>
          </w:p>
        </w:tc>
        <w:tc>
          <w:tcPr>
            <w:tcW w:w="1974"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19000</w:t>
            </w:r>
          </w:p>
        </w:tc>
        <w:tc>
          <w:tcPr>
            <w:tcW w:w="2108"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大邑燃气公司</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trPr>
        <w:tc>
          <w:tcPr>
            <w:tcW w:w="1026"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3</w:t>
            </w:r>
          </w:p>
        </w:tc>
        <w:tc>
          <w:tcPr>
            <w:tcW w:w="1332"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新水</w:t>
            </w:r>
          </w:p>
        </w:tc>
        <w:tc>
          <w:tcPr>
            <w:tcW w:w="1991"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m</w:t>
            </w:r>
            <w:r>
              <w:rPr>
                <w:rFonts w:ascii="Times New Roman" w:hAnsi="Times New Roman"/>
                <w:bCs/>
                <w:sz w:val="21"/>
                <w:szCs w:val="21"/>
                <w:vertAlign w:val="superscript"/>
              </w:rPr>
              <w:t>3</w:t>
            </w:r>
            <w:r>
              <w:rPr>
                <w:rFonts w:ascii="Times New Roman" w:hAnsi="Times New Roman"/>
                <w:bCs/>
                <w:sz w:val="21"/>
                <w:szCs w:val="21"/>
              </w:rPr>
              <w:t>/年</w:t>
            </w:r>
          </w:p>
        </w:tc>
        <w:tc>
          <w:tcPr>
            <w:tcW w:w="1974"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29776</w:t>
            </w:r>
          </w:p>
        </w:tc>
        <w:tc>
          <w:tcPr>
            <w:tcW w:w="2108" w:type="dxa"/>
            <w:vAlign w:val="center"/>
          </w:tcPr>
          <w:p>
            <w:pPr>
              <w:widowControl/>
              <w:spacing w:line="300" w:lineRule="exact"/>
              <w:jc w:val="center"/>
              <w:rPr>
                <w:rFonts w:ascii="Times New Roman" w:hAnsi="Times New Roman"/>
                <w:bCs/>
                <w:sz w:val="21"/>
                <w:szCs w:val="21"/>
              </w:rPr>
            </w:pPr>
            <w:r>
              <w:rPr>
                <w:rFonts w:ascii="Times New Roman" w:hAnsi="Times New Roman"/>
                <w:bCs/>
                <w:sz w:val="21"/>
                <w:szCs w:val="21"/>
              </w:rPr>
              <w:t>地下水井</w:t>
            </w:r>
          </w:p>
        </w:tc>
      </w:tr>
    </w:tbl>
    <w:p>
      <w:pPr>
        <w:pStyle w:val="108"/>
      </w:pPr>
      <w:bookmarkStart w:id="97" w:name="_Toc9873313"/>
      <w:r>
        <w:t>2.1.5　现有工程生产工艺流程</w:t>
      </w:r>
      <w:bookmarkEnd w:id="97"/>
    </w:p>
    <w:p>
      <w:pPr>
        <w:ind w:firstLine="480"/>
        <w:rPr>
          <w:rFonts w:ascii="Times New Roman" w:hAnsi="Times New Roman"/>
          <w:sz w:val="24"/>
          <w:szCs w:val="24"/>
        </w:rPr>
      </w:pPr>
      <w:bookmarkStart w:id="98" w:name="_Toc2944"/>
      <w:r>
        <w:rPr>
          <w:rFonts w:ascii="Times New Roman" w:hAnsi="Times New Roman"/>
          <w:sz w:val="24"/>
          <w:szCs w:val="24"/>
        </w:rPr>
        <w:t>项目采用直接引进优质断奶仔猪，采购成品饲料，利用集约化的方式生产育肥猪。生产主要分为饲料备料工程、猪饲养过程和猪粪污处理过程。</w:t>
      </w:r>
    </w:p>
    <w:p>
      <w:pPr>
        <w:pStyle w:val="104"/>
      </w:pPr>
      <w:r>
        <w:t>1、养殖生产工艺</w:t>
      </w:r>
    </w:p>
    <w:p>
      <w:pPr>
        <w:ind w:firstLine="480"/>
        <w:rPr>
          <w:rFonts w:ascii="Times New Roman" w:hAnsi="Times New Roman"/>
          <w:sz w:val="24"/>
          <w:szCs w:val="24"/>
        </w:rPr>
      </w:pPr>
      <w:r>
        <w:rPr>
          <w:rFonts w:ascii="Times New Roman" w:hAnsi="Times New Roman"/>
          <w:sz w:val="24"/>
          <w:szCs w:val="24"/>
        </w:rPr>
        <w:t>饲养过程：项目只包括仔猪保育、育肥两个阶段。</w:t>
      </w:r>
    </w:p>
    <w:p>
      <w:pPr>
        <w:ind w:firstLine="48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仔猪保育阶段。断奶3-7天后仔猪进入仔猪保育舍培育至9周龄转群，仔猪在保育舍4周。</w:t>
      </w:r>
    </w:p>
    <w:p>
      <w:pPr>
        <w:ind w:firstLine="48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中大猪育肥阶段。9周龄仔猪由保育舍转入到中大圈舍饲养16周左右，预计饲养至24周龄左右，体重达110公斤左右出栏上市。一般每周可出栏577头猪左右。</w:t>
      </w:r>
    </w:p>
    <w:p>
      <w:pPr>
        <w:ind w:firstLine="480"/>
        <w:rPr>
          <w:rFonts w:ascii="Times New Roman" w:hAnsi="Times New Roman"/>
          <w:sz w:val="24"/>
          <w:szCs w:val="24"/>
        </w:rPr>
      </w:pPr>
      <w:r>
        <w:rPr>
          <w:rFonts w:ascii="Times New Roman" w:hAnsi="Times New Roman"/>
          <w:sz w:val="24"/>
          <w:szCs w:val="24"/>
        </w:rPr>
        <w:t>猪只饲养过程及主要产污位置图2.1-1。</w:t>
      </w:r>
    </w:p>
    <w:p>
      <w:pPr>
        <w:ind w:firstLine="480"/>
        <w:rPr>
          <w:rFonts w:ascii="Times New Roman" w:hAnsi="Times New Roman"/>
        </w:rPr>
      </w:pPr>
      <w:r>
        <w:rPr>
          <w:rFonts w:ascii="Times New Roman" w:hAnsi="Times New Roman"/>
        </w:rPr>
        <mc:AlternateContent>
          <mc:Choice Requires="wpg">
            <w:drawing>
              <wp:inline distT="0" distB="0" distL="0" distR="0">
                <wp:extent cx="5194300" cy="3876040"/>
                <wp:effectExtent l="0" t="0" r="0" b="0"/>
                <wp:docPr id="1" name="组合 1"/>
                <wp:cNvGraphicFramePr/>
                <a:graphic xmlns:a="http://schemas.openxmlformats.org/drawingml/2006/main">
                  <a:graphicData uri="http://schemas.microsoft.com/office/word/2010/wordprocessingGroup">
                    <wpg:wgp>
                      <wpg:cNvGrpSpPr/>
                      <wpg:grpSpPr>
                        <a:xfrm>
                          <a:off x="0" y="0"/>
                          <a:ext cx="5194300" cy="3876411"/>
                          <a:chOff x="2397" y="6444"/>
                          <a:chExt cx="7320" cy="5645"/>
                        </a:xfrm>
                      </wpg:grpSpPr>
                      <wps:wsp>
                        <wps:cNvPr id="2" name="Rectangle 129"/>
                        <wps:cNvSpPr>
                          <a:spLocks noChangeArrowheads="1"/>
                        </wps:cNvSpPr>
                        <wps:spPr bwMode="auto">
                          <a:xfrm>
                            <a:off x="4074" y="7187"/>
                            <a:ext cx="3000" cy="1040"/>
                          </a:xfrm>
                          <a:prstGeom prst="rect">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s:wsp>
                        <wps:cNvPr id="3" name="Text Box 130"/>
                        <wps:cNvSpPr txBox="1">
                          <a:spLocks noChangeArrowheads="1"/>
                        </wps:cNvSpPr>
                        <wps:spPr bwMode="auto">
                          <a:xfrm>
                            <a:off x="5877" y="7536"/>
                            <a:ext cx="960" cy="472"/>
                          </a:xfrm>
                          <a:prstGeom prst="rect">
                            <a:avLst/>
                          </a:prstGeom>
                          <a:noFill/>
                          <a:ln w="9525">
                            <a:solidFill>
                              <a:srgbClr val="000000"/>
                            </a:solidFill>
                            <a:miter lim="800000"/>
                          </a:ln>
                        </wps:spPr>
                        <wps:txbx>
                          <w:txbxContent>
                            <w:p>
                              <w:pPr>
                                <w:pStyle w:val="113"/>
                                <w:rPr>
                                  <w:sz w:val="18"/>
                                  <w:szCs w:val="18"/>
                                </w:rPr>
                              </w:pPr>
                              <w:r>
                                <w:rPr>
                                  <w:rFonts w:hint="eastAsia" w:ascii="宋体" w:eastAsia="宋体"/>
                                  <w:kern w:val="2"/>
                                  <w:sz w:val="18"/>
                                  <w:szCs w:val="18"/>
                                </w:rPr>
                                <w:t>育肥</w:t>
                              </w:r>
                            </w:p>
                          </w:txbxContent>
                        </wps:txbx>
                        <wps:bodyPr rot="0" vert="horz" wrap="square" lIns="91440" tIns="45720" rIns="91440" bIns="45720" anchor="t" anchorCtr="0" upright="1">
                          <a:noAutofit/>
                        </wps:bodyPr>
                      </wps:wsp>
                      <wps:wsp>
                        <wps:cNvPr id="4" name="Text Box 131"/>
                        <wps:cNvSpPr txBox="1">
                          <a:spLocks noChangeArrowheads="1"/>
                        </wps:cNvSpPr>
                        <wps:spPr bwMode="auto">
                          <a:xfrm>
                            <a:off x="7557" y="7600"/>
                            <a:ext cx="1200" cy="474"/>
                          </a:xfrm>
                          <a:prstGeom prst="rect">
                            <a:avLst/>
                          </a:prstGeom>
                          <a:noFill/>
                          <a:ln>
                            <a:noFill/>
                          </a:ln>
                        </wps:spPr>
                        <wps:txbx>
                          <w:txbxContent>
                            <w:p>
                              <w:pPr>
                                <w:pStyle w:val="113"/>
                                <w:rPr>
                                  <w:sz w:val="18"/>
                                  <w:szCs w:val="18"/>
                                </w:rPr>
                              </w:pPr>
                              <w:r>
                                <w:rPr>
                                  <w:rFonts w:hint="eastAsia" w:ascii="宋体" w:eastAsia="宋体"/>
                                  <w:kern w:val="2"/>
                                  <w:sz w:val="18"/>
                                  <w:szCs w:val="18"/>
                                </w:rPr>
                                <w:t>出栏外售</w:t>
                              </w:r>
                            </w:p>
                          </w:txbxContent>
                        </wps:txbx>
                        <wps:bodyPr rot="0" vert="horz" wrap="square" lIns="91440" tIns="45720" rIns="91440" bIns="45720" anchor="t" anchorCtr="0" upright="1">
                          <a:noAutofit/>
                        </wps:bodyPr>
                      </wps:wsp>
                      <wps:wsp>
                        <wps:cNvPr id="5" name="Line 132"/>
                        <wps:cNvCnPr/>
                        <wps:spPr bwMode="auto">
                          <a:xfrm>
                            <a:off x="4629" y="8200"/>
                            <a:ext cx="0" cy="439"/>
                          </a:xfrm>
                          <a:prstGeom prst="line">
                            <a:avLst/>
                          </a:prstGeom>
                          <a:noFill/>
                          <a:ln w="9525">
                            <a:solidFill>
                              <a:srgbClr val="000000"/>
                            </a:solidFill>
                            <a:prstDash val="sysDot"/>
                            <a:round/>
                            <a:tailEnd type="triangle" w="sm" len="lg"/>
                          </a:ln>
                        </wps:spPr>
                        <wps:bodyPr/>
                      </wps:wsp>
                      <wps:wsp>
                        <wps:cNvPr id="6" name="Text Box 133"/>
                        <wps:cNvSpPr txBox="1">
                          <a:spLocks noChangeArrowheads="1"/>
                        </wps:cNvSpPr>
                        <wps:spPr bwMode="auto">
                          <a:xfrm>
                            <a:off x="4437" y="7536"/>
                            <a:ext cx="720" cy="450"/>
                          </a:xfrm>
                          <a:prstGeom prst="rect">
                            <a:avLst/>
                          </a:prstGeom>
                          <a:noFill/>
                          <a:ln w="9525">
                            <a:solidFill>
                              <a:srgbClr val="000000"/>
                            </a:solidFill>
                            <a:miter lim="800000"/>
                          </a:ln>
                        </wps:spPr>
                        <wps:txbx>
                          <w:txbxContent>
                            <w:p>
                              <w:pPr>
                                <w:pStyle w:val="113"/>
                                <w:rPr>
                                  <w:rFonts w:ascii="宋体" w:eastAsia="宋体"/>
                                  <w:sz w:val="18"/>
                                  <w:szCs w:val="18"/>
                                </w:rPr>
                              </w:pPr>
                              <w:r>
                                <w:rPr>
                                  <w:rFonts w:hint="eastAsia" w:ascii="宋体" w:eastAsia="宋体"/>
                                  <w:sz w:val="18"/>
                                  <w:szCs w:val="18"/>
                                </w:rPr>
                                <w:t>保育</w:t>
                              </w:r>
                            </w:p>
                          </w:txbxContent>
                        </wps:txbx>
                        <wps:bodyPr rot="0" vert="horz" wrap="square" lIns="91440" tIns="45720" rIns="91440" bIns="45720" anchor="t" anchorCtr="0" upright="1">
                          <a:noAutofit/>
                        </wps:bodyPr>
                      </wps:wsp>
                      <wps:wsp>
                        <wps:cNvPr id="7" name="Line 134"/>
                        <wps:cNvCnPr/>
                        <wps:spPr bwMode="auto">
                          <a:xfrm>
                            <a:off x="5157" y="7744"/>
                            <a:ext cx="720" cy="0"/>
                          </a:xfrm>
                          <a:prstGeom prst="line">
                            <a:avLst/>
                          </a:prstGeom>
                          <a:noFill/>
                          <a:ln w="9525">
                            <a:solidFill>
                              <a:srgbClr val="000000"/>
                            </a:solidFill>
                            <a:round/>
                            <a:tailEnd type="triangle" w="sm" len="lg"/>
                          </a:ln>
                        </wps:spPr>
                        <wps:bodyPr/>
                      </wps:wsp>
                      <wps:wsp>
                        <wps:cNvPr id="8" name="Line 135"/>
                        <wps:cNvCnPr/>
                        <wps:spPr bwMode="auto">
                          <a:xfrm>
                            <a:off x="6837" y="7808"/>
                            <a:ext cx="720" cy="0"/>
                          </a:xfrm>
                          <a:prstGeom prst="line">
                            <a:avLst/>
                          </a:prstGeom>
                          <a:noFill/>
                          <a:ln w="9525">
                            <a:solidFill>
                              <a:srgbClr val="000000"/>
                            </a:solidFill>
                            <a:round/>
                            <a:tailEnd type="triangle" w="sm" len="lg"/>
                          </a:ln>
                        </wps:spPr>
                        <wps:bodyPr/>
                      </wps:wsp>
                      <wps:wsp>
                        <wps:cNvPr id="9" name="Line 136"/>
                        <wps:cNvCnPr/>
                        <wps:spPr bwMode="auto">
                          <a:xfrm flipV="1">
                            <a:off x="4797" y="6744"/>
                            <a:ext cx="0" cy="413"/>
                          </a:xfrm>
                          <a:prstGeom prst="line">
                            <a:avLst/>
                          </a:prstGeom>
                          <a:noFill/>
                          <a:ln w="9525">
                            <a:solidFill>
                              <a:srgbClr val="000000"/>
                            </a:solidFill>
                            <a:prstDash val="sysDot"/>
                            <a:round/>
                            <a:tailEnd type="triangle" w="sm" len="lg"/>
                          </a:ln>
                        </wps:spPr>
                        <wps:bodyPr/>
                      </wps:wsp>
                      <wps:wsp>
                        <wps:cNvPr id="10" name="Text Box 137"/>
                        <wps:cNvSpPr txBox="1">
                          <a:spLocks noChangeArrowheads="1"/>
                        </wps:cNvSpPr>
                        <wps:spPr bwMode="auto">
                          <a:xfrm>
                            <a:off x="4629" y="6444"/>
                            <a:ext cx="1365" cy="287"/>
                          </a:xfrm>
                          <a:prstGeom prst="rect">
                            <a:avLst/>
                          </a:prstGeom>
                          <a:noFill/>
                          <a:ln>
                            <a:noFill/>
                          </a:ln>
                        </wps:spPr>
                        <wps:txbx>
                          <w:txbxContent>
                            <w:p>
                              <w:pPr>
                                <w:pStyle w:val="113"/>
                                <w:rPr>
                                  <w:sz w:val="18"/>
                                  <w:szCs w:val="18"/>
                                </w:rPr>
                              </w:pPr>
                              <w:r>
                                <w:rPr>
                                  <w:rFonts w:hint="eastAsia" w:ascii="宋体" w:eastAsia="宋体"/>
                                  <w:sz w:val="18"/>
                                  <w:szCs w:val="18"/>
                                </w:rPr>
                                <w:t>噪声、恶臭</w:t>
                              </w:r>
                            </w:p>
                          </w:txbxContent>
                        </wps:txbx>
                        <wps:bodyPr rot="0" vert="horz" wrap="square" lIns="0" tIns="0" rIns="0" bIns="0" anchor="t" anchorCtr="0" upright="1">
                          <a:noAutofit/>
                        </wps:bodyPr>
                      </wps:wsp>
                      <wps:wsp>
                        <wps:cNvPr id="11" name="Line 138"/>
                        <wps:cNvCnPr/>
                        <wps:spPr bwMode="auto">
                          <a:xfrm>
                            <a:off x="3717" y="7744"/>
                            <a:ext cx="720" cy="0"/>
                          </a:xfrm>
                          <a:prstGeom prst="line">
                            <a:avLst/>
                          </a:prstGeom>
                          <a:noFill/>
                          <a:ln w="9525">
                            <a:solidFill>
                              <a:srgbClr val="000000"/>
                            </a:solidFill>
                            <a:round/>
                            <a:tailEnd type="triangle" w="sm" len="lg"/>
                          </a:ln>
                        </wps:spPr>
                        <wps:bodyPr/>
                      </wps:wsp>
                      <wps:wsp>
                        <wps:cNvPr id="12" name="Text Box 139"/>
                        <wps:cNvSpPr txBox="1">
                          <a:spLocks noChangeArrowheads="1"/>
                        </wps:cNvSpPr>
                        <wps:spPr bwMode="auto">
                          <a:xfrm>
                            <a:off x="2397" y="7516"/>
                            <a:ext cx="1440" cy="474"/>
                          </a:xfrm>
                          <a:prstGeom prst="rect">
                            <a:avLst/>
                          </a:prstGeom>
                          <a:noFill/>
                          <a:ln>
                            <a:noFill/>
                          </a:ln>
                        </wps:spPr>
                        <wps:txbx>
                          <w:txbxContent>
                            <w:p>
                              <w:pPr>
                                <w:pStyle w:val="113"/>
                                <w:rPr>
                                  <w:sz w:val="18"/>
                                  <w:szCs w:val="18"/>
                                </w:rPr>
                              </w:pPr>
                              <w:r>
                                <w:rPr>
                                  <w:rFonts w:hint="eastAsia" w:ascii="宋体" w:eastAsia="宋体"/>
                                  <w:kern w:val="2"/>
                                  <w:sz w:val="18"/>
                                  <w:szCs w:val="18"/>
                                </w:rPr>
                                <w:t>外购合格仔猪</w:t>
                              </w:r>
                            </w:p>
                          </w:txbxContent>
                        </wps:txbx>
                        <wps:bodyPr rot="0" vert="horz" wrap="square" lIns="91440" tIns="45720" rIns="91440" bIns="45720" anchor="t" anchorCtr="0" upright="1">
                          <a:noAutofit/>
                        </wps:bodyPr>
                      </wps:wsp>
                      <wps:wsp>
                        <wps:cNvPr id="13" name="Text Box 140"/>
                        <wps:cNvSpPr txBox="1">
                          <a:spLocks noChangeArrowheads="1"/>
                        </wps:cNvSpPr>
                        <wps:spPr bwMode="auto">
                          <a:xfrm>
                            <a:off x="5757" y="10408"/>
                            <a:ext cx="1800" cy="472"/>
                          </a:xfrm>
                          <a:prstGeom prst="rect">
                            <a:avLst/>
                          </a:prstGeom>
                          <a:noFill/>
                          <a:ln w="9525">
                            <a:solidFill>
                              <a:srgbClr val="000000"/>
                            </a:solidFill>
                            <a:miter lim="800000"/>
                          </a:ln>
                        </wps:spPr>
                        <wps:txbx>
                          <w:txbxContent>
                            <w:p>
                              <w:pPr>
                                <w:pStyle w:val="113"/>
                                <w:rPr>
                                  <w:sz w:val="18"/>
                                  <w:szCs w:val="18"/>
                                </w:rPr>
                              </w:pPr>
                              <w:r>
                                <w:rPr>
                                  <w:rFonts w:hint="eastAsia" w:ascii="宋体" w:eastAsia="宋体"/>
                                  <w:kern w:val="2"/>
                                  <w:sz w:val="18"/>
                                  <w:szCs w:val="18"/>
                                </w:rPr>
                                <w:t>发酵深坑</w:t>
                              </w:r>
                            </w:p>
                          </w:txbxContent>
                        </wps:txbx>
                        <wps:bodyPr rot="0" vert="horz" wrap="square" lIns="91440" tIns="45720" rIns="91440" bIns="45720" anchor="t" anchorCtr="0" upright="1">
                          <a:noAutofit/>
                        </wps:bodyPr>
                      </wps:wsp>
                      <wps:wsp>
                        <wps:cNvPr id="14" name="Text Box 141"/>
                        <wps:cNvSpPr txBox="1">
                          <a:spLocks noChangeArrowheads="1"/>
                        </wps:cNvSpPr>
                        <wps:spPr bwMode="auto">
                          <a:xfrm>
                            <a:off x="6357" y="11408"/>
                            <a:ext cx="2040" cy="681"/>
                          </a:xfrm>
                          <a:prstGeom prst="rect">
                            <a:avLst/>
                          </a:prstGeom>
                          <a:noFill/>
                          <a:ln>
                            <a:noFill/>
                          </a:ln>
                        </wps:spPr>
                        <wps:txbx>
                          <w:txbxContent>
                            <w:p>
                              <w:pPr>
                                <w:pStyle w:val="113"/>
                                <w:rPr>
                                  <w:rFonts w:ascii="宋体" w:eastAsia="宋体"/>
                                  <w:kern w:val="2"/>
                                  <w:sz w:val="18"/>
                                  <w:szCs w:val="18"/>
                                </w:rPr>
                              </w:pPr>
                              <w:r>
                                <w:rPr>
                                  <w:rFonts w:hint="eastAsia" w:ascii="宋体" w:eastAsia="宋体"/>
                                  <w:kern w:val="2"/>
                                  <w:sz w:val="18"/>
                                  <w:szCs w:val="18"/>
                                </w:rPr>
                                <w:t>粪污合作社收运</w:t>
                              </w:r>
                            </w:p>
                            <w:p>
                              <w:pPr>
                                <w:pStyle w:val="113"/>
                                <w:rPr>
                                  <w:sz w:val="18"/>
                                  <w:szCs w:val="18"/>
                                </w:rPr>
                              </w:pPr>
                              <w:r>
                                <w:rPr>
                                  <w:rFonts w:hint="eastAsia" w:ascii="宋体" w:eastAsia="宋体"/>
                                  <w:kern w:val="2"/>
                                  <w:sz w:val="18"/>
                                  <w:szCs w:val="18"/>
                                </w:rPr>
                                <w:t>废水作农肥综合利用</w:t>
                              </w:r>
                            </w:p>
                          </w:txbxContent>
                        </wps:txbx>
                        <wps:bodyPr rot="0" vert="horz" wrap="square" lIns="91440" tIns="45720" rIns="91440" bIns="45720" anchor="t" anchorCtr="0" upright="1">
                          <a:noAutofit/>
                        </wps:bodyPr>
                      </wps:wsp>
                      <wps:wsp>
                        <wps:cNvPr id="15" name="Line 142"/>
                        <wps:cNvCnPr/>
                        <wps:spPr bwMode="auto">
                          <a:xfrm>
                            <a:off x="6189" y="8200"/>
                            <a:ext cx="0" cy="439"/>
                          </a:xfrm>
                          <a:prstGeom prst="line">
                            <a:avLst/>
                          </a:prstGeom>
                          <a:noFill/>
                          <a:ln w="9525">
                            <a:solidFill>
                              <a:srgbClr val="000000"/>
                            </a:solidFill>
                            <a:prstDash val="sysDot"/>
                            <a:round/>
                            <a:tailEnd type="triangle" w="sm" len="lg"/>
                          </a:ln>
                        </wps:spPr>
                        <wps:bodyPr/>
                      </wps:wsp>
                      <wps:wsp>
                        <wps:cNvPr id="16" name="Text Box 143"/>
                        <wps:cNvSpPr txBox="1">
                          <a:spLocks noChangeArrowheads="1"/>
                        </wps:cNvSpPr>
                        <wps:spPr bwMode="auto">
                          <a:xfrm>
                            <a:off x="4317" y="8640"/>
                            <a:ext cx="2160" cy="428"/>
                          </a:xfrm>
                          <a:prstGeom prst="rect">
                            <a:avLst/>
                          </a:prstGeom>
                          <a:noFill/>
                          <a:ln w="9525">
                            <a:solidFill>
                              <a:srgbClr val="000000"/>
                            </a:solidFill>
                            <a:miter lim="800000"/>
                          </a:ln>
                        </wps:spPr>
                        <wps:txbx>
                          <w:txbxContent>
                            <w:p>
                              <w:pPr>
                                <w:pStyle w:val="113"/>
                                <w:adjustRightInd w:val="0"/>
                                <w:snapToGrid w:val="0"/>
                                <w:spacing w:line="200" w:lineRule="atLeast"/>
                                <w:rPr>
                                  <w:sz w:val="18"/>
                                  <w:szCs w:val="18"/>
                                </w:rPr>
                              </w:pPr>
                              <w:r>
                                <w:rPr>
                                  <w:rFonts w:hint="eastAsia" w:ascii="宋体" w:eastAsia="宋体"/>
                                  <w:kern w:val="2"/>
                                  <w:sz w:val="18"/>
                                  <w:szCs w:val="18"/>
                                </w:rPr>
                                <w:t>猪粪              猪尿</w:t>
                              </w:r>
                            </w:p>
                          </w:txbxContent>
                        </wps:txbx>
                        <wps:bodyPr rot="0" vert="horz" wrap="square" lIns="0" tIns="0" rIns="0" bIns="0" anchor="t" anchorCtr="0" upright="1">
                          <a:noAutofit/>
                        </wps:bodyPr>
                      </wps:wsp>
                      <wps:wsp>
                        <wps:cNvPr id="17" name="Line 144"/>
                        <wps:cNvCnPr/>
                        <wps:spPr bwMode="auto">
                          <a:xfrm>
                            <a:off x="7557" y="10720"/>
                            <a:ext cx="720" cy="0"/>
                          </a:xfrm>
                          <a:prstGeom prst="line">
                            <a:avLst/>
                          </a:prstGeom>
                          <a:noFill/>
                          <a:ln w="9525">
                            <a:solidFill>
                              <a:srgbClr val="000000"/>
                            </a:solidFill>
                            <a:round/>
                            <a:tailEnd type="triangle" w="sm" len="lg"/>
                          </a:ln>
                        </wps:spPr>
                        <wps:bodyPr/>
                      </wps:wsp>
                      <wps:wsp>
                        <wps:cNvPr id="18" name="Line 145"/>
                        <wps:cNvCnPr/>
                        <wps:spPr bwMode="auto">
                          <a:xfrm>
                            <a:off x="7077" y="10928"/>
                            <a:ext cx="0" cy="416"/>
                          </a:xfrm>
                          <a:prstGeom prst="line">
                            <a:avLst/>
                          </a:prstGeom>
                          <a:noFill/>
                          <a:ln w="9525">
                            <a:solidFill>
                              <a:srgbClr val="000000"/>
                            </a:solidFill>
                            <a:round/>
                            <a:tailEnd type="triangle" w="med" len="med"/>
                          </a:ln>
                        </wps:spPr>
                        <wps:bodyPr/>
                      </wps:wsp>
                      <wps:wsp>
                        <wps:cNvPr id="19" name="Text Box 146"/>
                        <wps:cNvSpPr txBox="1">
                          <a:spLocks noChangeArrowheads="1"/>
                        </wps:cNvSpPr>
                        <wps:spPr bwMode="auto">
                          <a:xfrm>
                            <a:off x="8277" y="10534"/>
                            <a:ext cx="1440" cy="474"/>
                          </a:xfrm>
                          <a:prstGeom prst="rect">
                            <a:avLst/>
                          </a:prstGeom>
                          <a:noFill/>
                          <a:ln>
                            <a:noFill/>
                          </a:ln>
                        </wps:spPr>
                        <wps:txbx>
                          <w:txbxContent>
                            <w:p>
                              <w:pPr>
                                <w:pStyle w:val="113"/>
                                <w:jc w:val="left"/>
                                <w:rPr>
                                  <w:sz w:val="18"/>
                                  <w:szCs w:val="18"/>
                                </w:rPr>
                              </w:pPr>
                              <w:r>
                                <w:rPr>
                                  <w:rFonts w:hint="eastAsia" w:ascii="宋体" w:eastAsia="宋体"/>
                                  <w:kern w:val="2"/>
                                  <w:sz w:val="18"/>
                                  <w:szCs w:val="18"/>
                                </w:rPr>
                                <w:t>无组织排放</w:t>
                              </w:r>
                            </w:p>
                          </w:txbxContent>
                        </wps:txbx>
                        <wps:bodyPr rot="0" vert="horz" wrap="square" lIns="91440" tIns="45720" rIns="91440" bIns="45720" anchor="t" anchorCtr="0" upright="1">
                          <a:noAutofit/>
                        </wps:bodyPr>
                      </wps:wsp>
                      <wps:wsp>
                        <wps:cNvPr id="20" name="Line 147"/>
                        <wps:cNvCnPr/>
                        <wps:spPr bwMode="auto">
                          <a:xfrm>
                            <a:off x="5397" y="9056"/>
                            <a:ext cx="0" cy="416"/>
                          </a:xfrm>
                          <a:prstGeom prst="line">
                            <a:avLst/>
                          </a:prstGeom>
                          <a:noFill/>
                          <a:ln w="9525">
                            <a:solidFill>
                              <a:srgbClr val="000000"/>
                            </a:solidFill>
                            <a:round/>
                            <a:tailEnd type="triangle" w="med" len="med"/>
                          </a:ln>
                        </wps:spPr>
                        <wps:bodyPr/>
                      </wps:wsp>
                      <wps:wsp>
                        <wps:cNvPr id="21" name="Text Box 148"/>
                        <wps:cNvSpPr txBox="1">
                          <a:spLocks noChangeArrowheads="1"/>
                        </wps:cNvSpPr>
                        <wps:spPr bwMode="auto">
                          <a:xfrm>
                            <a:off x="4074" y="11597"/>
                            <a:ext cx="1560" cy="362"/>
                          </a:xfrm>
                          <a:prstGeom prst="rect">
                            <a:avLst/>
                          </a:prstGeom>
                          <a:noFill/>
                          <a:ln>
                            <a:noFill/>
                          </a:ln>
                        </wps:spPr>
                        <wps:txbx>
                          <w:txbxContent>
                            <w:p>
                              <w:pPr>
                                <w:pStyle w:val="113"/>
                                <w:rPr>
                                  <w:sz w:val="18"/>
                                  <w:szCs w:val="18"/>
                                </w:rPr>
                              </w:pPr>
                              <w:r>
                                <w:rPr>
                                  <w:rFonts w:hint="eastAsia" w:ascii="宋体" w:eastAsia="宋体"/>
                                  <w:kern w:val="2"/>
                                  <w:sz w:val="18"/>
                                  <w:szCs w:val="18"/>
                                </w:rPr>
                                <w:t>有机肥厂收运</w:t>
                              </w:r>
                            </w:p>
                          </w:txbxContent>
                        </wps:txbx>
                        <wps:bodyPr rot="0" vert="horz" wrap="square" lIns="91440" tIns="45720" rIns="91440" bIns="45720" anchor="t" anchorCtr="0" upright="1">
                          <a:noAutofit/>
                        </wps:bodyPr>
                      </wps:wsp>
                      <wps:wsp>
                        <wps:cNvPr id="22" name="Text Box 150"/>
                        <wps:cNvSpPr txBox="1">
                          <a:spLocks noChangeArrowheads="1"/>
                        </wps:cNvSpPr>
                        <wps:spPr bwMode="auto">
                          <a:xfrm>
                            <a:off x="4269" y="9472"/>
                            <a:ext cx="2088" cy="472"/>
                          </a:xfrm>
                          <a:prstGeom prst="rect">
                            <a:avLst/>
                          </a:prstGeom>
                          <a:noFill/>
                          <a:ln w="9525">
                            <a:solidFill>
                              <a:srgbClr val="000000"/>
                            </a:solidFill>
                            <a:miter lim="800000"/>
                          </a:ln>
                        </wps:spPr>
                        <wps:txbx>
                          <w:txbxContent>
                            <w:p>
                              <w:pPr>
                                <w:pStyle w:val="113"/>
                                <w:rPr>
                                  <w:sz w:val="18"/>
                                  <w:szCs w:val="18"/>
                                </w:rPr>
                              </w:pPr>
                              <w:r>
                                <w:rPr>
                                  <w:rFonts w:hint="eastAsia" w:ascii="宋体" w:eastAsia="宋体"/>
                                  <w:kern w:val="2"/>
                                  <w:sz w:val="18"/>
                                  <w:szCs w:val="18"/>
                                </w:rPr>
                                <w:t>人工干清粪</w:t>
                              </w:r>
                            </w:p>
                          </w:txbxContent>
                        </wps:txbx>
                        <wps:bodyPr rot="0" vert="horz" wrap="square" lIns="91440" tIns="45720" rIns="91440" bIns="45720" anchor="t" anchorCtr="0" upright="1">
                          <a:noAutofit/>
                        </wps:bodyPr>
                      </wps:wsp>
                      <wps:wsp>
                        <wps:cNvPr id="23" name="Line 151"/>
                        <wps:cNvCnPr/>
                        <wps:spPr bwMode="auto">
                          <a:xfrm>
                            <a:off x="4749" y="9968"/>
                            <a:ext cx="0" cy="416"/>
                          </a:xfrm>
                          <a:prstGeom prst="line">
                            <a:avLst/>
                          </a:prstGeom>
                          <a:noFill/>
                          <a:ln w="9525">
                            <a:solidFill>
                              <a:srgbClr val="000000"/>
                            </a:solidFill>
                            <a:round/>
                            <a:tailEnd type="triangle" w="med" len="med"/>
                          </a:ln>
                        </wps:spPr>
                        <wps:bodyPr/>
                      </wps:wsp>
                      <wps:wsp>
                        <wps:cNvPr id="24" name="Line 152"/>
                        <wps:cNvCnPr/>
                        <wps:spPr bwMode="auto">
                          <a:xfrm>
                            <a:off x="6237" y="9992"/>
                            <a:ext cx="0" cy="416"/>
                          </a:xfrm>
                          <a:prstGeom prst="line">
                            <a:avLst/>
                          </a:prstGeom>
                          <a:noFill/>
                          <a:ln w="9525">
                            <a:solidFill>
                              <a:srgbClr val="000000"/>
                            </a:solidFill>
                            <a:round/>
                            <a:tailEnd type="triangle" w="med" len="med"/>
                          </a:ln>
                        </wps:spPr>
                        <wps:bodyPr/>
                      </wps:wsp>
                      <wps:wsp>
                        <wps:cNvPr id="25" name="Text Box 153"/>
                        <wps:cNvSpPr txBox="1">
                          <a:spLocks noChangeArrowheads="1"/>
                        </wps:cNvSpPr>
                        <wps:spPr bwMode="auto">
                          <a:xfrm>
                            <a:off x="4629" y="9995"/>
                            <a:ext cx="840" cy="474"/>
                          </a:xfrm>
                          <a:prstGeom prst="rect">
                            <a:avLst/>
                          </a:prstGeom>
                          <a:noFill/>
                          <a:ln>
                            <a:noFill/>
                          </a:ln>
                        </wps:spPr>
                        <wps:txbx>
                          <w:txbxContent>
                            <w:p>
                              <w:pPr>
                                <w:pStyle w:val="113"/>
                                <w:rPr>
                                  <w:sz w:val="18"/>
                                  <w:szCs w:val="18"/>
                                </w:rPr>
                              </w:pPr>
                              <w:r>
                                <w:rPr>
                                  <w:rFonts w:hint="eastAsia" w:ascii="宋体" w:eastAsia="宋体"/>
                                  <w:kern w:val="2"/>
                                  <w:sz w:val="18"/>
                                  <w:szCs w:val="18"/>
                                </w:rPr>
                                <w:t>固体</w:t>
                              </w:r>
                            </w:p>
                          </w:txbxContent>
                        </wps:txbx>
                        <wps:bodyPr rot="0" vert="horz" wrap="square" lIns="91440" tIns="45720" rIns="91440" bIns="45720" anchor="t" anchorCtr="0" upright="1">
                          <a:noAutofit/>
                        </wps:bodyPr>
                      </wps:wsp>
                      <wps:wsp>
                        <wps:cNvPr id="26" name="Text Box 154"/>
                        <wps:cNvSpPr txBox="1">
                          <a:spLocks noChangeArrowheads="1"/>
                        </wps:cNvSpPr>
                        <wps:spPr bwMode="auto">
                          <a:xfrm>
                            <a:off x="6237" y="9952"/>
                            <a:ext cx="840" cy="474"/>
                          </a:xfrm>
                          <a:prstGeom prst="rect">
                            <a:avLst/>
                          </a:prstGeom>
                          <a:noFill/>
                          <a:ln>
                            <a:noFill/>
                          </a:ln>
                        </wps:spPr>
                        <wps:txbx>
                          <w:txbxContent>
                            <w:p>
                              <w:pPr>
                                <w:pStyle w:val="113"/>
                                <w:rPr>
                                  <w:sz w:val="18"/>
                                  <w:szCs w:val="18"/>
                                </w:rPr>
                              </w:pPr>
                              <w:r>
                                <w:rPr>
                                  <w:rFonts w:hint="eastAsia" w:ascii="宋体" w:eastAsia="宋体"/>
                                  <w:kern w:val="2"/>
                                  <w:sz w:val="18"/>
                                  <w:szCs w:val="18"/>
                                </w:rPr>
                                <w:t>液体</w:t>
                              </w:r>
                            </w:p>
                          </w:txbxContent>
                        </wps:txbx>
                        <wps:bodyPr rot="0" vert="horz" wrap="square" lIns="91440" tIns="45720" rIns="91440" bIns="45720" anchor="t" anchorCtr="0" upright="1">
                          <a:noAutofit/>
                        </wps:bodyPr>
                      </wps:wsp>
                      <wps:wsp>
                        <wps:cNvPr id="27" name="Text Box 155"/>
                        <wps:cNvSpPr txBox="1">
                          <a:spLocks noChangeArrowheads="1"/>
                        </wps:cNvSpPr>
                        <wps:spPr bwMode="auto">
                          <a:xfrm>
                            <a:off x="4077" y="10408"/>
                            <a:ext cx="1201" cy="450"/>
                          </a:xfrm>
                          <a:prstGeom prst="rect">
                            <a:avLst/>
                          </a:prstGeom>
                          <a:noFill/>
                          <a:ln w="9525">
                            <a:solidFill>
                              <a:srgbClr val="000000"/>
                            </a:solidFill>
                            <a:miter lim="800000"/>
                          </a:ln>
                        </wps:spPr>
                        <wps:txbx>
                          <w:txbxContent>
                            <w:p>
                              <w:pPr>
                                <w:pStyle w:val="113"/>
                                <w:rPr>
                                  <w:rFonts w:ascii="宋体" w:eastAsia="宋体"/>
                                  <w:sz w:val="18"/>
                                  <w:szCs w:val="18"/>
                                </w:rPr>
                              </w:pPr>
                              <w:r>
                                <w:rPr>
                                  <w:rFonts w:hint="eastAsia" w:ascii="宋体" w:eastAsia="宋体"/>
                                  <w:sz w:val="18"/>
                                  <w:szCs w:val="18"/>
                                </w:rPr>
                                <w:t>干粪堆场</w:t>
                              </w:r>
                            </w:p>
                          </w:txbxContent>
                        </wps:txbx>
                        <wps:bodyPr rot="0" vert="horz" wrap="square" lIns="91440" tIns="45720" rIns="91440" bIns="45720" anchor="t" anchorCtr="0" upright="1">
                          <a:noAutofit/>
                        </wps:bodyPr>
                      </wps:wsp>
                      <wps:wsp>
                        <wps:cNvPr id="28" name="Line 156"/>
                        <wps:cNvCnPr/>
                        <wps:spPr bwMode="auto">
                          <a:xfrm>
                            <a:off x="4797" y="10928"/>
                            <a:ext cx="0" cy="645"/>
                          </a:xfrm>
                          <a:prstGeom prst="line">
                            <a:avLst/>
                          </a:prstGeom>
                          <a:noFill/>
                          <a:ln w="9525">
                            <a:solidFill>
                              <a:srgbClr val="000000"/>
                            </a:solidFill>
                            <a:round/>
                            <a:tailEnd type="triangle" w="med" len="med"/>
                          </a:ln>
                        </wps:spPr>
                        <wps:bodyPr/>
                      </wps:wsp>
                      <wps:wsp>
                        <wps:cNvPr id="29" name="Text Box 157"/>
                        <wps:cNvSpPr txBox="1">
                          <a:spLocks noChangeArrowheads="1"/>
                        </wps:cNvSpPr>
                        <wps:spPr bwMode="auto">
                          <a:xfrm>
                            <a:off x="7557" y="10360"/>
                            <a:ext cx="840" cy="474"/>
                          </a:xfrm>
                          <a:prstGeom prst="rect">
                            <a:avLst/>
                          </a:prstGeom>
                          <a:noFill/>
                          <a:ln>
                            <a:noFill/>
                          </a:ln>
                        </wps:spPr>
                        <wps:txbx>
                          <w:txbxContent>
                            <w:p>
                              <w:pPr>
                                <w:pStyle w:val="113"/>
                                <w:jc w:val="left"/>
                                <w:rPr>
                                  <w:sz w:val="13"/>
                                  <w:szCs w:val="13"/>
                                </w:rPr>
                              </w:pPr>
                              <w:r>
                                <w:rPr>
                                  <w:rFonts w:hint="eastAsia" w:ascii="宋体" w:eastAsia="宋体"/>
                                  <w:kern w:val="2"/>
                                  <w:sz w:val="13"/>
                                  <w:szCs w:val="13"/>
                                </w:rPr>
                                <w:t>极少量沼气</w:t>
                              </w:r>
                            </w:p>
                          </w:txbxContent>
                        </wps:txbx>
                        <wps:bodyPr rot="0" vert="horz" wrap="square" lIns="91440" tIns="45720" rIns="91440" bIns="45720" anchor="t" anchorCtr="0" upright="1">
                          <a:noAutofit/>
                        </wps:bodyPr>
                      </wps:wsp>
                      <wps:wsp>
                        <wps:cNvPr id="30" name="Line 162"/>
                        <wps:cNvCnPr/>
                        <wps:spPr bwMode="auto">
                          <a:xfrm flipV="1">
                            <a:off x="5949" y="6744"/>
                            <a:ext cx="0" cy="416"/>
                          </a:xfrm>
                          <a:prstGeom prst="line">
                            <a:avLst/>
                          </a:prstGeom>
                          <a:noFill/>
                          <a:ln w="9525">
                            <a:solidFill>
                              <a:srgbClr val="000000"/>
                            </a:solidFill>
                            <a:round/>
                            <a:tailEnd type="triangle" w="med" len="med"/>
                          </a:ln>
                        </wps:spPr>
                        <wps:bodyPr/>
                      </wps:wsp>
                    </wpg:wgp>
                  </a:graphicData>
                </a:graphic>
              </wp:inline>
            </w:drawing>
          </mc:Choice>
          <mc:Fallback>
            <w:pict>
              <v:group id="_x0000_s1026" o:spid="_x0000_s1026" o:spt="203" style="height:305.2pt;width:409pt;" coordorigin="2397,6444" coordsize="7320,5645" o:gfxdata="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1HVSg9UAAAAFAQAADwAA&#10;AAAAAAABACAAAAAiAAAAZHJzL2Rvd25yZXYueG1sUEsBAhQAFAAAAAgAh07iQITezb3GBgAAiD8A&#10;AA4AAAAAAAAAAQAgAAAAJAEAAGRycy9lMm9Eb2MueG1sUEsFBgAAAAAGAAYAWQEAAFwKAAAAAA==&#10;">
                <o:lock v:ext="edit" aspectratio="f"/>
                <v:rect id="Rectangle 129" o:spid="_x0000_s1026" o:spt="1" style="position:absolute;left:4074;top:7187;height:1040;width:3000;" fillcolor="#FFFFFF" filled="t" stroked="t" coordsize="21600,21600" o:gfxdata="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8usvQAA&#10;ANoAAAAPAAAAAAAAAAEAIAAAACIAAABkcnMvZG93bnJldi54bWxQSwECFAAUAAAACACHTuJAMy8F&#10;njsAAAA5AAAAEAAAAAAAAAABACAAAAAMAQAAZHJzL3NoYXBleG1sLnhtbFBLBQYAAAAABgAGAFsB&#10;AAC2AwAAAAA=&#10;">
                  <v:fill on="t" focussize="0,0"/>
                  <v:stroke color="#000000" miterlimit="8" joinstyle="miter" dashstyle="dash"/>
                  <v:imagedata o:title=""/>
                  <o:lock v:ext="edit" aspectratio="f"/>
                </v:rect>
                <v:shape id="Text Box 130" o:spid="_x0000_s1026" o:spt="202" type="#_x0000_t202" style="position:absolute;left:5877;top:7536;height:472;width:960;" filled="f" stroked="t" coordsize="21600,21600" o:gfxdata="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7XzH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pStyle w:val="113"/>
                          <w:rPr>
                            <w:sz w:val="18"/>
                            <w:szCs w:val="18"/>
                          </w:rPr>
                        </w:pPr>
                        <w:r>
                          <w:rPr>
                            <w:rFonts w:hint="eastAsia" w:ascii="宋体" w:eastAsia="宋体"/>
                            <w:kern w:val="2"/>
                            <w:sz w:val="18"/>
                            <w:szCs w:val="18"/>
                          </w:rPr>
                          <w:t>育肥</w:t>
                        </w:r>
                      </w:p>
                    </w:txbxContent>
                  </v:textbox>
                </v:shape>
                <v:shape id="Text Box 131" o:spid="_x0000_s1026" o:spt="202" type="#_x0000_t202" style="position:absolute;left:7557;top:7600;height:474;width:1200;"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3"/>
                          <w:rPr>
                            <w:sz w:val="18"/>
                            <w:szCs w:val="18"/>
                          </w:rPr>
                        </w:pPr>
                        <w:r>
                          <w:rPr>
                            <w:rFonts w:hint="eastAsia" w:ascii="宋体" w:eastAsia="宋体"/>
                            <w:kern w:val="2"/>
                            <w:sz w:val="18"/>
                            <w:szCs w:val="18"/>
                          </w:rPr>
                          <w:t>出栏外售</w:t>
                        </w:r>
                      </w:p>
                    </w:txbxContent>
                  </v:textbox>
                </v:shape>
                <v:line id="Line 132" o:spid="_x0000_s1026" o:spt="20" style="position:absolute;left:4629;top:8200;height:439;width:0;" filled="f" stroked="t" coordsize="21600,21600" o:gfxdata="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LdIL4A&#10;AADaAAAADwAAAAAAAAABACAAAAAiAAAAZHJzL2Rvd25yZXYueG1sUEsBAhQAFAAAAAgAh07iQDMv&#10;BZ47AAAAOQAAABAAAAAAAAAAAQAgAAAADQEAAGRycy9zaGFwZXhtbC54bWxQSwUGAAAAAAYABgBb&#10;AQAAtwMAAAAA&#10;">
                  <v:fill on="f" focussize="0,0"/>
                  <v:stroke color="#000000" joinstyle="round" dashstyle="1 1" endarrow="block" endarrowwidth="narrow" endarrowlength="long"/>
                  <v:imagedata o:title=""/>
                  <o:lock v:ext="edit" aspectratio="f"/>
                </v:line>
                <v:shape id="Text Box 133" o:spid="_x0000_s1026" o:spt="202" type="#_x0000_t202" style="position:absolute;left:4437;top:7536;height:450;width:720;" filled="f" stroked="t" coordsize="21600,21600" o:gfxdata="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mt9f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pStyle w:val="113"/>
                          <w:rPr>
                            <w:rFonts w:ascii="宋体" w:eastAsia="宋体"/>
                            <w:sz w:val="18"/>
                            <w:szCs w:val="18"/>
                          </w:rPr>
                        </w:pPr>
                        <w:r>
                          <w:rPr>
                            <w:rFonts w:hint="eastAsia" w:ascii="宋体" w:eastAsia="宋体"/>
                            <w:sz w:val="18"/>
                            <w:szCs w:val="18"/>
                          </w:rPr>
                          <w:t>保育</w:t>
                        </w:r>
                      </w:p>
                    </w:txbxContent>
                  </v:textbox>
                </v:shape>
                <v:line id="Line 134" o:spid="_x0000_s1026" o:spt="20" style="position:absolute;left:5157;top:7744;height:0;width:720;" filled="f" stroked="t" coordsize="21600,21600" o:gfxdata="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aCJ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Line 135" o:spid="_x0000_s1026" o:spt="20" style="position:absolute;left:6837;top:7808;height:0;width:720;" filled="f" stroked="t" coordsize="21600,21600" o:gfxdata="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0+7sAAADa&#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Line 136" o:spid="_x0000_s1026" o:spt="20" style="position:absolute;left:4797;top:6744;flip:y;height:413;width:0;" filled="f" stroked="t" coordsize="21600,21600" o:gfxdata="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0wti8AAAA&#10;2gAAAA8AAAAAAAAAAQAgAAAAIgAAAGRycy9kb3ducmV2LnhtbFBLAQIUABQAAAAIAIdO4kAzLwWe&#10;OwAAADkAAAAQAAAAAAAAAAEAIAAAAAsBAABkcnMvc2hhcGV4bWwueG1sUEsFBgAAAAAGAAYAWwEA&#10;ALUDAAAAAA==&#10;">
                  <v:fill on="f" focussize="0,0"/>
                  <v:stroke color="#000000" joinstyle="round" dashstyle="1 1" endarrow="block" endarrowwidth="narrow" endarrowlength="long"/>
                  <v:imagedata o:title=""/>
                  <o:lock v:ext="edit" aspectratio="f"/>
                </v:line>
                <v:shape id="Text Box 137" o:spid="_x0000_s1026" o:spt="202" type="#_x0000_t202" style="position:absolute;left:4629;top:6444;height:287;width:1365;"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13"/>
                          <w:rPr>
                            <w:sz w:val="18"/>
                            <w:szCs w:val="18"/>
                          </w:rPr>
                        </w:pPr>
                        <w:r>
                          <w:rPr>
                            <w:rFonts w:hint="eastAsia" w:ascii="宋体" w:eastAsia="宋体"/>
                            <w:sz w:val="18"/>
                            <w:szCs w:val="18"/>
                          </w:rPr>
                          <w:t>噪声、恶臭</w:t>
                        </w:r>
                      </w:p>
                    </w:txbxContent>
                  </v:textbox>
                </v:shape>
                <v:line id="Line 138" o:spid="_x0000_s1026" o:spt="20" style="position:absolute;left:3717;top:7744;height:0;width:720;" filled="f" stroked="t" coordsize="21600,21600" o:gfxdata="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Q8K8AAAA&#10;2w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line>
                <v:shape id="Text Box 139" o:spid="_x0000_s1026" o:spt="202" type="#_x0000_t202" style="position:absolute;left:2397;top:7516;height:474;width:1440;"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3"/>
                          <w:rPr>
                            <w:sz w:val="18"/>
                            <w:szCs w:val="18"/>
                          </w:rPr>
                        </w:pPr>
                        <w:r>
                          <w:rPr>
                            <w:rFonts w:hint="eastAsia" w:ascii="宋体" w:eastAsia="宋体"/>
                            <w:kern w:val="2"/>
                            <w:sz w:val="18"/>
                            <w:szCs w:val="18"/>
                          </w:rPr>
                          <w:t>外购合格仔猪</w:t>
                        </w:r>
                      </w:p>
                    </w:txbxContent>
                  </v:textbox>
                </v:shape>
                <v:shape id="Text Box 140" o:spid="_x0000_s1026" o:spt="202" type="#_x0000_t202" style="position:absolute;left:5757;top:10408;height:472;width:1800;" filled="f" stroked="t" coordsize="21600,21600" o:gfxdata="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EzQ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pStyle w:val="113"/>
                          <w:rPr>
                            <w:sz w:val="18"/>
                            <w:szCs w:val="18"/>
                          </w:rPr>
                        </w:pPr>
                        <w:r>
                          <w:rPr>
                            <w:rFonts w:hint="eastAsia" w:ascii="宋体" w:eastAsia="宋体"/>
                            <w:kern w:val="2"/>
                            <w:sz w:val="18"/>
                            <w:szCs w:val="18"/>
                          </w:rPr>
                          <w:t>发酵深坑</w:t>
                        </w:r>
                      </w:p>
                    </w:txbxContent>
                  </v:textbox>
                </v:shape>
                <v:shape id="Text Box 141" o:spid="_x0000_s1026" o:spt="202" type="#_x0000_t202" style="position:absolute;left:6357;top:11408;height:681;width:204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3"/>
                          <w:rPr>
                            <w:rFonts w:ascii="宋体" w:eastAsia="宋体"/>
                            <w:kern w:val="2"/>
                            <w:sz w:val="18"/>
                            <w:szCs w:val="18"/>
                          </w:rPr>
                        </w:pPr>
                        <w:r>
                          <w:rPr>
                            <w:rFonts w:hint="eastAsia" w:ascii="宋体" w:eastAsia="宋体"/>
                            <w:kern w:val="2"/>
                            <w:sz w:val="18"/>
                            <w:szCs w:val="18"/>
                          </w:rPr>
                          <w:t>粪污合作社收运</w:t>
                        </w:r>
                      </w:p>
                      <w:p>
                        <w:pPr>
                          <w:pStyle w:val="113"/>
                          <w:rPr>
                            <w:sz w:val="18"/>
                            <w:szCs w:val="18"/>
                          </w:rPr>
                        </w:pPr>
                        <w:r>
                          <w:rPr>
                            <w:rFonts w:hint="eastAsia" w:ascii="宋体" w:eastAsia="宋体"/>
                            <w:kern w:val="2"/>
                            <w:sz w:val="18"/>
                            <w:szCs w:val="18"/>
                          </w:rPr>
                          <w:t>废水作农肥综合利用</w:t>
                        </w:r>
                      </w:p>
                    </w:txbxContent>
                  </v:textbox>
                </v:shape>
                <v:line id="Line 142" o:spid="_x0000_s1026" o:spt="20" style="position:absolute;left:6189;top:8200;height:439;width:0;" filled="f" stroked="t" coordsize="21600,21600" o:gfxdata="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lDiC8AAAA&#10;2wAAAA8AAAAAAAAAAQAgAAAAIgAAAGRycy9kb3ducmV2LnhtbFBLAQIUABQAAAAIAIdO4kAzLwWe&#10;OwAAADkAAAAQAAAAAAAAAAEAIAAAAAsBAABkcnMvc2hhcGV4bWwueG1sUEsFBgAAAAAGAAYAWwEA&#10;ALUDAAAAAA==&#10;">
                  <v:fill on="f" focussize="0,0"/>
                  <v:stroke color="#000000" joinstyle="round" dashstyle="1 1" endarrow="block" endarrowwidth="narrow" endarrowlength="long"/>
                  <v:imagedata o:title=""/>
                  <o:lock v:ext="edit" aspectratio="f"/>
                </v:line>
                <v:shape id="Text Box 143" o:spid="_x0000_s1026" o:spt="202" type="#_x0000_t202" style="position:absolute;left:4317;top:8640;height:428;width:2160;" filled="f" stroked="t" coordsize="21600,21600" o:gfxdata="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Kcc28AAAA&#10;2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inset="0mm,0mm,0mm,0mm">
                    <w:txbxContent>
                      <w:p>
                        <w:pPr>
                          <w:pStyle w:val="113"/>
                          <w:adjustRightInd w:val="0"/>
                          <w:snapToGrid w:val="0"/>
                          <w:spacing w:line="200" w:lineRule="atLeast"/>
                          <w:rPr>
                            <w:sz w:val="18"/>
                            <w:szCs w:val="18"/>
                          </w:rPr>
                        </w:pPr>
                        <w:r>
                          <w:rPr>
                            <w:rFonts w:hint="eastAsia" w:ascii="宋体" w:eastAsia="宋体"/>
                            <w:kern w:val="2"/>
                            <w:sz w:val="18"/>
                            <w:szCs w:val="18"/>
                          </w:rPr>
                          <w:t>猪粪              猪尿</w:t>
                        </w:r>
                      </w:p>
                    </w:txbxContent>
                  </v:textbox>
                </v:shape>
                <v:line id="Line 144" o:spid="_x0000_s1026" o:spt="20" style="position:absolute;left:7557;top:10720;height:0;width:720;" filled="f" stroked="t" coordsize="21600,21600" o:gfxdata="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4t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Line 145" o:spid="_x0000_s1026" o:spt="20" style="position:absolute;left:7077;top:10928;height:416;width: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46" o:spid="_x0000_s1026" o:spt="202" type="#_x0000_t202" style="position:absolute;left:8277;top:10534;height:474;width:1440;"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13"/>
                          <w:jc w:val="left"/>
                          <w:rPr>
                            <w:sz w:val="18"/>
                            <w:szCs w:val="18"/>
                          </w:rPr>
                        </w:pPr>
                        <w:r>
                          <w:rPr>
                            <w:rFonts w:hint="eastAsia" w:ascii="宋体" w:eastAsia="宋体"/>
                            <w:kern w:val="2"/>
                            <w:sz w:val="18"/>
                            <w:szCs w:val="18"/>
                          </w:rPr>
                          <w:t>无组织排放</w:t>
                        </w:r>
                      </w:p>
                    </w:txbxContent>
                  </v:textbox>
                </v:shape>
                <v:line id="Line 147" o:spid="_x0000_s1026" o:spt="20" style="position:absolute;left:5397;top:9056;height:416;width:0;"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48" o:spid="_x0000_s1026" o:spt="202" type="#_x0000_t202" style="position:absolute;left:4074;top:11597;height:362;width:1560;"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3"/>
                          <w:rPr>
                            <w:sz w:val="18"/>
                            <w:szCs w:val="18"/>
                          </w:rPr>
                        </w:pPr>
                        <w:r>
                          <w:rPr>
                            <w:rFonts w:hint="eastAsia" w:ascii="宋体" w:eastAsia="宋体"/>
                            <w:kern w:val="2"/>
                            <w:sz w:val="18"/>
                            <w:szCs w:val="18"/>
                          </w:rPr>
                          <w:t>有机肥厂收运</w:t>
                        </w:r>
                      </w:p>
                    </w:txbxContent>
                  </v:textbox>
                </v:shape>
                <v:shape id="Text Box 150" o:spid="_x0000_s1026" o:spt="202" type="#_x0000_t202" style="position:absolute;left:4269;top:9472;height:472;width:2088;" filled="f" stroked="t" coordsize="21600,21600" o:gfxdata="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FcZ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pStyle w:val="113"/>
                          <w:rPr>
                            <w:sz w:val="18"/>
                            <w:szCs w:val="18"/>
                          </w:rPr>
                        </w:pPr>
                        <w:r>
                          <w:rPr>
                            <w:rFonts w:hint="eastAsia" w:ascii="宋体" w:eastAsia="宋体"/>
                            <w:kern w:val="2"/>
                            <w:sz w:val="18"/>
                            <w:szCs w:val="18"/>
                          </w:rPr>
                          <w:t>人工干清粪</w:t>
                        </w:r>
                      </w:p>
                    </w:txbxContent>
                  </v:textbox>
                </v:shape>
                <v:line id="Line 151" o:spid="_x0000_s1026" o:spt="20" style="position:absolute;left:4749;top:9968;height:416;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52" o:spid="_x0000_s1026" o:spt="20" style="position:absolute;left:6237;top:9992;height:416;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53" o:spid="_x0000_s1026" o:spt="202" type="#_x0000_t202" style="position:absolute;left:4629;top:9995;height:474;width:840;"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3"/>
                          <w:rPr>
                            <w:sz w:val="18"/>
                            <w:szCs w:val="18"/>
                          </w:rPr>
                        </w:pPr>
                        <w:r>
                          <w:rPr>
                            <w:rFonts w:hint="eastAsia" w:ascii="宋体" w:eastAsia="宋体"/>
                            <w:kern w:val="2"/>
                            <w:sz w:val="18"/>
                            <w:szCs w:val="18"/>
                          </w:rPr>
                          <w:t>固体</w:t>
                        </w:r>
                      </w:p>
                    </w:txbxContent>
                  </v:textbox>
                </v:shape>
                <v:shape id="Text Box 154" o:spid="_x0000_s1026" o:spt="202" type="#_x0000_t202" style="position:absolute;left:6237;top:9952;height:474;width:840;"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3"/>
                          <w:rPr>
                            <w:sz w:val="18"/>
                            <w:szCs w:val="18"/>
                          </w:rPr>
                        </w:pPr>
                        <w:r>
                          <w:rPr>
                            <w:rFonts w:hint="eastAsia" w:ascii="宋体" w:eastAsia="宋体"/>
                            <w:kern w:val="2"/>
                            <w:sz w:val="18"/>
                            <w:szCs w:val="18"/>
                          </w:rPr>
                          <w:t>液体</w:t>
                        </w:r>
                      </w:p>
                    </w:txbxContent>
                  </v:textbox>
                </v:shape>
                <v:shape id="Text Box 155" o:spid="_x0000_s1026" o:spt="202" type="#_x0000_t202" style="position:absolute;left:4077;top:10408;height:450;width:1201;" filled="f" stroked="t" coordsize="21600,21600" o:gfxdata="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b//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pStyle w:val="113"/>
                          <w:rPr>
                            <w:rFonts w:ascii="宋体" w:eastAsia="宋体"/>
                            <w:sz w:val="18"/>
                            <w:szCs w:val="18"/>
                          </w:rPr>
                        </w:pPr>
                        <w:r>
                          <w:rPr>
                            <w:rFonts w:hint="eastAsia" w:ascii="宋体" w:eastAsia="宋体"/>
                            <w:sz w:val="18"/>
                            <w:szCs w:val="18"/>
                          </w:rPr>
                          <w:t>干粪堆场</w:t>
                        </w:r>
                      </w:p>
                    </w:txbxContent>
                  </v:textbox>
                </v:shape>
                <v:line id="Line 156" o:spid="_x0000_s1026" o:spt="20" style="position:absolute;left:4797;top:10928;height:645;width: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57" o:spid="_x0000_s1026" o:spt="202" type="#_x0000_t202" style="position:absolute;left:7557;top:10360;height:474;width:84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3"/>
                          <w:jc w:val="left"/>
                          <w:rPr>
                            <w:sz w:val="13"/>
                            <w:szCs w:val="13"/>
                          </w:rPr>
                        </w:pPr>
                        <w:r>
                          <w:rPr>
                            <w:rFonts w:hint="eastAsia" w:ascii="宋体" w:eastAsia="宋体"/>
                            <w:kern w:val="2"/>
                            <w:sz w:val="13"/>
                            <w:szCs w:val="13"/>
                          </w:rPr>
                          <w:t>极少量沼气</w:t>
                        </w:r>
                      </w:p>
                    </w:txbxContent>
                  </v:textbox>
                </v:shape>
                <v:line id="Line 162" o:spid="_x0000_s1026" o:spt="20" style="position:absolute;left:5949;top:6744;flip:y;height:416;width:0;" filled="f" stroked="t" coordsize="21600,21600" o:gfxdata="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hh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pPr>
        <w:jc w:val="center"/>
        <w:rPr>
          <w:rFonts w:ascii="Times New Roman" w:hAnsi="Times New Roman" w:eastAsia="黑体"/>
          <w:sz w:val="21"/>
          <w:szCs w:val="21"/>
        </w:rPr>
      </w:pPr>
      <w:r>
        <w:rPr>
          <w:rFonts w:ascii="Times New Roman" w:hAnsi="Times New Roman" w:eastAsia="黑体"/>
          <w:sz w:val="21"/>
          <w:szCs w:val="21"/>
        </w:rPr>
        <w:t>图2.1-1  养殖过程及产污位置图</w:t>
      </w:r>
    </w:p>
    <w:p>
      <w:pPr>
        <w:pStyle w:val="104"/>
      </w:pPr>
      <w:r>
        <w:t>2、饲料工艺</w:t>
      </w:r>
    </w:p>
    <w:p>
      <w:pPr>
        <w:ind w:firstLine="480"/>
        <w:rPr>
          <w:rFonts w:ascii="Times New Roman" w:hAnsi="Times New Roman"/>
          <w:sz w:val="24"/>
          <w:szCs w:val="24"/>
        </w:rPr>
      </w:pPr>
      <w:r>
        <w:rPr>
          <w:rFonts w:ascii="Times New Roman" w:hAnsi="Times New Roman"/>
          <w:sz w:val="24"/>
          <w:szCs w:val="24"/>
        </w:rPr>
        <w:t>现有工程采用集团公司生产的全价成品饲料，场区内不进行粉碎配料等工序。成品饲料（散装）通过专用饲料散装车直接装入全自动粉料喂料系统，基本无污染物产生。</w:t>
      </w:r>
    </w:p>
    <w:p>
      <w:pPr>
        <w:pStyle w:val="104"/>
      </w:pPr>
      <w:r>
        <w:t>3、清粪工艺</w:t>
      </w:r>
    </w:p>
    <w:p>
      <w:pPr>
        <w:pStyle w:val="109"/>
        <w:ind w:firstLine="480"/>
        <w:rPr>
          <w:szCs w:val="24"/>
        </w:rPr>
      </w:pPr>
      <w:r>
        <w:rPr>
          <w:szCs w:val="24"/>
        </w:rPr>
        <w:t>现有工程粪污水处理工艺改变采用：“固液分离+全漏缝+2.7米深坑发酵”处理。粪便固液分离采取模式为人工清理漏缝上的干粪，日产日清，清理后的干粪堆存在干粪堆场，定期由成都市敬华农业有限公司清运用作堆肥。</w:t>
      </w:r>
    </w:p>
    <w:p>
      <w:pPr>
        <w:pStyle w:val="109"/>
        <w:ind w:firstLine="480"/>
        <w:rPr>
          <w:szCs w:val="24"/>
        </w:rPr>
      </w:pPr>
      <w:r>
        <w:rPr>
          <w:szCs w:val="24"/>
        </w:rPr>
        <w:t>人工清粪后的粪液通过漏缝进入深坑发酵，养殖场实际建设深坑</w:t>
      </w:r>
      <w:r>
        <w:rPr>
          <w:bCs/>
          <w:szCs w:val="24"/>
        </w:rPr>
        <w:t>厌氧储存池有效容积为2.7万m</w:t>
      </w:r>
      <w:r>
        <w:rPr>
          <w:bCs/>
          <w:szCs w:val="24"/>
          <w:vertAlign w:val="superscript"/>
        </w:rPr>
        <w:t>3</w:t>
      </w:r>
      <w:r>
        <w:rPr>
          <w:bCs/>
          <w:szCs w:val="24"/>
        </w:rPr>
        <w:t>；粪液经过长时间（约6个月）自然发酵后，</w:t>
      </w:r>
      <w:r>
        <w:rPr>
          <w:szCs w:val="24"/>
        </w:rPr>
        <w:t>采取专业抽粪合作社+专业施肥队伍</w:t>
      </w:r>
      <w:r>
        <w:rPr>
          <w:bCs/>
          <w:szCs w:val="24"/>
        </w:rPr>
        <w:t>还田处置，不外排。目前</w:t>
      </w:r>
      <w:r>
        <w:rPr>
          <w:szCs w:val="24"/>
        </w:rPr>
        <w:t>成都旺江农牧科技有限公司与邛崃市洁环畜禽粪便收集服务专业合作社签订了抽粪协议，粪污废水在冉义镇农田用作还田。</w:t>
      </w:r>
    </w:p>
    <w:p>
      <w:pPr>
        <w:pStyle w:val="109"/>
        <w:ind w:firstLine="0" w:firstLineChars="0"/>
        <w:jc w:val="center"/>
      </w:pPr>
      <w:r>
        <w:drawing>
          <wp:inline distT="0" distB="0" distL="0" distR="0">
            <wp:extent cx="5443220" cy="1750060"/>
            <wp:effectExtent l="0" t="0" r="5080" b="2540"/>
            <wp:docPr id="149" name="图片 149" descr="154519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15451910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43220" cy="1750060"/>
                    </a:xfrm>
                    <a:prstGeom prst="rect">
                      <a:avLst/>
                    </a:prstGeom>
                    <a:noFill/>
                    <a:ln>
                      <a:noFill/>
                    </a:ln>
                  </pic:spPr>
                </pic:pic>
              </a:graphicData>
            </a:graphic>
          </wp:inline>
        </w:drawing>
      </w:r>
    </w:p>
    <w:p>
      <w:pPr>
        <w:jc w:val="center"/>
        <w:rPr>
          <w:rFonts w:ascii="Times New Roman" w:hAnsi="Times New Roman" w:eastAsia="黑体"/>
          <w:sz w:val="21"/>
          <w:szCs w:val="21"/>
        </w:rPr>
      </w:pPr>
      <w:r>
        <w:rPr>
          <w:rFonts w:ascii="Times New Roman" w:hAnsi="Times New Roman" w:eastAsia="黑体"/>
          <w:sz w:val="21"/>
          <w:szCs w:val="21"/>
        </w:rPr>
        <w:t>图2.1-2  清粪工艺示意图</w:t>
      </w:r>
    </w:p>
    <w:bookmarkEnd w:id="98"/>
    <w:p>
      <w:pPr>
        <w:pStyle w:val="108"/>
      </w:pPr>
      <w:bookmarkStart w:id="99" w:name="_Toc9873314"/>
      <w:r>
        <w:t>2.1.6　环保验收情况</w:t>
      </w:r>
      <w:bookmarkEnd w:id="99"/>
    </w:p>
    <w:p>
      <w:pPr>
        <w:ind w:firstLine="480" w:firstLineChars="200"/>
        <w:rPr>
          <w:rFonts w:ascii="Times New Roman" w:hAnsi="Times New Roman"/>
        </w:rPr>
      </w:pPr>
      <w:r>
        <w:rPr>
          <w:rFonts w:ascii="Times New Roman" w:hAnsi="Times New Roman"/>
          <w:bCs/>
          <w:sz w:val="24"/>
          <w:szCs w:val="24"/>
        </w:rPr>
        <w:t>成都旺江农牧科技有限公司于2018年10月委托具有成都市华测检测技术有限公司根据国家相关法律法规规定和要求，按照启动、自查、编制监测方案、实施监测和核查、编制监测报告五个阶段对项目开展建设项目竣工环境保护验收工作。成都旺江农牧科技有限公司组织成立了验收组并于2019年4月提出验收意见，同意该项目通过污染防治设施自主验收。</w:t>
      </w:r>
    </w:p>
    <w:p>
      <w:pPr>
        <w:pStyle w:val="108"/>
      </w:pPr>
      <w:bookmarkStart w:id="100" w:name="_Toc9873315"/>
      <w:r>
        <w:t>2.1.7　现有工程污染治理及产排污情况</w:t>
      </w:r>
      <w:bookmarkEnd w:id="100"/>
    </w:p>
    <w:p>
      <w:pPr>
        <w:ind w:firstLine="480" w:firstLineChars="200"/>
        <w:rPr>
          <w:rFonts w:ascii="Times New Roman" w:hAnsi="Times New Roman"/>
          <w:bCs/>
          <w:sz w:val="24"/>
          <w:szCs w:val="24"/>
        </w:rPr>
      </w:pPr>
      <w:r>
        <w:rPr>
          <w:rFonts w:ascii="Times New Roman" w:hAnsi="Times New Roman"/>
          <w:bCs/>
          <w:sz w:val="24"/>
          <w:szCs w:val="24"/>
        </w:rPr>
        <w:t>根据调查，现有工程于2018年3月建成，4月逐步进入育肥猪进行试生产。</w:t>
      </w:r>
    </w:p>
    <w:p>
      <w:pPr>
        <w:pStyle w:val="104"/>
      </w:pPr>
      <w:r>
        <w:t>1、废水产生及治理情况</w:t>
      </w:r>
    </w:p>
    <w:p>
      <w:pPr>
        <w:autoSpaceDE w:val="0"/>
        <w:autoSpaceDN w:val="0"/>
        <w:ind w:firstLine="480"/>
        <w:rPr>
          <w:rFonts w:ascii="Times New Roman" w:hAnsi="Times New Roman"/>
          <w:sz w:val="24"/>
          <w:szCs w:val="24"/>
        </w:rPr>
      </w:pPr>
      <w:r>
        <w:rPr>
          <w:rFonts w:ascii="Times New Roman" w:hAnsi="Times New Roman"/>
          <w:sz w:val="24"/>
          <w:szCs w:val="24"/>
        </w:rPr>
        <w:t>项目实施雨污分流，废水主要包括员工生活废水和养殖废水。</w:t>
      </w:r>
    </w:p>
    <w:p>
      <w:pPr>
        <w:autoSpaceDE w:val="0"/>
        <w:autoSpaceDN w:val="0"/>
        <w:ind w:firstLine="482"/>
        <w:rPr>
          <w:rFonts w:ascii="Times New Roman" w:hAnsi="Times New Roman"/>
          <w:b/>
          <w:sz w:val="24"/>
          <w:szCs w:val="24"/>
        </w:rPr>
      </w:pPr>
      <w:r>
        <w:rPr>
          <w:rFonts w:ascii="Times New Roman" w:hAnsi="Times New Roman"/>
          <w:b/>
          <w:sz w:val="24"/>
          <w:szCs w:val="24"/>
        </w:rPr>
        <w:t>（1）生活废水</w:t>
      </w:r>
    </w:p>
    <w:p>
      <w:pPr>
        <w:autoSpaceDE w:val="0"/>
        <w:autoSpaceDN w:val="0"/>
        <w:ind w:firstLine="480"/>
        <w:rPr>
          <w:rFonts w:ascii="Times New Roman" w:hAnsi="Times New Roman"/>
          <w:sz w:val="24"/>
          <w:szCs w:val="24"/>
        </w:rPr>
      </w:pPr>
      <w:r>
        <w:rPr>
          <w:rFonts w:ascii="Times New Roman" w:hAnsi="Times New Roman"/>
          <w:sz w:val="24"/>
          <w:szCs w:val="24"/>
        </w:rPr>
        <w:t>项目生活废水主要来自员工生活废水和食堂废水。食堂含油废水经隔油池除油后同员工生活废水进入预处理池（化粪池）处理，然后进入圈舍深坑发酵池进一步处理。</w:t>
      </w:r>
    </w:p>
    <w:p>
      <w:pPr>
        <w:autoSpaceDE w:val="0"/>
        <w:autoSpaceDN w:val="0"/>
        <w:ind w:firstLine="482"/>
        <w:rPr>
          <w:rFonts w:ascii="Times New Roman" w:hAnsi="Times New Roman"/>
          <w:b/>
          <w:sz w:val="24"/>
          <w:szCs w:val="24"/>
        </w:rPr>
      </w:pPr>
      <w:r>
        <w:rPr>
          <w:rFonts w:ascii="Times New Roman" w:hAnsi="Times New Roman"/>
          <w:b/>
          <w:sz w:val="24"/>
          <w:szCs w:val="24"/>
        </w:rPr>
        <w:t>（2）养殖废水</w:t>
      </w:r>
    </w:p>
    <w:p>
      <w:pPr>
        <w:autoSpaceDE w:val="0"/>
        <w:autoSpaceDN w:val="0"/>
        <w:ind w:firstLine="480"/>
        <w:rPr>
          <w:rFonts w:ascii="Times New Roman" w:hAnsi="Times New Roman"/>
          <w:sz w:val="24"/>
          <w:szCs w:val="24"/>
        </w:rPr>
      </w:pPr>
      <w:r>
        <w:rPr>
          <w:rFonts w:ascii="Times New Roman" w:hAnsi="Times New Roman"/>
          <w:sz w:val="24"/>
          <w:szCs w:val="24"/>
        </w:rPr>
        <w:t>项目养殖废水主要来自保育舍和育肥舍生猪产生的粪污水。其中粪便固液分离采取模式为人工清理漏缝上的干粪，日产日清，清理后的干粪堆存在干粪堆场，定期由成都市敬华农业有限公司清运用作堆肥。</w:t>
      </w:r>
    </w:p>
    <w:p>
      <w:pPr>
        <w:autoSpaceDE w:val="0"/>
        <w:autoSpaceDN w:val="0"/>
        <w:ind w:firstLine="480"/>
        <w:rPr>
          <w:rFonts w:ascii="Times New Roman" w:hAnsi="Times New Roman"/>
          <w:sz w:val="24"/>
          <w:szCs w:val="24"/>
        </w:rPr>
      </w:pPr>
      <w:r>
        <w:rPr>
          <w:rFonts w:ascii="Times New Roman" w:hAnsi="Times New Roman"/>
          <w:sz w:val="24"/>
          <w:szCs w:val="24"/>
        </w:rPr>
        <w:t>人工清粪后的粪液通过漏缝进入深坑（深坑厌氧储存池有效容积为2.7万m</w:t>
      </w:r>
      <w:r>
        <w:rPr>
          <w:rFonts w:ascii="Times New Roman" w:hAnsi="Times New Roman"/>
          <w:sz w:val="24"/>
          <w:szCs w:val="24"/>
          <w:vertAlign w:val="superscript"/>
        </w:rPr>
        <w:t>3</w:t>
      </w:r>
      <w:r>
        <w:rPr>
          <w:rFonts w:ascii="Times New Roman" w:hAnsi="Times New Roman"/>
          <w:sz w:val="24"/>
          <w:szCs w:val="24"/>
        </w:rPr>
        <w:t>）发酵；</w:t>
      </w:r>
      <w:r>
        <w:rPr>
          <w:rFonts w:ascii="Times New Roman" w:hAnsi="Times New Roman"/>
          <w:bCs/>
          <w:sz w:val="24"/>
          <w:szCs w:val="24"/>
        </w:rPr>
        <w:t>粪液经过长时间（约6个月）自然发酵处理（采用</w:t>
      </w:r>
      <w:r>
        <w:rPr>
          <w:rFonts w:ascii="Times New Roman" w:hAnsi="Times New Roman"/>
          <w:sz w:val="24"/>
          <w:szCs w:val="24"/>
        </w:rPr>
        <w:t>“固液分离+全漏缝+2.7米深坑发酵”</w:t>
      </w:r>
      <w:r>
        <w:rPr>
          <w:rFonts w:ascii="Times New Roman" w:hAnsi="Times New Roman"/>
          <w:bCs/>
          <w:sz w:val="24"/>
          <w:szCs w:val="24"/>
        </w:rPr>
        <w:t>），处理后的粪液</w:t>
      </w:r>
      <w:r>
        <w:rPr>
          <w:rFonts w:ascii="Times New Roman" w:hAnsi="Times New Roman"/>
          <w:sz w:val="24"/>
          <w:szCs w:val="24"/>
        </w:rPr>
        <w:t>采取专业抽粪合作社+专业施肥队伍</w:t>
      </w:r>
      <w:r>
        <w:rPr>
          <w:rFonts w:ascii="Times New Roman" w:hAnsi="Times New Roman"/>
          <w:bCs/>
          <w:sz w:val="24"/>
          <w:szCs w:val="24"/>
        </w:rPr>
        <w:t>还田处置</w:t>
      </w:r>
      <w:r>
        <w:rPr>
          <w:rFonts w:ascii="Times New Roman" w:hAnsi="Times New Roman"/>
          <w:sz w:val="24"/>
          <w:szCs w:val="24"/>
        </w:rPr>
        <w:t>，不外排。目前项目运营公司与邛崃市洁环畜禽粪便收集服务专业合作社签订了抽粪协议，粪污废水在冉义镇农田用作还田。</w:t>
      </w:r>
    </w:p>
    <w:p>
      <w:pPr>
        <w:autoSpaceDE w:val="0"/>
        <w:autoSpaceDN w:val="0"/>
        <w:ind w:firstLine="480"/>
        <w:rPr>
          <w:rFonts w:ascii="Times New Roman" w:hAnsi="Times New Roman"/>
          <w:sz w:val="24"/>
          <w:szCs w:val="24"/>
        </w:rPr>
      </w:pPr>
      <w:r>
        <w:rPr>
          <w:rFonts w:ascii="Times New Roman" w:hAnsi="Times New Roman"/>
          <w:sz w:val="24"/>
          <w:szCs w:val="24"/>
        </w:rPr>
        <w:t>项目废水产生及治理情况见表2.1-2。项目废水处理情况见图2.1-3。</w:t>
      </w:r>
    </w:p>
    <w:p>
      <w:pPr>
        <w:spacing w:line="240" w:lineRule="auto"/>
        <w:jc w:val="center"/>
        <w:rPr>
          <w:rFonts w:ascii="Times New Roman" w:hAnsi="Times New Roman" w:eastAsia="黑体"/>
          <w:bCs/>
          <w:sz w:val="21"/>
          <w:szCs w:val="21"/>
        </w:rPr>
      </w:pPr>
      <w:r>
        <w:rPr>
          <w:rFonts w:ascii="Times New Roman" w:hAnsi="Times New Roman" w:eastAsia="黑体"/>
          <w:bCs/>
          <w:sz w:val="21"/>
          <w:szCs w:val="21"/>
        </w:rPr>
        <w:t>表2.1-2  废水产生及治理设施</w:t>
      </w:r>
    </w:p>
    <w:tbl>
      <w:tblPr>
        <w:tblStyle w:val="90"/>
        <w:tblW w:w="8436" w:type="dxa"/>
        <w:jc w:val="center"/>
        <w:tblInd w:w="675"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134"/>
        <w:gridCol w:w="1851"/>
        <w:gridCol w:w="777"/>
        <w:gridCol w:w="1089"/>
        <w:gridCol w:w="1709"/>
        <w:gridCol w:w="74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33" w:hRule="atLeast"/>
          <w:tblHeader/>
          <w:jc w:val="center"/>
        </w:trPr>
        <w:tc>
          <w:tcPr>
            <w:tcW w:w="1134"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废水类别</w:t>
            </w:r>
          </w:p>
        </w:tc>
        <w:tc>
          <w:tcPr>
            <w:tcW w:w="1134"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来源</w:t>
            </w:r>
          </w:p>
        </w:tc>
        <w:tc>
          <w:tcPr>
            <w:tcW w:w="1851"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主要污染物</w:t>
            </w:r>
          </w:p>
        </w:tc>
        <w:tc>
          <w:tcPr>
            <w:tcW w:w="777"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排放</w:t>
            </w:r>
          </w:p>
          <w:p>
            <w:pPr>
              <w:spacing w:line="240" w:lineRule="auto"/>
              <w:jc w:val="center"/>
              <w:rPr>
                <w:rFonts w:ascii="Times New Roman" w:hAnsi="Times New Roman"/>
                <w:b/>
                <w:bCs/>
                <w:sz w:val="21"/>
                <w:szCs w:val="21"/>
              </w:rPr>
            </w:pPr>
            <w:r>
              <w:rPr>
                <w:rFonts w:ascii="Times New Roman" w:hAnsi="Times New Roman"/>
                <w:b/>
                <w:bCs/>
                <w:sz w:val="21"/>
                <w:szCs w:val="21"/>
              </w:rPr>
              <w:t>规律</w:t>
            </w:r>
          </w:p>
        </w:tc>
        <w:tc>
          <w:tcPr>
            <w:tcW w:w="1089"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排放量</w:t>
            </w:r>
          </w:p>
        </w:tc>
        <w:tc>
          <w:tcPr>
            <w:tcW w:w="1709"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处理设施</w:t>
            </w:r>
          </w:p>
        </w:tc>
        <w:tc>
          <w:tcPr>
            <w:tcW w:w="742" w:type="dxa"/>
            <w:vAlign w:val="center"/>
          </w:tcPr>
          <w:p>
            <w:pPr>
              <w:spacing w:line="240" w:lineRule="auto"/>
              <w:jc w:val="center"/>
              <w:rPr>
                <w:rFonts w:ascii="Times New Roman" w:hAnsi="Times New Roman"/>
                <w:b/>
                <w:bCs/>
                <w:sz w:val="21"/>
                <w:szCs w:val="21"/>
              </w:rPr>
            </w:pPr>
            <w:r>
              <w:rPr>
                <w:rFonts w:ascii="Times New Roman" w:hAnsi="Times New Roman"/>
                <w:b/>
                <w:bCs/>
                <w:sz w:val="21"/>
                <w:szCs w:val="21"/>
              </w:rPr>
              <w:t>排放去向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33" w:hRule="atLeast"/>
          <w:jc w:val="center"/>
        </w:trPr>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养殖废水、猪只尿液、清洗废水等</w:t>
            </w:r>
          </w:p>
        </w:tc>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保育舍、育肥舍</w:t>
            </w:r>
          </w:p>
        </w:tc>
        <w:tc>
          <w:tcPr>
            <w:tcW w:w="1851" w:type="dxa"/>
            <w:vAlign w:val="center"/>
          </w:tcPr>
          <w:p>
            <w:pPr>
              <w:spacing w:line="240" w:lineRule="auto"/>
              <w:jc w:val="center"/>
              <w:rPr>
                <w:rFonts w:ascii="Times New Roman" w:hAnsi="Times New Roman"/>
                <w:sz w:val="21"/>
                <w:szCs w:val="21"/>
              </w:rPr>
            </w:pPr>
            <w:r>
              <w:rPr>
                <w:rFonts w:ascii="Times New Roman" w:hAnsi="Times New Roman"/>
                <w:sz w:val="21"/>
                <w:szCs w:val="21"/>
              </w:rPr>
              <w:t>SS、COD、氨氮、总磷</w:t>
            </w:r>
          </w:p>
        </w:tc>
        <w:tc>
          <w:tcPr>
            <w:tcW w:w="777" w:type="dxa"/>
            <w:vAlign w:val="center"/>
          </w:tcPr>
          <w:p>
            <w:pPr>
              <w:spacing w:line="240" w:lineRule="auto"/>
              <w:jc w:val="center"/>
              <w:rPr>
                <w:rFonts w:ascii="Times New Roman" w:hAnsi="Times New Roman"/>
                <w:sz w:val="21"/>
                <w:szCs w:val="21"/>
              </w:rPr>
            </w:pPr>
            <w:r>
              <w:rPr>
                <w:rFonts w:ascii="Times New Roman" w:hAnsi="Times New Roman"/>
                <w:sz w:val="21"/>
                <w:szCs w:val="21"/>
              </w:rPr>
              <w:t>间断</w:t>
            </w:r>
          </w:p>
        </w:tc>
        <w:tc>
          <w:tcPr>
            <w:tcW w:w="1089" w:type="dxa"/>
            <w:vAlign w:val="center"/>
          </w:tcPr>
          <w:p>
            <w:pPr>
              <w:spacing w:line="240" w:lineRule="auto"/>
              <w:jc w:val="center"/>
              <w:rPr>
                <w:rFonts w:ascii="Times New Roman" w:hAnsi="Times New Roman"/>
                <w:sz w:val="21"/>
                <w:szCs w:val="21"/>
              </w:rPr>
            </w:pPr>
            <w:r>
              <w:rPr>
                <w:rFonts w:ascii="Times New Roman" w:hAnsi="Times New Roman"/>
                <w:sz w:val="21"/>
                <w:szCs w:val="21"/>
              </w:rPr>
              <w:t>32 m</w:t>
            </w:r>
            <w:r>
              <w:rPr>
                <w:rFonts w:ascii="Times New Roman" w:hAnsi="Times New Roman"/>
                <w:sz w:val="21"/>
                <w:szCs w:val="21"/>
                <w:vertAlign w:val="superscript"/>
              </w:rPr>
              <w:t>3</w:t>
            </w:r>
            <w:r>
              <w:rPr>
                <w:rFonts w:ascii="Times New Roman" w:hAnsi="Times New Roman"/>
                <w:sz w:val="21"/>
                <w:szCs w:val="21"/>
              </w:rPr>
              <w:t>/d</w:t>
            </w:r>
          </w:p>
        </w:tc>
        <w:tc>
          <w:tcPr>
            <w:tcW w:w="1709" w:type="dxa"/>
            <w:vAlign w:val="center"/>
          </w:tcPr>
          <w:p>
            <w:pPr>
              <w:spacing w:line="240" w:lineRule="auto"/>
              <w:jc w:val="center"/>
              <w:rPr>
                <w:rFonts w:ascii="Times New Roman" w:hAnsi="Times New Roman"/>
                <w:sz w:val="21"/>
                <w:szCs w:val="21"/>
              </w:rPr>
            </w:pPr>
            <w:r>
              <w:rPr>
                <w:rFonts w:ascii="Times New Roman" w:hAnsi="Times New Roman"/>
                <w:sz w:val="21"/>
                <w:szCs w:val="21"/>
              </w:rPr>
              <w:t>圈舍深坑发酵池</w:t>
            </w:r>
          </w:p>
        </w:tc>
        <w:tc>
          <w:tcPr>
            <w:tcW w:w="742" w:type="dxa"/>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用作冉义镇农田施肥</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33" w:hRule="atLeast"/>
          <w:jc w:val="center"/>
        </w:trPr>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生活废水</w:t>
            </w:r>
          </w:p>
        </w:tc>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员工生活</w:t>
            </w:r>
          </w:p>
        </w:tc>
        <w:tc>
          <w:tcPr>
            <w:tcW w:w="1851" w:type="dxa"/>
            <w:vAlign w:val="center"/>
          </w:tcPr>
          <w:p>
            <w:pPr>
              <w:spacing w:line="240" w:lineRule="auto"/>
              <w:jc w:val="center"/>
              <w:rPr>
                <w:rFonts w:ascii="Times New Roman" w:hAnsi="Times New Roman"/>
                <w:sz w:val="21"/>
                <w:szCs w:val="21"/>
              </w:rPr>
            </w:pPr>
            <w:r>
              <w:rPr>
                <w:rFonts w:ascii="Times New Roman" w:hAnsi="Times New Roman"/>
                <w:sz w:val="21"/>
                <w:szCs w:val="21"/>
              </w:rPr>
              <w:t>SS、COD、氨氮</w:t>
            </w:r>
          </w:p>
        </w:tc>
        <w:tc>
          <w:tcPr>
            <w:tcW w:w="777" w:type="dxa"/>
            <w:vAlign w:val="center"/>
          </w:tcPr>
          <w:p>
            <w:pPr>
              <w:spacing w:line="240" w:lineRule="auto"/>
              <w:jc w:val="center"/>
              <w:rPr>
                <w:rFonts w:ascii="Times New Roman" w:hAnsi="Times New Roman"/>
                <w:sz w:val="21"/>
                <w:szCs w:val="21"/>
              </w:rPr>
            </w:pPr>
            <w:r>
              <w:rPr>
                <w:rFonts w:ascii="Times New Roman" w:hAnsi="Times New Roman"/>
                <w:sz w:val="21"/>
                <w:szCs w:val="21"/>
              </w:rPr>
              <w:t>间断</w:t>
            </w:r>
          </w:p>
        </w:tc>
        <w:tc>
          <w:tcPr>
            <w:tcW w:w="1089" w:type="dxa"/>
            <w:vAlign w:val="center"/>
          </w:tcPr>
          <w:p>
            <w:pPr>
              <w:spacing w:line="240" w:lineRule="auto"/>
              <w:jc w:val="center"/>
              <w:rPr>
                <w:rFonts w:ascii="Times New Roman" w:hAnsi="Times New Roman"/>
                <w:sz w:val="21"/>
                <w:szCs w:val="21"/>
              </w:rPr>
            </w:pPr>
            <w:r>
              <w:rPr>
                <w:rFonts w:ascii="Times New Roman" w:hAnsi="Times New Roman"/>
                <w:sz w:val="21"/>
                <w:szCs w:val="21"/>
              </w:rPr>
              <w:t>1.0 m</w:t>
            </w:r>
            <w:r>
              <w:rPr>
                <w:rFonts w:ascii="Times New Roman" w:hAnsi="Times New Roman"/>
                <w:sz w:val="21"/>
                <w:szCs w:val="21"/>
                <w:vertAlign w:val="superscript"/>
              </w:rPr>
              <w:t>3</w:t>
            </w:r>
            <w:r>
              <w:rPr>
                <w:rFonts w:ascii="Times New Roman" w:hAnsi="Times New Roman"/>
                <w:sz w:val="21"/>
                <w:szCs w:val="21"/>
              </w:rPr>
              <w:t>/d</w:t>
            </w:r>
          </w:p>
        </w:tc>
        <w:tc>
          <w:tcPr>
            <w:tcW w:w="1709" w:type="dxa"/>
            <w:vAlign w:val="center"/>
          </w:tcPr>
          <w:p>
            <w:pPr>
              <w:spacing w:line="240" w:lineRule="auto"/>
              <w:jc w:val="center"/>
              <w:rPr>
                <w:rFonts w:ascii="Times New Roman" w:hAnsi="Times New Roman"/>
                <w:sz w:val="21"/>
                <w:szCs w:val="21"/>
              </w:rPr>
            </w:pPr>
            <w:r>
              <w:rPr>
                <w:rFonts w:ascii="Times New Roman" w:hAnsi="Times New Roman"/>
                <w:sz w:val="21"/>
                <w:szCs w:val="21"/>
              </w:rPr>
              <w:t>预处理池+圈舍深坑发酵池</w:t>
            </w:r>
          </w:p>
        </w:tc>
        <w:tc>
          <w:tcPr>
            <w:tcW w:w="742" w:type="dxa"/>
            <w:vMerge w:val="continue"/>
            <w:vAlign w:val="center"/>
          </w:tcPr>
          <w:p>
            <w:pPr>
              <w:spacing w:line="240"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33" w:hRule="atLeast"/>
          <w:jc w:val="center"/>
        </w:trPr>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食堂废水</w:t>
            </w:r>
          </w:p>
        </w:tc>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食堂</w:t>
            </w:r>
          </w:p>
        </w:tc>
        <w:tc>
          <w:tcPr>
            <w:tcW w:w="1851" w:type="dxa"/>
            <w:vAlign w:val="center"/>
          </w:tcPr>
          <w:p>
            <w:pPr>
              <w:spacing w:line="240" w:lineRule="auto"/>
              <w:jc w:val="center"/>
              <w:rPr>
                <w:rFonts w:ascii="Times New Roman" w:hAnsi="Times New Roman"/>
                <w:sz w:val="21"/>
                <w:szCs w:val="21"/>
              </w:rPr>
            </w:pPr>
            <w:r>
              <w:rPr>
                <w:rFonts w:ascii="Times New Roman" w:hAnsi="Times New Roman"/>
                <w:sz w:val="21"/>
                <w:szCs w:val="21"/>
              </w:rPr>
              <w:t>SS、COD、氨氮、动植物油</w:t>
            </w:r>
          </w:p>
        </w:tc>
        <w:tc>
          <w:tcPr>
            <w:tcW w:w="777" w:type="dxa"/>
            <w:vAlign w:val="center"/>
          </w:tcPr>
          <w:p>
            <w:pPr>
              <w:spacing w:line="240" w:lineRule="auto"/>
              <w:jc w:val="center"/>
              <w:rPr>
                <w:rFonts w:ascii="Times New Roman" w:hAnsi="Times New Roman"/>
                <w:sz w:val="21"/>
                <w:szCs w:val="21"/>
              </w:rPr>
            </w:pPr>
            <w:r>
              <w:rPr>
                <w:rFonts w:ascii="Times New Roman" w:hAnsi="Times New Roman"/>
                <w:sz w:val="21"/>
                <w:szCs w:val="21"/>
              </w:rPr>
              <w:t>间断</w:t>
            </w:r>
          </w:p>
        </w:tc>
        <w:tc>
          <w:tcPr>
            <w:tcW w:w="1089" w:type="dxa"/>
            <w:vAlign w:val="center"/>
          </w:tcPr>
          <w:p>
            <w:pPr>
              <w:spacing w:line="240" w:lineRule="auto"/>
              <w:jc w:val="center"/>
              <w:rPr>
                <w:rFonts w:ascii="Times New Roman" w:hAnsi="Times New Roman"/>
                <w:sz w:val="21"/>
                <w:szCs w:val="21"/>
              </w:rPr>
            </w:pPr>
            <w:r>
              <w:rPr>
                <w:rFonts w:ascii="Times New Roman" w:hAnsi="Times New Roman"/>
                <w:sz w:val="21"/>
                <w:szCs w:val="21"/>
              </w:rPr>
              <w:t>1.6 m</w:t>
            </w:r>
            <w:r>
              <w:rPr>
                <w:rFonts w:ascii="Times New Roman" w:hAnsi="Times New Roman"/>
                <w:sz w:val="21"/>
                <w:szCs w:val="21"/>
                <w:vertAlign w:val="superscript"/>
              </w:rPr>
              <w:t>3</w:t>
            </w:r>
            <w:r>
              <w:rPr>
                <w:rFonts w:ascii="Times New Roman" w:hAnsi="Times New Roman"/>
                <w:sz w:val="21"/>
                <w:szCs w:val="21"/>
              </w:rPr>
              <w:t>/d</w:t>
            </w:r>
          </w:p>
        </w:tc>
        <w:tc>
          <w:tcPr>
            <w:tcW w:w="1709" w:type="dxa"/>
            <w:vAlign w:val="center"/>
          </w:tcPr>
          <w:p>
            <w:pPr>
              <w:spacing w:line="240" w:lineRule="auto"/>
              <w:jc w:val="center"/>
              <w:rPr>
                <w:rFonts w:ascii="Times New Roman" w:hAnsi="Times New Roman"/>
                <w:sz w:val="21"/>
                <w:szCs w:val="21"/>
              </w:rPr>
            </w:pPr>
            <w:r>
              <w:rPr>
                <w:rFonts w:ascii="Times New Roman" w:hAnsi="Times New Roman"/>
                <w:sz w:val="21"/>
                <w:szCs w:val="21"/>
              </w:rPr>
              <w:t>隔油池+预处理池+圈舍深坑发酵池</w:t>
            </w:r>
          </w:p>
        </w:tc>
        <w:tc>
          <w:tcPr>
            <w:tcW w:w="742" w:type="dxa"/>
            <w:vMerge w:val="continue"/>
            <w:vAlign w:val="center"/>
          </w:tcPr>
          <w:p>
            <w:pPr>
              <w:spacing w:line="240"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33" w:hRule="atLeast"/>
          <w:jc w:val="center"/>
        </w:trPr>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其它废水</w:t>
            </w:r>
          </w:p>
        </w:tc>
        <w:tc>
          <w:tcPr>
            <w:tcW w:w="1134" w:type="dxa"/>
            <w:vAlign w:val="center"/>
          </w:tcPr>
          <w:p>
            <w:pPr>
              <w:spacing w:line="240" w:lineRule="auto"/>
              <w:jc w:val="center"/>
              <w:rPr>
                <w:rFonts w:ascii="Times New Roman" w:hAnsi="Times New Roman"/>
                <w:sz w:val="21"/>
                <w:szCs w:val="21"/>
              </w:rPr>
            </w:pPr>
            <w:r>
              <w:rPr>
                <w:rFonts w:ascii="Times New Roman" w:hAnsi="Times New Roman"/>
                <w:sz w:val="21"/>
                <w:szCs w:val="21"/>
              </w:rPr>
              <w:t>清洗、消毒、其它</w:t>
            </w:r>
          </w:p>
        </w:tc>
        <w:tc>
          <w:tcPr>
            <w:tcW w:w="1851" w:type="dxa"/>
            <w:vAlign w:val="center"/>
          </w:tcPr>
          <w:p>
            <w:pPr>
              <w:spacing w:line="240" w:lineRule="auto"/>
              <w:jc w:val="center"/>
              <w:rPr>
                <w:rFonts w:ascii="Times New Roman" w:hAnsi="Times New Roman"/>
                <w:sz w:val="21"/>
                <w:szCs w:val="21"/>
              </w:rPr>
            </w:pPr>
            <w:r>
              <w:rPr>
                <w:rFonts w:ascii="Times New Roman" w:hAnsi="Times New Roman"/>
                <w:sz w:val="21"/>
                <w:szCs w:val="21"/>
              </w:rPr>
              <w:t>SS、COD、总磷</w:t>
            </w:r>
          </w:p>
        </w:tc>
        <w:tc>
          <w:tcPr>
            <w:tcW w:w="777" w:type="dxa"/>
            <w:vAlign w:val="center"/>
          </w:tcPr>
          <w:p>
            <w:pPr>
              <w:spacing w:line="240" w:lineRule="auto"/>
              <w:jc w:val="center"/>
              <w:rPr>
                <w:rFonts w:ascii="Times New Roman" w:hAnsi="Times New Roman"/>
                <w:sz w:val="21"/>
                <w:szCs w:val="21"/>
              </w:rPr>
            </w:pPr>
            <w:r>
              <w:rPr>
                <w:rFonts w:ascii="Times New Roman" w:hAnsi="Times New Roman"/>
                <w:sz w:val="21"/>
                <w:szCs w:val="21"/>
              </w:rPr>
              <w:t>间断</w:t>
            </w:r>
          </w:p>
        </w:tc>
        <w:tc>
          <w:tcPr>
            <w:tcW w:w="1089" w:type="dxa"/>
            <w:vAlign w:val="center"/>
          </w:tcPr>
          <w:p>
            <w:pPr>
              <w:spacing w:line="240" w:lineRule="auto"/>
              <w:jc w:val="center"/>
              <w:rPr>
                <w:rFonts w:ascii="Times New Roman" w:hAnsi="Times New Roman"/>
                <w:sz w:val="21"/>
                <w:szCs w:val="21"/>
              </w:rPr>
            </w:pPr>
            <w:r>
              <w:rPr>
                <w:rFonts w:ascii="Times New Roman" w:hAnsi="Times New Roman"/>
                <w:sz w:val="21"/>
                <w:szCs w:val="21"/>
              </w:rPr>
              <w:t>1.0 m</w:t>
            </w:r>
            <w:r>
              <w:rPr>
                <w:rFonts w:ascii="Times New Roman" w:hAnsi="Times New Roman"/>
                <w:sz w:val="21"/>
                <w:szCs w:val="21"/>
                <w:vertAlign w:val="superscript"/>
              </w:rPr>
              <w:t>3</w:t>
            </w:r>
            <w:r>
              <w:rPr>
                <w:rFonts w:ascii="Times New Roman" w:hAnsi="Times New Roman"/>
                <w:sz w:val="21"/>
                <w:szCs w:val="21"/>
              </w:rPr>
              <w:t>/d</w:t>
            </w:r>
          </w:p>
        </w:tc>
        <w:tc>
          <w:tcPr>
            <w:tcW w:w="1709" w:type="dxa"/>
            <w:vAlign w:val="center"/>
          </w:tcPr>
          <w:p>
            <w:pPr>
              <w:spacing w:line="240" w:lineRule="auto"/>
              <w:jc w:val="center"/>
              <w:rPr>
                <w:rFonts w:ascii="Times New Roman" w:hAnsi="Times New Roman"/>
                <w:sz w:val="21"/>
                <w:szCs w:val="21"/>
              </w:rPr>
            </w:pPr>
            <w:r>
              <w:rPr>
                <w:rFonts w:ascii="Times New Roman" w:hAnsi="Times New Roman"/>
                <w:sz w:val="21"/>
                <w:szCs w:val="21"/>
              </w:rPr>
              <w:t>预处理池+圈舍深坑发酵池</w:t>
            </w:r>
          </w:p>
        </w:tc>
        <w:tc>
          <w:tcPr>
            <w:tcW w:w="742" w:type="dxa"/>
            <w:vMerge w:val="continue"/>
            <w:vAlign w:val="center"/>
          </w:tcPr>
          <w:p>
            <w:pPr>
              <w:spacing w:line="240" w:lineRule="auto"/>
              <w:jc w:val="center"/>
              <w:rPr>
                <w:rFonts w:ascii="Times New Roman" w:hAnsi="Times New Roman"/>
                <w:sz w:val="21"/>
                <w:szCs w:val="21"/>
              </w:rPr>
            </w:pPr>
          </w:p>
        </w:tc>
      </w:tr>
    </w:tbl>
    <w:p>
      <w:pPr>
        <w:autoSpaceDE w:val="0"/>
        <w:autoSpaceDN w:val="0"/>
        <w:jc w:val="center"/>
        <w:rPr>
          <w:rFonts w:ascii="Times New Roman" w:hAnsi="Times New Roman"/>
        </w:rPr>
      </w:pPr>
      <w:r>
        <w:rPr>
          <w:rFonts w:ascii="Times New Roman" w:hAnsi="Times New Roman"/>
        </w:rPr>
        <w:object>
          <v:shape id="_x0000_i1025" o:spt="75" type="#_x0000_t75" style="height:173pt;width:385.25pt;" o:ole="t" filled="f" o:preferrelative="t" stroked="f" coordsize="21600,21600">
            <v:path/>
            <v:fill on="f" focussize="0,0"/>
            <v:stroke on="f" joinstyle="miter"/>
            <v:imagedata r:id="rId23" o:title=""/>
            <o:lock v:ext="edit" aspectratio="t"/>
            <w10:wrap type="none"/>
            <w10:anchorlock/>
          </v:shape>
          <o:OLEObject Type="Embed" ProgID="Visio.Drawing.11" ShapeID="_x0000_i1025" DrawAspect="Content" ObjectID="_1468075725" r:id="rId22">
            <o:LockedField>false</o:LockedField>
          </o:OLEObject>
        </w:object>
      </w:r>
    </w:p>
    <w:p>
      <w:pPr>
        <w:autoSpaceDE w:val="0"/>
        <w:autoSpaceDN w:val="0"/>
        <w:jc w:val="center"/>
        <w:rPr>
          <w:rFonts w:ascii="Times New Roman" w:hAnsi="Times New Roman" w:eastAsia="黑体"/>
          <w:bCs/>
          <w:sz w:val="21"/>
          <w:szCs w:val="21"/>
        </w:rPr>
      </w:pPr>
      <w:r>
        <w:rPr>
          <w:rFonts w:ascii="Times New Roman" w:hAnsi="Times New Roman" w:eastAsia="黑体"/>
          <w:bCs/>
          <w:sz w:val="21"/>
          <w:szCs w:val="21"/>
        </w:rPr>
        <w:t>图2.1-3  现有工程废水处理示意图</w:t>
      </w:r>
    </w:p>
    <w:p>
      <w:pPr>
        <w:pStyle w:val="104"/>
      </w:pPr>
      <w:r>
        <w:t>2、废气污染物产生及治理情况</w:t>
      </w:r>
    </w:p>
    <w:p>
      <w:pPr>
        <w:pStyle w:val="109"/>
        <w:ind w:firstLine="480"/>
      </w:pPr>
      <w:r>
        <w:t>项目废气主要为恶臭气体、食堂油烟和柴油发电机废气。</w:t>
      </w:r>
    </w:p>
    <w:p>
      <w:pPr>
        <w:pStyle w:val="109"/>
        <w:ind w:firstLine="480" w:firstLineChars="0"/>
        <w:rPr>
          <w:b/>
        </w:rPr>
      </w:pPr>
      <w:r>
        <w:rPr>
          <w:b/>
        </w:rPr>
        <w:t>（1）恶臭气体</w:t>
      </w:r>
    </w:p>
    <w:p>
      <w:pPr>
        <w:pStyle w:val="109"/>
        <w:ind w:firstLine="480" w:firstLineChars="0"/>
      </w:pPr>
      <w:r>
        <w:rPr>
          <w:szCs w:val="24"/>
        </w:rPr>
        <w:t>项目恶臭气体主要来自圈舍（保育舍和育肥舍）、干粪堆场、圈舍深坑发酵池等，恶臭主要来自猪粪尿排放及其分解过程，主要包括NH</w:t>
      </w:r>
      <w:r>
        <w:rPr>
          <w:szCs w:val="24"/>
          <w:vertAlign w:val="subscript"/>
        </w:rPr>
        <w:t>3</w:t>
      </w:r>
      <w:r>
        <w:rPr>
          <w:szCs w:val="24"/>
        </w:rPr>
        <w:t>、H</w:t>
      </w:r>
      <w:r>
        <w:rPr>
          <w:szCs w:val="24"/>
          <w:vertAlign w:val="subscript"/>
        </w:rPr>
        <w:t>2</w:t>
      </w:r>
      <w:r>
        <w:rPr>
          <w:szCs w:val="24"/>
        </w:rPr>
        <w:t>S等，主要通过以下措施减少恶臭对环境影响：</w:t>
      </w:r>
    </w:p>
    <w:p>
      <w:pPr>
        <w:pStyle w:val="109"/>
        <w:ind w:firstLine="480"/>
      </w:pPr>
      <w:r>
        <w:t>a、保育舍和育肥舍</w:t>
      </w:r>
      <w:r>
        <w:rPr>
          <w:szCs w:val="24"/>
        </w:rPr>
        <w:t>圈舍整体为负压封闭状态</w:t>
      </w:r>
      <w:r>
        <w:t>，圈舍通风模式采取垂直通风（屋檐负压-圈舍-粪坑-耳房风机口排出）。育肥舍夏季根据需要不定时增加横向通风模式（一侧负压进风（水帘）-圈舍-另一侧风机排出）；</w:t>
      </w:r>
    </w:p>
    <w:p>
      <w:pPr>
        <w:pStyle w:val="109"/>
        <w:ind w:firstLine="480"/>
      </w:pPr>
      <w:r>
        <w:t>b、</w:t>
      </w:r>
      <w:r>
        <w:rPr>
          <w:szCs w:val="24"/>
        </w:rPr>
        <w:t>废气通过抽风系统收集，并经活性炭处理后通过圈舍耳房排放。同时圈舍内配置水雾喷淋，若废气浓度过高，则采取喷淋措施</w:t>
      </w:r>
      <w:r>
        <w:t>。</w:t>
      </w:r>
    </w:p>
    <w:p>
      <w:pPr>
        <w:pStyle w:val="109"/>
        <w:ind w:firstLine="480"/>
      </w:pPr>
      <w:r>
        <w:t>c、加强圈舍管理，及时清理圈舍粪便，日产日清，通过减少粪便的停留时间和覆盖面积，可降低圈舍废气产生；</w:t>
      </w:r>
    </w:p>
    <w:p>
      <w:pPr>
        <w:pStyle w:val="109"/>
        <w:ind w:firstLine="480"/>
      </w:pPr>
      <w:r>
        <w:t>d、圈舍增加通风次数，向粪便或舍内投放吸附剂（沸石）减少臭气的散发。</w:t>
      </w:r>
    </w:p>
    <w:p>
      <w:pPr>
        <w:pStyle w:val="109"/>
        <w:ind w:firstLine="480"/>
      </w:pPr>
      <w:r>
        <w:t>e、饲喂过程中采用集团公司生产的全价饲料（优化配方、熟化原料、添加丝兰），恶臭气体从源头上得到减少。</w:t>
      </w:r>
    </w:p>
    <w:p>
      <w:pPr>
        <w:pStyle w:val="109"/>
        <w:ind w:firstLine="480"/>
      </w:pPr>
      <w:r>
        <w:t>f、</w:t>
      </w:r>
      <w:r>
        <w:rPr>
          <w:szCs w:val="24"/>
        </w:rPr>
        <w:t>在项目场区内部及周围进行绿化和种植防护林，加强绿化林对恶臭的阻隔效果，阻挡圈舍臭气扩散；</w:t>
      </w:r>
    </w:p>
    <w:p>
      <w:pPr>
        <w:pStyle w:val="109"/>
        <w:ind w:firstLine="480"/>
      </w:pPr>
      <w:r>
        <w:t>g、项目以圈舍、干粪堆场划定200m大气环境防护距离。验收期间现场勘只有1户散居住户，2018年9月10日，该散居住户通过申请加入了成都旺江生猪专业合作社，原房屋仅用于生猪养殖使用，不属于环境敏感点。</w:t>
      </w:r>
    </w:p>
    <w:p>
      <w:pPr>
        <w:autoSpaceDE w:val="0"/>
        <w:autoSpaceDN w:val="0"/>
        <w:adjustRightInd w:val="0"/>
        <w:ind w:firstLine="480"/>
        <w:rPr>
          <w:rFonts w:ascii="Times New Roman" w:hAnsi="Times New Roman" w:eastAsiaTheme="minorEastAsia"/>
          <w:sz w:val="24"/>
          <w:szCs w:val="24"/>
        </w:rPr>
      </w:pPr>
      <w:r>
        <w:rPr>
          <w:rFonts w:ascii="Times New Roman" w:hAnsi="Times New Roman" w:eastAsiaTheme="minorEastAsia"/>
          <w:sz w:val="24"/>
          <w:szCs w:val="24"/>
        </w:rPr>
        <w:t>根据成都市华测检测技术有限公司于2018年11月19日~20日对项目厂界臭气无组织排放情况进行了监测，其监测点位及监测数据见下表：</w:t>
      </w:r>
    </w:p>
    <w:p>
      <w:pPr>
        <w:jc w:val="center"/>
        <w:rPr>
          <w:rFonts w:ascii="Times New Roman" w:hAnsi="Times New Roman" w:eastAsia="黑体"/>
          <w:bCs/>
          <w:sz w:val="21"/>
          <w:szCs w:val="21"/>
        </w:rPr>
      </w:pPr>
      <w:r>
        <w:rPr>
          <w:rFonts w:ascii="Times New Roman" w:hAnsi="Times New Roman" w:eastAsia="黑体"/>
          <w:bCs/>
          <w:sz w:val="21"/>
          <w:szCs w:val="21"/>
        </w:rPr>
        <w:t>表2.1-3  现有工程厂界恶臭监测点及监测结果</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
      <w:tblGrid>
        <w:gridCol w:w="1099"/>
        <w:gridCol w:w="1277"/>
        <w:gridCol w:w="1984"/>
        <w:gridCol w:w="1984"/>
        <w:gridCol w:w="1275"/>
        <w:gridCol w:w="90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548"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编号</w:t>
            </w:r>
          </w:p>
        </w:tc>
        <w:tc>
          <w:tcPr>
            <w:tcW w:w="1277"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监测项目</w:t>
            </w:r>
          </w:p>
        </w:tc>
        <w:tc>
          <w:tcPr>
            <w:tcW w:w="3968" w:type="dxa"/>
            <w:gridSpan w:val="2"/>
            <w:vAlign w:val="center"/>
          </w:tcPr>
          <w:p>
            <w:pPr>
              <w:spacing w:line="276" w:lineRule="auto"/>
              <w:jc w:val="center"/>
              <w:rPr>
                <w:rFonts w:ascii="Times New Roman" w:hAnsi="Times New Roman"/>
                <w:sz w:val="21"/>
                <w:szCs w:val="21"/>
              </w:rPr>
            </w:pPr>
            <w:r>
              <w:rPr>
                <w:rFonts w:ascii="Times New Roman" w:hAnsi="Times New Roman"/>
                <w:sz w:val="21"/>
                <w:szCs w:val="21"/>
              </w:rPr>
              <w:t>小时浓度监测结果（单位：mg/m</w:t>
            </w:r>
            <w:r>
              <w:rPr>
                <w:rFonts w:ascii="Times New Roman" w:hAnsi="Times New Roman"/>
                <w:sz w:val="21"/>
                <w:szCs w:val="21"/>
                <w:vertAlign w:val="superscript"/>
              </w:rPr>
              <w:t>3</w:t>
            </w:r>
            <w:r>
              <w:rPr>
                <w:rFonts w:ascii="Times New Roman" w:hAnsi="Times New Roman"/>
                <w:sz w:val="21"/>
                <w:szCs w:val="21"/>
              </w:rPr>
              <w:t>）</w:t>
            </w:r>
          </w:p>
        </w:tc>
        <w:tc>
          <w:tcPr>
            <w:tcW w:w="127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标准限值</w:t>
            </w:r>
          </w:p>
        </w:tc>
        <w:tc>
          <w:tcPr>
            <w:tcW w:w="903"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评价</w:t>
            </w:r>
          </w:p>
          <w:p>
            <w:pPr>
              <w:spacing w:line="276" w:lineRule="auto"/>
              <w:jc w:val="center"/>
              <w:rPr>
                <w:rFonts w:ascii="Times New Roman" w:hAnsi="Times New Roman"/>
                <w:sz w:val="21"/>
                <w:szCs w:val="21"/>
              </w:rPr>
            </w:pPr>
            <w:r>
              <w:rPr>
                <w:rFonts w:ascii="Times New Roman" w:hAnsi="Times New Roman"/>
                <w:sz w:val="21"/>
                <w:szCs w:val="21"/>
              </w:rPr>
              <w:t>结果</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50"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Merge w:val="continue"/>
            <w:vAlign w:val="center"/>
          </w:tcPr>
          <w:p>
            <w:pPr>
              <w:spacing w:line="276" w:lineRule="auto"/>
              <w:jc w:val="center"/>
              <w:rPr>
                <w:rFonts w:ascii="Times New Roman" w:hAnsi="Times New Roman"/>
                <w:sz w:val="21"/>
                <w:szCs w:val="21"/>
              </w:rPr>
            </w:pP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2018-11-19</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2018-11-20</w:t>
            </w:r>
          </w:p>
        </w:tc>
        <w:tc>
          <w:tcPr>
            <w:tcW w:w="1275" w:type="dxa"/>
            <w:vMerge w:val="continue"/>
            <w:vAlign w:val="center"/>
          </w:tcPr>
          <w:p>
            <w:pPr>
              <w:spacing w:line="276" w:lineRule="auto"/>
              <w:jc w:val="center"/>
              <w:rPr>
                <w:rFonts w:ascii="Times New Roman" w:hAnsi="Times New Roman"/>
                <w:sz w:val="21"/>
                <w:szCs w:val="21"/>
              </w:rPr>
            </w:pPr>
          </w:p>
        </w:tc>
        <w:tc>
          <w:tcPr>
            <w:tcW w:w="903" w:type="dxa"/>
            <w:vMerge w:val="continue"/>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无组织上风向1#</w:t>
            </w: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0.04~0.17</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0.11~0.15</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1.5</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0.06</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臭气浓度</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17~19</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17~18</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70</w:t>
            </w:r>
          </w:p>
        </w:tc>
        <w:tc>
          <w:tcPr>
            <w:tcW w:w="903" w:type="dxa"/>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无组织下风向2#</w:t>
            </w: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0.12~0.20</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0.03~0.05</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1.5</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0.06</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臭气浓度</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22~24</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22~25</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70</w:t>
            </w:r>
          </w:p>
        </w:tc>
        <w:tc>
          <w:tcPr>
            <w:tcW w:w="903" w:type="dxa"/>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无组织下风向3#</w:t>
            </w: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0.03~0.14</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0.07~0.19</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1.5</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0.06</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臭气浓度</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22~25</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23~25</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70</w:t>
            </w:r>
          </w:p>
        </w:tc>
        <w:tc>
          <w:tcPr>
            <w:tcW w:w="903" w:type="dxa"/>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无组织下风向4#</w:t>
            </w: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0.14~0.23</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0.08~0.27</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1.5</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0.06</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臭气浓度</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25~30</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28~32</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70</w:t>
            </w:r>
          </w:p>
        </w:tc>
        <w:tc>
          <w:tcPr>
            <w:tcW w:w="903" w:type="dxa"/>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无组织下风向5#</w:t>
            </w: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0.14~0.21</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0.03~0.12</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1.5</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ND</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0.06</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臭气浓度</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27~32</w:t>
            </w:r>
          </w:p>
        </w:tc>
        <w:tc>
          <w:tcPr>
            <w:tcW w:w="1984" w:type="dxa"/>
            <w:vAlign w:val="center"/>
          </w:tcPr>
          <w:p>
            <w:pPr>
              <w:spacing w:line="276" w:lineRule="auto"/>
              <w:jc w:val="center"/>
              <w:rPr>
                <w:rFonts w:ascii="Times New Roman" w:hAnsi="Times New Roman"/>
                <w:sz w:val="21"/>
                <w:szCs w:val="21"/>
              </w:rPr>
            </w:pPr>
            <w:r>
              <w:rPr>
                <w:rFonts w:ascii="Times New Roman" w:hAnsi="Times New Roman"/>
                <w:sz w:val="21"/>
                <w:szCs w:val="21"/>
              </w:rPr>
              <w:t>27~32</w:t>
            </w:r>
          </w:p>
        </w:tc>
        <w:tc>
          <w:tcPr>
            <w:tcW w:w="1275" w:type="dxa"/>
            <w:vAlign w:val="center"/>
          </w:tcPr>
          <w:p>
            <w:pPr>
              <w:spacing w:line="276" w:lineRule="auto"/>
              <w:jc w:val="center"/>
              <w:rPr>
                <w:rFonts w:ascii="Times New Roman" w:hAnsi="Times New Roman"/>
                <w:sz w:val="21"/>
                <w:szCs w:val="21"/>
              </w:rPr>
            </w:pPr>
            <w:r>
              <w:rPr>
                <w:rFonts w:ascii="Times New Roman" w:hAnsi="Times New Roman"/>
                <w:sz w:val="21"/>
                <w:szCs w:val="21"/>
              </w:rPr>
              <w:t>70</w:t>
            </w:r>
          </w:p>
        </w:tc>
        <w:tc>
          <w:tcPr>
            <w:tcW w:w="903" w:type="dxa"/>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8522" w:type="dxa"/>
            <w:gridSpan w:val="6"/>
            <w:vAlign w:val="center"/>
          </w:tcPr>
          <w:p>
            <w:pPr>
              <w:spacing w:line="276" w:lineRule="auto"/>
              <w:jc w:val="left"/>
              <w:rPr>
                <w:rFonts w:ascii="Times New Roman" w:hAnsi="Times New Roman"/>
                <w:sz w:val="21"/>
                <w:szCs w:val="21"/>
              </w:rPr>
            </w:pPr>
            <w:r>
              <w:rPr>
                <w:rFonts w:ascii="Times New Roman" w:hAnsi="Times New Roman"/>
                <w:sz w:val="21"/>
                <w:szCs w:val="21"/>
              </w:rPr>
              <w:t>注：（1）连续2天，每天四次，测小时均值；（2）臭气浓度无量纲；（3）ND为未检出</w:t>
            </w:r>
          </w:p>
        </w:tc>
      </w:tr>
    </w:tbl>
    <w:p>
      <w:pPr>
        <w:spacing w:before="240"/>
        <w:ind w:firstLine="480"/>
        <w:rPr>
          <w:rFonts w:ascii="Times New Roman" w:hAnsi="Times New Roman"/>
          <w:sz w:val="24"/>
          <w:szCs w:val="20"/>
        </w:rPr>
      </w:pPr>
      <w:r>
        <w:rPr>
          <w:rFonts w:ascii="Times New Roman" w:hAnsi="Times New Roman"/>
          <w:sz w:val="24"/>
          <w:szCs w:val="20"/>
        </w:rPr>
        <w:t>上述监测数据表明，现有工程厂界硫化氢和氨浓度均能够满足《恶臭污染物排放标准》（GB14554-93）中场界标准限值二级标准；臭气浓度均可满足《畜禽养殖业污染物排放标准》（GB18596-2001）要求。</w:t>
      </w:r>
    </w:p>
    <w:p>
      <w:pPr>
        <w:pStyle w:val="109"/>
        <w:ind w:firstLine="482"/>
        <w:rPr>
          <w:b/>
        </w:rPr>
      </w:pPr>
      <w:r>
        <w:rPr>
          <w:b/>
        </w:rPr>
        <w:t>（2）食堂油烟</w:t>
      </w:r>
    </w:p>
    <w:p>
      <w:pPr>
        <w:pStyle w:val="109"/>
        <w:ind w:firstLine="480"/>
      </w:pPr>
      <w:r>
        <w:t>现有工程设有员工食堂，食堂油烟通过静电油烟净化器（1套，处理风量为20000 m</w:t>
      </w:r>
      <w:r>
        <w:rPr>
          <w:vertAlign w:val="superscript"/>
        </w:rPr>
        <w:t>3</w:t>
      </w:r>
      <w:r>
        <w:t>/h）处理后通过专业烟道引至屋顶排放。</w:t>
      </w:r>
    </w:p>
    <w:p>
      <w:pPr>
        <w:autoSpaceDE w:val="0"/>
        <w:autoSpaceDN w:val="0"/>
        <w:adjustRightInd w:val="0"/>
        <w:ind w:firstLine="480"/>
        <w:rPr>
          <w:rFonts w:ascii="Times New Roman" w:hAnsi="Times New Roman" w:eastAsiaTheme="minorEastAsia"/>
          <w:sz w:val="24"/>
          <w:szCs w:val="24"/>
        </w:rPr>
      </w:pPr>
      <w:r>
        <w:rPr>
          <w:rFonts w:ascii="Times New Roman" w:hAnsi="Times New Roman" w:eastAsiaTheme="minorEastAsia"/>
          <w:sz w:val="24"/>
          <w:szCs w:val="24"/>
        </w:rPr>
        <w:t>根据成都市华测检测技术有限公司于2018年11月19日~20日对餐饮油烟排口油烟排放情况进行了监测，其监测点位及监测数据见下表：</w:t>
      </w:r>
    </w:p>
    <w:p>
      <w:pPr>
        <w:jc w:val="center"/>
        <w:rPr>
          <w:rFonts w:ascii="Times New Roman" w:hAnsi="Times New Roman" w:eastAsia="黑体"/>
          <w:bCs/>
          <w:sz w:val="21"/>
          <w:szCs w:val="21"/>
        </w:rPr>
      </w:pPr>
      <w:r>
        <w:rPr>
          <w:rFonts w:ascii="Times New Roman" w:hAnsi="Times New Roman" w:eastAsia="黑体"/>
          <w:bCs/>
          <w:sz w:val="21"/>
          <w:szCs w:val="21"/>
        </w:rPr>
        <w:t>表2.1-4  现有工程餐饮油烟排放情况监测结果</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
      <w:tblGrid>
        <w:gridCol w:w="1099"/>
        <w:gridCol w:w="1277"/>
        <w:gridCol w:w="1560"/>
        <w:gridCol w:w="1701"/>
        <w:gridCol w:w="1982"/>
        <w:gridCol w:w="90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548" w:hRule="atLeast"/>
        </w:trPr>
        <w:tc>
          <w:tcPr>
            <w:tcW w:w="109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监测位置</w:t>
            </w:r>
          </w:p>
        </w:tc>
        <w:tc>
          <w:tcPr>
            <w:tcW w:w="1277"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监测项目</w:t>
            </w:r>
          </w:p>
        </w:tc>
        <w:tc>
          <w:tcPr>
            <w:tcW w:w="3261" w:type="dxa"/>
            <w:gridSpan w:val="2"/>
            <w:vAlign w:val="center"/>
          </w:tcPr>
          <w:p>
            <w:pPr>
              <w:spacing w:line="276" w:lineRule="auto"/>
              <w:jc w:val="center"/>
              <w:rPr>
                <w:rFonts w:ascii="Times New Roman" w:hAnsi="Times New Roman"/>
                <w:sz w:val="21"/>
                <w:szCs w:val="21"/>
              </w:rPr>
            </w:pPr>
            <w:r>
              <w:rPr>
                <w:rFonts w:ascii="Times New Roman" w:hAnsi="Times New Roman"/>
                <w:sz w:val="21"/>
                <w:szCs w:val="21"/>
              </w:rPr>
              <w:t>小时浓度监测结果（单位：mg/m</w:t>
            </w:r>
            <w:r>
              <w:rPr>
                <w:rFonts w:ascii="Times New Roman" w:hAnsi="Times New Roman"/>
                <w:sz w:val="21"/>
                <w:szCs w:val="21"/>
                <w:vertAlign w:val="superscript"/>
              </w:rPr>
              <w:t>3</w:t>
            </w:r>
            <w:r>
              <w:rPr>
                <w:rFonts w:ascii="Times New Roman" w:hAnsi="Times New Roman"/>
                <w:sz w:val="21"/>
                <w:szCs w:val="21"/>
              </w:rPr>
              <w:t>）</w:t>
            </w:r>
          </w:p>
        </w:tc>
        <w:tc>
          <w:tcPr>
            <w:tcW w:w="1982"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《饮食业油烟排放标准》（试行）（GB18483-2001）</w:t>
            </w:r>
          </w:p>
        </w:tc>
        <w:tc>
          <w:tcPr>
            <w:tcW w:w="903"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评价</w:t>
            </w:r>
          </w:p>
          <w:p>
            <w:pPr>
              <w:spacing w:line="276" w:lineRule="auto"/>
              <w:jc w:val="center"/>
              <w:rPr>
                <w:rFonts w:ascii="Times New Roman" w:hAnsi="Times New Roman"/>
                <w:sz w:val="21"/>
                <w:szCs w:val="21"/>
              </w:rPr>
            </w:pPr>
            <w:r>
              <w:rPr>
                <w:rFonts w:ascii="Times New Roman" w:hAnsi="Times New Roman"/>
                <w:sz w:val="21"/>
                <w:szCs w:val="21"/>
              </w:rPr>
              <w:t>结果</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50" w:hRule="atLeast"/>
        </w:trPr>
        <w:tc>
          <w:tcPr>
            <w:tcW w:w="1099" w:type="dxa"/>
            <w:vMerge w:val="continue"/>
            <w:vAlign w:val="center"/>
          </w:tcPr>
          <w:p>
            <w:pPr>
              <w:spacing w:line="276" w:lineRule="auto"/>
              <w:jc w:val="center"/>
              <w:rPr>
                <w:rFonts w:ascii="Times New Roman" w:hAnsi="Times New Roman"/>
                <w:sz w:val="21"/>
                <w:szCs w:val="21"/>
              </w:rPr>
            </w:pPr>
          </w:p>
        </w:tc>
        <w:tc>
          <w:tcPr>
            <w:tcW w:w="1277" w:type="dxa"/>
            <w:vMerge w:val="continue"/>
            <w:vAlign w:val="center"/>
          </w:tcPr>
          <w:p>
            <w:pPr>
              <w:spacing w:line="276" w:lineRule="auto"/>
              <w:jc w:val="center"/>
              <w:rPr>
                <w:rFonts w:ascii="Times New Roman" w:hAnsi="Times New Roman"/>
                <w:sz w:val="21"/>
                <w:szCs w:val="21"/>
              </w:rPr>
            </w:pP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2018-11-19</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2018-11-20</w:t>
            </w:r>
          </w:p>
        </w:tc>
        <w:tc>
          <w:tcPr>
            <w:tcW w:w="1982" w:type="dxa"/>
            <w:vMerge w:val="continue"/>
            <w:vAlign w:val="center"/>
          </w:tcPr>
          <w:p>
            <w:pPr>
              <w:spacing w:line="276" w:lineRule="auto"/>
              <w:jc w:val="center"/>
              <w:rPr>
                <w:rFonts w:ascii="Times New Roman" w:hAnsi="Times New Roman"/>
                <w:sz w:val="21"/>
                <w:szCs w:val="21"/>
              </w:rPr>
            </w:pPr>
          </w:p>
        </w:tc>
        <w:tc>
          <w:tcPr>
            <w:tcW w:w="903" w:type="dxa"/>
            <w:vMerge w:val="continue"/>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099" w:type="dxa"/>
            <w:vAlign w:val="center"/>
          </w:tcPr>
          <w:p>
            <w:pPr>
              <w:spacing w:line="276" w:lineRule="auto"/>
              <w:jc w:val="center"/>
              <w:rPr>
                <w:rFonts w:ascii="Times New Roman" w:hAnsi="Times New Roman"/>
                <w:sz w:val="21"/>
                <w:szCs w:val="21"/>
              </w:rPr>
            </w:pPr>
            <w:r>
              <w:rPr>
                <w:rFonts w:ascii="Times New Roman" w:hAnsi="Times New Roman"/>
                <w:sz w:val="21"/>
                <w:szCs w:val="21"/>
              </w:rPr>
              <w:t>食堂油烟排口</w:t>
            </w:r>
          </w:p>
        </w:tc>
        <w:tc>
          <w:tcPr>
            <w:tcW w:w="1277" w:type="dxa"/>
            <w:vAlign w:val="center"/>
          </w:tcPr>
          <w:p>
            <w:pPr>
              <w:spacing w:line="276" w:lineRule="auto"/>
              <w:jc w:val="center"/>
              <w:rPr>
                <w:rFonts w:ascii="Times New Roman" w:hAnsi="Times New Roman"/>
                <w:sz w:val="21"/>
                <w:szCs w:val="21"/>
              </w:rPr>
            </w:pPr>
            <w:r>
              <w:rPr>
                <w:rFonts w:ascii="Times New Roman" w:hAnsi="Times New Roman"/>
                <w:sz w:val="21"/>
                <w:szCs w:val="21"/>
              </w:rPr>
              <w:t>油烟</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0.4</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0.6</w:t>
            </w:r>
          </w:p>
        </w:tc>
        <w:tc>
          <w:tcPr>
            <w:tcW w:w="1982" w:type="dxa"/>
            <w:vAlign w:val="center"/>
          </w:tcPr>
          <w:p>
            <w:pPr>
              <w:spacing w:line="276" w:lineRule="auto"/>
              <w:jc w:val="center"/>
              <w:rPr>
                <w:rFonts w:ascii="Times New Roman" w:hAnsi="Times New Roman"/>
                <w:sz w:val="21"/>
                <w:szCs w:val="21"/>
              </w:rPr>
            </w:pPr>
            <w:r>
              <w:rPr>
                <w:rFonts w:ascii="Times New Roman" w:hAnsi="Times New Roman"/>
                <w:sz w:val="21"/>
                <w:szCs w:val="21"/>
              </w:rPr>
              <w:t>2.0</w:t>
            </w:r>
          </w:p>
        </w:tc>
        <w:tc>
          <w:tcPr>
            <w:tcW w:w="903"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bl>
    <w:p>
      <w:pPr>
        <w:spacing w:before="240"/>
        <w:ind w:firstLine="480"/>
        <w:rPr>
          <w:rFonts w:ascii="Times New Roman" w:hAnsi="Times New Roman"/>
          <w:sz w:val="24"/>
          <w:szCs w:val="20"/>
        </w:rPr>
      </w:pPr>
      <w:r>
        <w:rPr>
          <w:rFonts w:ascii="Times New Roman" w:hAnsi="Times New Roman"/>
          <w:sz w:val="24"/>
          <w:szCs w:val="20"/>
        </w:rPr>
        <w:t>上述监测数据表明，现有工程油烟排口餐饮油烟浓度可满足《饮食业油烟排放标准》（试行）（GB18483-2001）标准限值要求。</w:t>
      </w:r>
    </w:p>
    <w:p>
      <w:pPr>
        <w:pStyle w:val="109"/>
        <w:ind w:firstLine="482"/>
        <w:rPr>
          <w:b/>
        </w:rPr>
      </w:pPr>
      <w:r>
        <w:rPr>
          <w:b/>
        </w:rPr>
        <w:t>（3）柴油发电机废气</w:t>
      </w:r>
    </w:p>
    <w:p>
      <w:pPr>
        <w:pStyle w:val="109"/>
        <w:ind w:firstLine="480"/>
        <w:rPr>
          <w:b/>
        </w:rPr>
      </w:pPr>
      <w:r>
        <w:t>现有工程设有160 kW柴油发电机1台，置于专用的发电机房内，仅停电时临时使用，发电机以清洁能源0#柴油为原料，且使用频率低，产生的少量废气经排烟管道排放，对外环境影响较小。</w:t>
      </w:r>
    </w:p>
    <w:p>
      <w:pPr>
        <w:pStyle w:val="104"/>
      </w:pPr>
      <w:r>
        <w:t>3、噪声产生及治理情况</w:t>
      </w:r>
    </w:p>
    <w:p>
      <w:pPr>
        <w:pStyle w:val="109"/>
        <w:ind w:firstLine="480"/>
      </w:pPr>
      <w:r>
        <w:t>现有工程噪声源主要为猪只叫声、圈舍风机等，主要通过选用低噪声设备、圈舍隔声、墙体安装隔音材料、合理平面布局、距离衰减、加强管理等措施降噪。</w:t>
      </w:r>
    </w:p>
    <w:p>
      <w:pPr>
        <w:autoSpaceDE w:val="0"/>
        <w:autoSpaceDN w:val="0"/>
        <w:adjustRightInd w:val="0"/>
        <w:ind w:firstLine="480"/>
        <w:rPr>
          <w:rFonts w:ascii="Times New Roman" w:hAnsi="Times New Roman" w:eastAsiaTheme="minorEastAsia"/>
          <w:sz w:val="24"/>
          <w:szCs w:val="24"/>
        </w:rPr>
      </w:pPr>
      <w:r>
        <w:rPr>
          <w:rFonts w:ascii="Times New Roman" w:hAnsi="Times New Roman" w:eastAsiaTheme="minorEastAsia"/>
          <w:sz w:val="24"/>
          <w:szCs w:val="24"/>
        </w:rPr>
        <w:t>根据成都市华测检测技术有限公司于2018年11月19日~20日对厂界噪声进行了监测，其监测点位及监测数据见下表：</w:t>
      </w:r>
    </w:p>
    <w:p>
      <w:pPr>
        <w:widowControl/>
        <w:spacing w:line="240" w:lineRule="auto"/>
        <w:jc w:val="left"/>
        <w:rPr>
          <w:rFonts w:ascii="Times New Roman" w:hAnsi="Times New Roman" w:eastAsia="黑体"/>
          <w:bCs/>
          <w:sz w:val="21"/>
          <w:szCs w:val="21"/>
        </w:rPr>
      </w:pPr>
      <w:r>
        <w:rPr>
          <w:rFonts w:ascii="Times New Roman" w:hAnsi="Times New Roman" w:eastAsia="黑体"/>
          <w:bCs/>
          <w:sz w:val="21"/>
          <w:szCs w:val="21"/>
        </w:rPr>
        <w:br w:type="page"/>
      </w:r>
    </w:p>
    <w:p>
      <w:pPr>
        <w:ind w:firstLine="420"/>
        <w:jc w:val="center"/>
        <w:rPr>
          <w:rFonts w:ascii="Times New Roman" w:hAnsi="Times New Roman" w:eastAsia="黑体"/>
          <w:sz w:val="21"/>
          <w:szCs w:val="21"/>
        </w:rPr>
      </w:pPr>
      <w:r>
        <w:rPr>
          <w:rFonts w:ascii="Times New Roman" w:hAnsi="Times New Roman" w:eastAsia="黑体"/>
          <w:bCs/>
          <w:sz w:val="21"/>
          <w:szCs w:val="21"/>
        </w:rPr>
        <w:t>表2.1-5</w:t>
      </w:r>
      <w:r>
        <w:rPr>
          <w:rFonts w:ascii="Times New Roman" w:hAnsi="Times New Roman" w:eastAsia="黑体"/>
          <w:sz w:val="21"/>
          <w:szCs w:val="21"/>
        </w:rPr>
        <w:t xml:space="preserve">  </w:t>
      </w:r>
      <w:r>
        <w:rPr>
          <w:rFonts w:ascii="Times New Roman" w:hAnsi="Times New Roman" w:eastAsia="黑体"/>
          <w:bCs/>
          <w:sz w:val="21"/>
          <w:szCs w:val="21"/>
        </w:rPr>
        <w:t>现有工程</w:t>
      </w:r>
      <w:r>
        <w:rPr>
          <w:rFonts w:ascii="Times New Roman" w:hAnsi="Times New Roman" w:eastAsia="黑体"/>
          <w:sz w:val="21"/>
          <w:szCs w:val="21"/>
        </w:rPr>
        <w:t>场界噪声监测结果一览表</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
      <w:tblGrid>
        <w:gridCol w:w="1386"/>
        <w:gridCol w:w="994"/>
        <w:gridCol w:w="1413"/>
        <w:gridCol w:w="1560"/>
        <w:gridCol w:w="2412"/>
        <w:gridCol w:w="75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548" w:hRule="atLeast"/>
        </w:trPr>
        <w:tc>
          <w:tcPr>
            <w:tcW w:w="2380" w:type="dxa"/>
            <w:gridSpan w:val="2"/>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监测点位</w:t>
            </w:r>
          </w:p>
        </w:tc>
        <w:tc>
          <w:tcPr>
            <w:tcW w:w="2973" w:type="dxa"/>
            <w:gridSpan w:val="2"/>
            <w:vAlign w:val="center"/>
          </w:tcPr>
          <w:p>
            <w:pPr>
              <w:spacing w:line="276" w:lineRule="auto"/>
              <w:jc w:val="center"/>
              <w:rPr>
                <w:rFonts w:ascii="Times New Roman" w:hAnsi="Times New Roman"/>
                <w:sz w:val="21"/>
                <w:szCs w:val="21"/>
              </w:rPr>
            </w:pPr>
            <w:r>
              <w:rPr>
                <w:rFonts w:ascii="Times New Roman" w:hAnsi="Times New Roman"/>
                <w:sz w:val="21"/>
                <w:szCs w:val="21"/>
              </w:rPr>
              <w:t>小时浓度监测结果</w:t>
            </w:r>
          </w:p>
          <w:p>
            <w:pPr>
              <w:spacing w:line="276" w:lineRule="auto"/>
              <w:jc w:val="center"/>
              <w:rPr>
                <w:rFonts w:ascii="Times New Roman" w:hAnsi="Times New Roman"/>
                <w:sz w:val="21"/>
                <w:szCs w:val="21"/>
              </w:rPr>
            </w:pPr>
            <w:r>
              <w:rPr>
                <w:rFonts w:ascii="Times New Roman" w:hAnsi="Times New Roman"/>
                <w:sz w:val="21"/>
                <w:szCs w:val="21"/>
              </w:rPr>
              <w:t>（单位：mg/m</w:t>
            </w:r>
            <w:r>
              <w:rPr>
                <w:rFonts w:ascii="Times New Roman" w:hAnsi="Times New Roman"/>
                <w:sz w:val="21"/>
                <w:szCs w:val="21"/>
                <w:vertAlign w:val="superscript"/>
              </w:rPr>
              <w:t>3</w:t>
            </w:r>
            <w:r>
              <w:rPr>
                <w:rFonts w:ascii="Times New Roman" w:hAnsi="Times New Roman"/>
                <w:sz w:val="21"/>
                <w:szCs w:val="21"/>
              </w:rPr>
              <w:t>）</w:t>
            </w:r>
          </w:p>
        </w:tc>
        <w:tc>
          <w:tcPr>
            <w:tcW w:w="2412"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《工业企业场界环境噪声排放标准》（GB</w:t>
            </w:r>
          </w:p>
          <w:p>
            <w:pPr>
              <w:spacing w:line="276" w:lineRule="auto"/>
              <w:jc w:val="center"/>
              <w:rPr>
                <w:rFonts w:ascii="Times New Roman" w:hAnsi="Times New Roman"/>
                <w:sz w:val="21"/>
                <w:szCs w:val="21"/>
              </w:rPr>
            </w:pPr>
            <w:r>
              <w:rPr>
                <w:rFonts w:ascii="Times New Roman" w:hAnsi="Times New Roman"/>
                <w:sz w:val="21"/>
                <w:szCs w:val="21"/>
              </w:rPr>
              <w:t>12348-2008）中2类标准</w:t>
            </w:r>
          </w:p>
        </w:tc>
        <w:tc>
          <w:tcPr>
            <w:tcW w:w="757"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评价</w:t>
            </w:r>
          </w:p>
          <w:p>
            <w:pPr>
              <w:spacing w:line="276" w:lineRule="auto"/>
              <w:jc w:val="center"/>
              <w:rPr>
                <w:rFonts w:ascii="Times New Roman" w:hAnsi="Times New Roman"/>
                <w:sz w:val="21"/>
                <w:szCs w:val="21"/>
              </w:rPr>
            </w:pPr>
            <w:r>
              <w:rPr>
                <w:rFonts w:ascii="Times New Roman" w:hAnsi="Times New Roman"/>
                <w:sz w:val="21"/>
                <w:szCs w:val="21"/>
              </w:rPr>
              <w:t>结果</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50" w:hRule="atLeast"/>
        </w:trPr>
        <w:tc>
          <w:tcPr>
            <w:tcW w:w="2380" w:type="dxa"/>
            <w:gridSpan w:val="2"/>
            <w:vMerge w:val="continue"/>
            <w:vAlign w:val="center"/>
          </w:tcPr>
          <w:p>
            <w:pPr>
              <w:spacing w:line="276" w:lineRule="auto"/>
              <w:jc w:val="center"/>
              <w:rPr>
                <w:rFonts w:ascii="Times New Roman" w:hAnsi="Times New Roman"/>
                <w:sz w:val="21"/>
                <w:szCs w:val="21"/>
              </w:rPr>
            </w:pP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2018-11-19</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2018-11-20</w:t>
            </w:r>
          </w:p>
        </w:tc>
        <w:tc>
          <w:tcPr>
            <w:tcW w:w="2412" w:type="dxa"/>
            <w:vMerge w:val="continue"/>
            <w:vAlign w:val="center"/>
          </w:tcPr>
          <w:p>
            <w:pPr>
              <w:spacing w:line="276" w:lineRule="auto"/>
              <w:jc w:val="center"/>
              <w:rPr>
                <w:rFonts w:ascii="Times New Roman" w:hAnsi="Times New Roman"/>
                <w:sz w:val="21"/>
                <w:szCs w:val="21"/>
              </w:rPr>
            </w:pPr>
          </w:p>
        </w:tc>
        <w:tc>
          <w:tcPr>
            <w:tcW w:w="757" w:type="dxa"/>
            <w:vMerge w:val="continue"/>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1#东侧厂界外1m</w:t>
            </w: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53.3</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55.5</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60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continue"/>
            <w:vAlign w:val="center"/>
          </w:tcPr>
          <w:p>
            <w:pPr>
              <w:spacing w:line="276" w:lineRule="auto"/>
              <w:jc w:val="center"/>
              <w:rPr>
                <w:rFonts w:ascii="Times New Roman" w:hAnsi="Times New Roman"/>
                <w:sz w:val="21"/>
                <w:szCs w:val="21"/>
              </w:rPr>
            </w:pP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47.2</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48.3</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50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2#南侧厂界外1m</w:t>
            </w: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54.2</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54.6</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60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continue"/>
            <w:vAlign w:val="center"/>
          </w:tcPr>
          <w:p>
            <w:pPr>
              <w:spacing w:line="276" w:lineRule="auto"/>
              <w:jc w:val="center"/>
              <w:rPr>
                <w:rFonts w:ascii="Times New Roman" w:hAnsi="Times New Roman"/>
                <w:sz w:val="21"/>
                <w:szCs w:val="21"/>
              </w:rPr>
            </w:pP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46.0</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46.9</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50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3#西侧厂界外1m</w:t>
            </w: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50.0</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54.4</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60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continue"/>
            <w:vAlign w:val="center"/>
          </w:tcPr>
          <w:p>
            <w:pPr>
              <w:spacing w:line="276" w:lineRule="auto"/>
              <w:jc w:val="center"/>
              <w:rPr>
                <w:rFonts w:ascii="Times New Roman" w:hAnsi="Times New Roman"/>
                <w:sz w:val="21"/>
                <w:szCs w:val="21"/>
              </w:rPr>
            </w:pP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48.6</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46.2</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50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4#北侧厂界外1m</w:t>
            </w: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昼间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53.9</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54.2</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60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15" w:type="dxa"/>
            <w:left w:w="108" w:type="dxa"/>
            <w:bottom w:w="15" w:type="dxa"/>
            <w:right w:w="108" w:type="dxa"/>
          </w:tblCellMar>
        </w:tblPrEx>
        <w:trPr>
          <w:trHeight w:val="285" w:hRule="atLeast"/>
        </w:trPr>
        <w:tc>
          <w:tcPr>
            <w:tcW w:w="1386" w:type="dxa"/>
            <w:vMerge w:val="continue"/>
            <w:vAlign w:val="center"/>
          </w:tcPr>
          <w:p>
            <w:pPr>
              <w:spacing w:line="276" w:lineRule="auto"/>
              <w:jc w:val="center"/>
              <w:rPr>
                <w:rFonts w:ascii="Times New Roman" w:hAnsi="Times New Roman"/>
                <w:sz w:val="21"/>
                <w:szCs w:val="21"/>
              </w:rPr>
            </w:pPr>
          </w:p>
        </w:tc>
        <w:tc>
          <w:tcPr>
            <w:tcW w:w="994" w:type="dxa"/>
            <w:vAlign w:val="center"/>
          </w:tcPr>
          <w:p>
            <w:pPr>
              <w:spacing w:line="276" w:lineRule="auto"/>
              <w:jc w:val="center"/>
              <w:rPr>
                <w:rFonts w:ascii="Times New Roman" w:hAnsi="Times New Roman"/>
                <w:sz w:val="21"/>
                <w:szCs w:val="21"/>
              </w:rPr>
            </w:pPr>
            <w:r>
              <w:rPr>
                <w:rFonts w:ascii="Times New Roman" w:hAnsi="Times New Roman"/>
                <w:sz w:val="21"/>
                <w:szCs w:val="21"/>
              </w:rPr>
              <w:t>夜间</w:t>
            </w:r>
          </w:p>
        </w:tc>
        <w:tc>
          <w:tcPr>
            <w:tcW w:w="1413" w:type="dxa"/>
            <w:vAlign w:val="center"/>
          </w:tcPr>
          <w:p>
            <w:pPr>
              <w:spacing w:line="276" w:lineRule="auto"/>
              <w:jc w:val="center"/>
              <w:rPr>
                <w:rFonts w:ascii="Times New Roman" w:hAnsi="Times New Roman"/>
                <w:sz w:val="21"/>
                <w:szCs w:val="21"/>
              </w:rPr>
            </w:pPr>
            <w:r>
              <w:rPr>
                <w:rFonts w:ascii="Times New Roman" w:hAnsi="Times New Roman"/>
                <w:sz w:val="21"/>
                <w:szCs w:val="21"/>
              </w:rPr>
              <w:t>48.8</w:t>
            </w:r>
          </w:p>
        </w:tc>
        <w:tc>
          <w:tcPr>
            <w:tcW w:w="1560" w:type="dxa"/>
            <w:vAlign w:val="center"/>
          </w:tcPr>
          <w:p>
            <w:pPr>
              <w:spacing w:line="276" w:lineRule="auto"/>
              <w:jc w:val="center"/>
              <w:rPr>
                <w:rFonts w:ascii="Times New Roman" w:hAnsi="Times New Roman"/>
                <w:sz w:val="21"/>
                <w:szCs w:val="21"/>
              </w:rPr>
            </w:pPr>
            <w:r>
              <w:rPr>
                <w:rFonts w:ascii="Times New Roman" w:hAnsi="Times New Roman"/>
                <w:sz w:val="21"/>
                <w:szCs w:val="21"/>
              </w:rPr>
              <w:t>47.2</w:t>
            </w:r>
          </w:p>
        </w:tc>
        <w:tc>
          <w:tcPr>
            <w:tcW w:w="2412" w:type="dxa"/>
            <w:vAlign w:val="center"/>
          </w:tcPr>
          <w:p>
            <w:pPr>
              <w:spacing w:line="276" w:lineRule="auto"/>
              <w:jc w:val="center"/>
              <w:rPr>
                <w:rFonts w:ascii="Times New Roman" w:hAnsi="Times New Roman"/>
                <w:sz w:val="21"/>
                <w:szCs w:val="21"/>
              </w:rPr>
            </w:pPr>
            <w:r>
              <w:rPr>
                <w:rFonts w:ascii="Times New Roman" w:hAnsi="Times New Roman"/>
                <w:sz w:val="21"/>
                <w:szCs w:val="21"/>
              </w:rPr>
              <w:t>50</w:t>
            </w:r>
          </w:p>
        </w:tc>
        <w:tc>
          <w:tcPr>
            <w:tcW w:w="757" w:type="dxa"/>
            <w:vAlign w:val="center"/>
          </w:tcPr>
          <w:p>
            <w:pPr>
              <w:spacing w:line="276" w:lineRule="auto"/>
              <w:jc w:val="center"/>
              <w:rPr>
                <w:rFonts w:ascii="Times New Roman" w:hAnsi="Times New Roman"/>
                <w:sz w:val="21"/>
                <w:szCs w:val="21"/>
              </w:rPr>
            </w:pPr>
            <w:r>
              <w:rPr>
                <w:rFonts w:ascii="Times New Roman" w:hAnsi="Times New Roman"/>
                <w:sz w:val="21"/>
                <w:szCs w:val="21"/>
              </w:rPr>
              <w:t>达标</w:t>
            </w:r>
          </w:p>
        </w:tc>
      </w:tr>
    </w:tbl>
    <w:p>
      <w:pPr>
        <w:pStyle w:val="109"/>
        <w:ind w:firstLine="480"/>
      </w:pPr>
      <w:r>
        <w:t>上述监测数据表明，现有工程场界噪声可满足《工业企业厂界环境噪声排放标准》（GB12348-2008）2类标准。</w:t>
      </w:r>
    </w:p>
    <w:p>
      <w:pPr>
        <w:pStyle w:val="104"/>
      </w:pPr>
      <w:r>
        <w:t>4、固废产生及治理情况</w:t>
      </w:r>
    </w:p>
    <w:p>
      <w:pPr>
        <w:ind w:firstLine="480"/>
        <w:rPr>
          <w:rFonts w:ascii="Times New Roman" w:hAnsi="Times New Roman" w:eastAsiaTheme="minorEastAsia"/>
          <w:sz w:val="24"/>
          <w:szCs w:val="24"/>
        </w:rPr>
      </w:pPr>
      <w:r>
        <w:rPr>
          <w:rFonts w:ascii="Times New Roman" w:hAnsi="Times New Roman" w:eastAsiaTheme="minorEastAsia"/>
          <w:sz w:val="24"/>
          <w:szCs w:val="24"/>
        </w:rPr>
        <w:t>现有工程固体废物主要包括一般固废和危险废物。</w:t>
      </w:r>
    </w:p>
    <w:p>
      <w:pPr>
        <w:ind w:firstLine="482"/>
        <w:rPr>
          <w:rFonts w:ascii="Times New Roman" w:hAnsi="Times New Roman" w:eastAsiaTheme="minorEastAsia"/>
          <w:b/>
          <w:sz w:val="24"/>
          <w:szCs w:val="24"/>
        </w:rPr>
      </w:pPr>
      <w:r>
        <w:rPr>
          <w:rFonts w:ascii="Times New Roman" w:hAnsi="Times New Roman" w:eastAsiaTheme="minorEastAsia"/>
          <w:b/>
          <w:sz w:val="24"/>
          <w:szCs w:val="24"/>
        </w:rPr>
        <w:t>（1）一般固废</w:t>
      </w:r>
    </w:p>
    <w:p>
      <w:pPr>
        <w:ind w:firstLine="480"/>
        <w:rPr>
          <w:rFonts w:ascii="Times New Roman" w:hAnsi="Times New Roman" w:eastAsiaTheme="minorEastAsia"/>
          <w:sz w:val="24"/>
          <w:szCs w:val="24"/>
        </w:rPr>
      </w:pPr>
      <w:r>
        <w:rPr>
          <w:rFonts w:ascii="Times New Roman" w:hAnsi="Times New Roman" w:eastAsiaTheme="minorEastAsia"/>
          <w:sz w:val="24"/>
          <w:szCs w:val="24"/>
        </w:rPr>
        <w:t>一般固废主要包括圈舍清理的干猪粪、病死猪、食堂餐厨垃圾、员工生活垃圾。</w:t>
      </w:r>
    </w:p>
    <w:p>
      <w:pPr>
        <w:ind w:firstLine="480"/>
        <w:rPr>
          <w:rFonts w:ascii="Times New Roman" w:hAnsi="Times New Roman" w:eastAsiaTheme="minorEastAsia"/>
          <w:sz w:val="24"/>
          <w:szCs w:val="24"/>
        </w:rPr>
      </w:pPr>
      <w:r>
        <w:rPr>
          <w:rFonts w:ascii="Times New Roman" w:hAnsi="Times New Roman" w:eastAsiaTheme="minorEastAsia"/>
          <w:sz w:val="24"/>
          <w:szCs w:val="24"/>
        </w:rPr>
        <w:t>a、干猪粪：主要来自圈舍人工清理的干猪粪，清理后的干粪堆存在干粪堆场，定期由成都市敬华农业有限公司清运用作堆肥；</w:t>
      </w:r>
    </w:p>
    <w:p>
      <w:pPr>
        <w:pStyle w:val="31"/>
        <w:ind w:firstLine="480"/>
        <w:rPr>
          <w:rFonts w:ascii="Times New Roman" w:hAnsi="Times New Roman" w:cs="Times New Roman" w:eastAsiaTheme="minorEastAsia"/>
        </w:rPr>
      </w:pPr>
      <w:r>
        <w:rPr>
          <w:rFonts w:ascii="Times New Roman" w:hAnsi="Times New Roman" w:cs="Times New Roman" w:eastAsiaTheme="minorEastAsia"/>
        </w:rPr>
        <w:t>b、病死猪：项目养殖过程中产生的病死猪暂存在死亡动物暂存室，日产日清，交由</w:t>
      </w:r>
      <w:r>
        <w:rPr>
          <w:rFonts w:ascii="Times New Roman" w:hAnsi="Times New Roman" w:cs="Times New Roman" w:eastAsiaTheme="minorEastAsia"/>
          <w:kern w:val="2"/>
        </w:rPr>
        <w:t>成都市科农动物无害化处置有限公司安全处置；</w:t>
      </w:r>
    </w:p>
    <w:p>
      <w:pPr>
        <w:pStyle w:val="31"/>
        <w:ind w:firstLine="480"/>
        <w:rPr>
          <w:rFonts w:ascii="Times New Roman" w:hAnsi="Times New Roman" w:cs="Times New Roman" w:eastAsiaTheme="minorEastAsia"/>
        </w:rPr>
      </w:pPr>
      <w:r>
        <w:rPr>
          <w:rFonts w:ascii="Times New Roman" w:hAnsi="Times New Roman" w:cs="Times New Roman" w:eastAsiaTheme="minorEastAsia"/>
        </w:rPr>
        <w:t>c、食堂餐厨垃圾：主要来自员工食堂，</w:t>
      </w:r>
      <w:r>
        <w:rPr>
          <w:rFonts w:ascii="Times New Roman" w:hAnsi="Times New Roman" w:cs="Times New Roman" w:eastAsiaTheme="minorEastAsia"/>
          <w:snapToGrid w:val="0"/>
        </w:rPr>
        <w:t>交由有资质单位做无害化处理（目前交由成都德新饲料油脂有限公司处理）。</w:t>
      </w:r>
    </w:p>
    <w:p>
      <w:pPr>
        <w:pStyle w:val="31"/>
        <w:ind w:firstLine="480"/>
        <w:rPr>
          <w:rFonts w:ascii="Times New Roman" w:hAnsi="Times New Roman" w:cs="Times New Roman" w:eastAsiaTheme="minorEastAsia"/>
        </w:rPr>
      </w:pPr>
      <w:r>
        <w:rPr>
          <w:rFonts w:ascii="Times New Roman" w:hAnsi="Times New Roman" w:cs="Times New Roman" w:eastAsiaTheme="minorEastAsia"/>
        </w:rPr>
        <w:t>d、员工生活垃圾：主要来自员工办公生活，由当地环卫部门收集处理。</w:t>
      </w:r>
    </w:p>
    <w:p>
      <w:pPr>
        <w:ind w:firstLine="480"/>
        <w:rPr>
          <w:rFonts w:ascii="Times New Roman" w:hAnsi="Times New Roman" w:eastAsiaTheme="minorEastAsia"/>
          <w:b/>
          <w:sz w:val="24"/>
          <w:szCs w:val="24"/>
        </w:rPr>
      </w:pPr>
      <w:r>
        <w:rPr>
          <w:rFonts w:ascii="Times New Roman" w:hAnsi="Times New Roman" w:eastAsiaTheme="minorEastAsia"/>
          <w:b/>
          <w:sz w:val="24"/>
          <w:szCs w:val="24"/>
        </w:rPr>
        <w:t>（2）危险废物</w:t>
      </w:r>
    </w:p>
    <w:p>
      <w:pPr>
        <w:ind w:firstLine="480"/>
        <w:rPr>
          <w:rFonts w:ascii="Times New Roman" w:hAnsi="Times New Roman" w:eastAsiaTheme="minorEastAsia"/>
          <w:sz w:val="24"/>
          <w:szCs w:val="24"/>
        </w:rPr>
      </w:pPr>
      <w:r>
        <w:rPr>
          <w:rFonts w:ascii="Times New Roman" w:hAnsi="Times New Roman" w:eastAsiaTheme="minorEastAsia"/>
          <w:sz w:val="24"/>
          <w:szCs w:val="24"/>
        </w:rPr>
        <w:t>项目危险废物为废活性炭及生猪养殖过程产生的医疗废物，</w:t>
      </w:r>
      <w:r>
        <w:rPr>
          <w:rFonts w:ascii="Times New Roman" w:hAnsi="Times New Roman"/>
          <w:sz w:val="24"/>
          <w:szCs w:val="24"/>
        </w:rPr>
        <w:t>圈舍排风口采用活性炭吸附，目前尚未有废活性炭产生，后期产生废活性炭交有资质的单位处理；</w:t>
      </w:r>
      <w:r>
        <w:rPr>
          <w:rFonts w:ascii="Times New Roman" w:hAnsi="Times New Roman" w:eastAsiaTheme="minorEastAsia"/>
          <w:sz w:val="24"/>
          <w:szCs w:val="24"/>
        </w:rPr>
        <w:t>医疗废物日常产生后收集暂存在医疗废物暂存间内，定期交由成都瀚洋环保实业有限公司处理。</w:t>
      </w:r>
    </w:p>
    <w:p>
      <w:pPr>
        <w:ind w:firstLine="480"/>
        <w:rPr>
          <w:rFonts w:ascii="Times New Roman" w:hAnsi="Times New Roman" w:eastAsiaTheme="minorEastAsia"/>
          <w:sz w:val="24"/>
          <w:szCs w:val="24"/>
        </w:rPr>
      </w:pPr>
      <w:r>
        <w:rPr>
          <w:rFonts w:ascii="Times New Roman" w:hAnsi="Times New Roman" w:eastAsiaTheme="minorEastAsia"/>
          <w:sz w:val="24"/>
          <w:szCs w:val="24"/>
        </w:rPr>
        <w:t>项目设置了危险废物暂存间，暂存间内危险废物分类存放，并做好了“防雨、防渗、防流失”措施，并按规范设置了危险废物标识标牌。</w:t>
      </w:r>
    </w:p>
    <w:p>
      <w:pPr>
        <w:ind w:firstLine="480"/>
        <w:rPr>
          <w:rFonts w:ascii="Times New Roman" w:hAnsi="Times New Roman" w:eastAsiaTheme="minorEastAsia"/>
          <w:sz w:val="24"/>
          <w:szCs w:val="24"/>
        </w:rPr>
      </w:pPr>
      <w:r>
        <w:rPr>
          <w:rFonts w:ascii="Times New Roman" w:hAnsi="Times New Roman" w:eastAsiaTheme="minorEastAsia"/>
          <w:sz w:val="24"/>
          <w:szCs w:val="24"/>
        </w:rPr>
        <w:t>危废暂存间现状照片如下：</w:t>
      </w:r>
    </w:p>
    <w:p>
      <w:pPr>
        <w:jc w:val="cente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3599815" cy="2699385"/>
            <wp:effectExtent l="0" t="0" r="635" b="5715"/>
            <wp:docPr id="231" name="图片 231" descr="E:\3-配合项目\丁老师项目\旺江农冉义现代化生猪养殖二期建设项目\旺江资料\现场照片1\现场照片4.26\IMG_20190426_1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E:\3-配合项目\丁老师项目\旺江农冉义现代化生猪养殖二期建设项目\旺江资料\现场照片1\现场照片4.26\IMG_20190426_1044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00000" cy="2700000"/>
                    </a:xfrm>
                    <a:prstGeom prst="rect">
                      <a:avLst/>
                    </a:prstGeom>
                    <a:noFill/>
                    <a:ln>
                      <a:noFill/>
                    </a:ln>
                  </pic:spPr>
                </pic:pic>
              </a:graphicData>
            </a:graphic>
          </wp:inline>
        </w:drawing>
      </w:r>
    </w:p>
    <w:p>
      <w:pPr>
        <w:ind w:firstLine="480"/>
        <w:rPr>
          <w:rFonts w:ascii="Times New Roman" w:hAnsi="Times New Roman" w:eastAsiaTheme="minorEastAsia"/>
          <w:sz w:val="24"/>
          <w:szCs w:val="24"/>
        </w:rPr>
      </w:pPr>
      <w:r>
        <w:rPr>
          <w:rFonts w:ascii="Times New Roman" w:hAnsi="Times New Roman" w:eastAsiaTheme="minorEastAsia"/>
          <w:sz w:val="24"/>
          <w:szCs w:val="24"/>
        </w:rPr>
        <w:t>项目固废产生及处置情况见表2.1-6。</w:t>
      </w:r>
    </w:p>
    <w:p>
      <w:pPr>
        <w:spacing w:line="240" w:lineRule="auto"/>
        <w:jc w:val="center"/>
        <w:rPr>
          <w:rFonts w:ascii="Times New Roman" w:hAnsi="Times New Roman" w:eastAsia="黑体"/>
          <w:bCs/>
          <w:sz w:val="21"/>
          <w:szCs w:val="21"/>
        </w:rPr>
      </w:pPr>
      <w:r>
        <w:rPr>
          <w:rFonts w:ascii="Times New Roman" w:hAnsi="Times New Roman" w:eastAsia="黑体"/>
          <w:bCs/>
          <w:sz w:val="21"/>
          <w:szCs w:val="21"/>
        </w:rPr>
        <w:t>表2.1-6  项目固体废物产生及处置</w:t>
      </w:r>
    </w:p>
    <w:tbl>
      <w:tblPr>
        <w:tblStyle w:val="90"/>
        <w:tblW w:w="8637" w:type="dxa"/>
        <w:jc w:val="center"/>
        <w:tblInd w:w="153"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544"/>
        <w:gridCol w:w="1125"/>
        <w:gridCol w:w="1305"/>
        <w:gridCol w:w="1153"/>
        <w:gridCol w:w="1153"/>
        <w:gridCol w:w="594"/>
        <w:gridCol w:w="276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4" w:hRule="atLeast"/>
          <w:tblHeader/>
          <w:jc w:val="center"/>
        </w:trPr>
        <w:tc>
          <w:tcPr>
            <w:tcW w:w="544" w:type="dxa"/>
            <w:vAlign w:val="center"/>
          </w:tcPr>
          <w:p>
            <w:pPr>
              <w:spacing w:line="240" w:lineRule="auto"/>
              <w:jc w:val="center"/>
              <w:rPr>
                <w:rFonts w:ascii="Times New Roman" w:hAnsi="Times New Roman"/>
                <w:b/>
                <w:sz w:val="21"/>
                <w:szCs w:val="21"/>
              </w:rPr>
            </w:pPr>
            <w:r>
              <w:rPr>
                <w:rFonts w:ascii="Times New Roman" w:hAnsi="Times New Roman"/>
                <w:b/>
                <w:sz w:val="21"/>
                <w:szCs w:val="21"/>
              </w:rPr>
              <w:t>序号</w:t>
            </w:r>
          </w:p>
        </w:tc>
        <w:tc>
          <w:tcPr>
            <w:tcW w:w="1125" w:type="dxa"/>
            <w:vAlign w:val="center"/>
          </w:tcPr>
          <w:p>
            <w:pPr>
              <w:spacing w:line="240" w:lineRule="auto"/>
              <w:jc w:val="center"/>
              <w:rPr>
                <w:rFonts w:ascii="Times New Roman" w:hAnsi="Times New Roman"/>
                <w:b/>
                <w:sz w:val="21"/>
                <w:szCs w:val="21"/>
              </w:rPr>
            </w:pPr>
            <w:r>
              <w:rPr>
                <w:rFonts w:ascii="Times New Roman" w:hAnsi="Times New Roman"/>
                <w:b/>
                <w:sz w:val="21"/>
                <w:szCs w:val="21"/>
              </w:rPr>
              <w:t>产生源</w:t>
            </w:r>
          </w:p>
        </w:tc>
        <w:tc>
          <w:tcPr>
            <w:tcW w:w="1305" w:type="dxa"/>
            <w:vAlign w:val="center"/>
          </w:tcPr>
          <w:p>
            <w:pPr>
              <w:spacing w:line="240" w:lineRule="auto"/>
              <w:jc w:val="center"/>
              <w:rPr>
                <w:rFonts w:ascii="Times New Roman" w:hAnsi="Times New Roman"/>
                <w:b/>
                <w:sz w:val="21"/>
                <w:szCs w:val="21"/>
              </w:rPr>
            </w:pPr>
            <w:r>
              <w:rPr>
                <w:rFonts w:ascii="Times New Roman" w:hAnsi="Times New Roman"/>
                <w:b/>
                <w:sz w:val="21"/>
                <w:szCs w:val="21"/>
              </w:rPr>
              <w:t>污染物</w:t>
            </w:r>
          </w:p>
        </w:tc>
        <w:tc>
          <w:tcPr>
            <w:tcW w:w="1153" w:type="dxa"/>
            <w:vAlign w:val="center"/>
          </w:tcPr>
          <w:p>
            <w:pPr>
              <w:spacing w:line="240" w:lineRule="auto"/>
              <w:jc w:val="center"/>
              <w:rPr>
                <w:rFonts w:ascii="Times New Roman" w:hAnsi="Times New Roman"/>
                <w:b/>
                <w:sz w:val="21"/>
                <w:szCs w:val="21"/>
              </w:rPr>
            </w:pPr>
            <w:r>
              <w:rPr>
                <w:rFonts w:ascii="Times New Roman" w:hAnsi="Times New Roman"/>
                <w:b/>
                <w:sz w:val="21"/>
                <w:szCs w:val="21"/>
              </w:rPr>
              <w:t>年产生量</w:t>
            </w:r>
          </w:p>
        </w:tc>
        <w:tc>
          <w:tcPr>
            <w:tcW w:w="1153" w:type="dxa"/>
            <w:vAlign w:val="center"/>
          </w:tcPr>
          <w:p>
            <w:pPr>
              <w:spacing w:line="240" w:lineRule="auto"/>
              <w:jc w:val="center"/>
              <w:rPr>
                <w:rFonts w:ascii="Times New Roman" w:hAnsi="Times New Roman"/>
                <w:b/>
                <w:sz w:val="21"/>
                <w:szCs w:val="21"/>
              </w:rPr>
            </w:pPr>
            <w:r>
              <w:rPr>
                <w:rFonts w:ascii="Times New Roman" w:hAnsi="Times New Roman"/>
                <w:b/>
                <w:sz w:val="21"/>
                <w:szCs w:val="21"/>
              </w:rPr>
              <w:t>年处理量</w:t>
            </w:r>
          </w:p>
        </w:tc>
        <w:tc>
          <w:tcPr>
            <w:tcW w:w="594" w:type="dxa"/>
            <w:vAlign w:val="center"/>
          </w:tcPr>
          <w:p>
            <w:pPr>
              <w:spacing w:line="240" w:lineRule="auto"/>
              <w:jc w:val="center"/>
              <w:rPr>
                <w:rFonts w:ascii="Times New Roman" w:hAnsi="Times New Roman"/>
                <w:b/>
                <w:sz w:val="21"/>
                <w:szCs w:val="21"/>
              </w:rPr>
            </w:pPr>
            <w:r>
              <w:rPr>
                <w:rFonts w:ascii="Times New Roman" w:hAnsi="Times New Roman"/>
                <w:b/>
                <w:sz w:val="21"/>
                <w:szCs w:val="21"/>
              </w:rPr>
              <w:t>固废性质</w:t>
            </w:r>
          </w:p>
        </w:tc>
        <w:tc>
          <w:tcPr>
            <w:tcW w:w="2763" w:type="dxa"/>
            <w:vAlign w:val="center"/>
          </w:tcPr>
          <w:p>
            <w:pPr>
              <w:spacing w:line="240" w:lineRule="auto"/>
              <w:jc w:val="center"/>
              <w:rPr>
                <w:rFonts w:ascii="Times New Roman" w:hAnsi="Times New Roman"/>
                <w:b/>
                <w:sz w:val="21"/>
                <w:szCs w:val="21"/>
              </w:rPr>
            </w:pPr>
            <w:r>
              <w:rPr>
                <w:rFonts w:ascii="Times New Roman" w:hAnsi="Times New Roman"/>
                <w:b/>
                <w:sz w:val="21"/>
                <w:szCs w:val="21"/>
              </w:rPr>
              <w:t>治理措施</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4" w:hRule="atLeast"/>
          <w:jc w:val="center"/>
        </w:trPr>
        <w:tc>
          <w:tcPr>
            <w:tcW w:w="544" w:type="dxa"/>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125" w:type="dxa"/>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保育舍、育肥舍</w:t>
            </w:r>
          </w:p>
        </w:tc>
        <w:tc>
          <w:tcPr>
            <w:tcW w:w="1305" w:type="dxa"/>
            <w:vAlign w:val="center"/>
          </w:tcPr>
          <w:p>
            <w:pPr>
              <w:spacing w:line="240" w:lineRule="auto"/>
              <w:jc w:val="center"/>
              <w:rPr>
                <w:rFonts w:ascii="Times New Roman" w:hAnsi="Times New Roman"/>
                <w:sz w:val="21"/>
                <w:szCs w:val="21"/>
              </w:rPr>
            </w:pPr>
            <w:r>
              <w:rPr>
                <w:rFonts w:ascii="Times New Roman" w:hAnsi="Times New Roman"/>
                <w:sz w:val="21"/>
                <w:szCs w:val="21"/>
              </w:rPr>
              <w:t>干猪粪</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5002.69 t/a</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5002.69 t/a</w:t>
            </w:r>
          </w:p>
        </w:tc>
        <w:tc>
          <w:tcPr>
            <w:tcW w:w="594" w:type="dxa"/>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一般固废</w:t>
            </w:r>
          </w:p>
        </w:tc>
        <w:tc>
          <w:tcPr>
            <w:tcW w:w="2763" w:type="dxa"/>
            <w:vAlign w:val="center"/>
          </w:tcPr>
          <w:p>
            <w:pPr>
              <w:spacing w:line="240" w:lineRule="auto"/>
              <w:jc w:val="center"/>
              <w:rPr>
                <w:rFonts w:ascii="Times New Roman" w:hAnsi="Times New Roman"/>
                <w:sz w:val="21"/>
                <w:szCs w:val="21"/>
              </w:rPr>
            </w:pPr>
            <w:r>
              <w:rPr>
                <w:rFonts w:ascii="Times New Roman" w:hAnsi="Times New Roman"/>
                <w:sz w:val="21"/>
                <w:szCs w:val="21"/>
              </w:rPr>
              <w:t>由成都市敬华农业有限公司清运用作堆肥</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4" w:hRule="atLeast"/>
          <w:jc w:val="center"/>
        </w:trPr>
        <w:tc>
          <w:tcPr>
            <w:tcW w:w="544" w:type="dxa"/>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1125" w:type="dxa"/>
            <w:vMerge w:val="continue"/>
            <w:vAlign w:val="center"/>
          </w:tcPr>
          <w:p>
            <w:pPr>
              <w:spacing w:line="240" w:lineRule="auto"/>
              <w:jc w:val="center"/>
              <w:rPr>
                <w:rFonts w:ascii="Times New Roman" w:hAnsi="Times New Roman"/>
                <w:sz w:val="21"/>
                <w:szCs w:val="21"/>
              </w:rPr>
            </w:pPr>
          </w:p>
        </w:tc>
        <w:tc>
          <w:tcPr>
            <w:tcW w:w="1305" w:type="dxa"/>
            <w:vAlign w:val="center"/>
          </w:tcPr>
          <w:p>
            <w:pPr>
              <w:spacing w:line="240" w:lineRule="auto"/>
              <w:jc w:val="center"/>
              <w:rPr>
                <w:rFonts w:ascii="Times New Roman" w:hAnsi="Times New Roman"/>
                <w:sz w:val="21"/>
                <w:szCs w:val="21"/>
              </w:rPr>
            </w:pPr>
            <w:r>
              <w:rPr>
                <w:rFonts w:ascii="Times New Roman" w:hAnsi="Times New Roman"/>
                <w:sz w:val="21"/>
                <w:szCs w:val="21"/>
              </w:rPr>
              <w:t>病死猪</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100头/a</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100头/a</w:t>
            </w:r>
          </w:p>
        </w:tc>
        <w:tc>
          <w:tcPr>
            <w:tcW w:w="594" w:type="dxa"/>
            <w:vMerge w:val="continue"/>
            <w:vAlign w:val="center"/>
          </w:tcPr>
          <w:p>
            <w:pPr>
              <w:spacing w:line="240" w:lineRule="auto"/>
              <w:jc w:val="center"/>
              <w:rPr>
                <w:rFonts w:ascii="Times New Roman" w:hAnsi="Times New Roman"/>
                <w:sz w:val="21"/>
                <w:szCs w:val="21"/>
              </w:rPr>
            </w:pPr>
          </w:p>
        </w:tc>
        <w:tc>
          <w:tcPr>
            <w:tcW w:w="2763" w:type="dxa"/>
            <w:vAlign w:val="center"/>
          </w:tcPr>
          <w:p>
            <w:pPr>
              <w:spacing w:line="240" w:lineRule="auto"/>
              <w:jc w:val="center"/>
              <w:rPr>
                <w:rFonts w:ascii="Times New Roman" w:hAnsi="Times New Roman"/>
                <w:sz w:val="21"/>
                <w:szCs w:val="21"/>
              </w:rPr>
            </w:pPr>
            <w:r>
              <w:rPr>
                <w:rFonts w:ascii="Times New Roman" w:hAnsi="Times New Roman"/>
                <w:sz w:val="21"/>
                <w:szCs w:val="21"/>
              </w:rPr>
              <w:t>交由成都市科农动物无害化处置有限公司安全处置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4" w:hRule="atLeast"/>
          <w:jc w:val="center"/>
        </w:trPr>
        <w:tc>
          <w:tcPr>
            <w:tcW w:w="544" w:type="dxa"/>
            <w:vAlign w:val="center"/>
          </w:tcPr>
          <w:p>
            <w:pPr>
              <w:spacing w:line="240" w:lineRule="auto"/>
              <w:jc w:val="center"/>
              <w:rPr>
                <w:rFonts w:ascii="Times New Roman" w:hAnsi="Times New Roman"/>
                <w:sz w:val="21"/>
                <w:szCs w:val="21"/>
              </w:rPr>
            </w:pPr>
            <w:r>
              <w:rPr>
                <w:rFonts w:ascii="Times New Roman" w:hAnsi="Times New Roman"/>
                <w:sz w:val="21"/>
                <w:szCs w:val="21"/>
              </w:rPr>
              <w:t>3</w:t>
            </w:r>
          </w:p>
        </w:tc>
        <w:tc>
          <w:tcPr>
            <w:tcW w:w="1125" w:type="dxa"/>
            <w:vAlign w:val="center"/>
          </w:tcPr>
          <w:p>
            <w:pPr>
              <w:spacing w:line="240" w:lineRule="auto"/>
              <w:jc w:val="center"/>
              <w:rPr>
                <w:rFonts w:ascii="Times New Roman" w:hAnsi="Times New Roman"/>
                <w:sz w:val="21"/>
                <w:szCs w:val="21"/>
              </w:rPr>
            </w:pPr>
            <w:r>
              <w:rPr>
                <w:rFonts w:ascii="Times New Roman" w:hAnsi="Times New Roman"/>
                <w:sz w:val="21"/>
                <w:szCs w:val="21"/>
              </w:rPr>
              <w:t>食堂</w:t>
            </w:r>
          </w:p>
        </w:tc>
        <w:tc>
          <w:tcPr>
            <w:tcW w:w="1305" w:type="dxa"/>
            <w:vAlign w:val="center"/>
          </w:tcPr>
          <w:p>
            <w:pPr>
              <w:spacing w:line="240" w:lineRule="auto"/>
              <w:jc w:val="center"/>
              <w:rPr>
                <w:rFonts w:ascii="Times New Roman" w:hAnsi="Times New Roman"/>
                <w:sz w:val="21"/>
                <w:szCs w:val="21"/>
              </w:rPr>
            </w:pPr>
            <w:r>
              <w:rPr>
                <w:rFonts w:ascii="Times New Roman" w:hAnsi="Times New Roman"/>
                <w:sz w:val="21"/>
                <w:szCs w:val="21"/>
              </w:rPr>
              <w:t>食堂餐厨</w:t>
            </w:r>
          </w:p>
          <w:p>
            <w:pPr>
              <w:spacing w:line="240" w:lineRule="auto"/>
              <w:jc w:val="center"/>
              <w:rPr>
                <w:rFonts w:ascii="Times New Roman" w:hAnsi="Times New Roman"/>
                <w:sz w:val="21"/>
                <w:szCs w:val="21"/>
              </w:rPr>
            </w:pPr>
            <w:r>
              <w:rPr>
                <w:rFonts w:ascii="Times New Roman" w:hAnsi="Times New Roman"/>
                <w:sz w:val="21"/>
                <w:szCs w:val="21"/>
              </w:rPr>
              <w:t>垃圾</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7.3t/a</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7.3 t/a</w:t>
            </w:r>
          </w:p>
        </w:tc>
        <w:tc>
          <w:tcPr>
            <w:tcW w:w="594" w:type="dxa"/>
            <w:vMerge w:val="continue"/>
            <w:vAlign w:val="center"/>
          </w:tcPr>
          <w:p>
            <w:pPr>
              <w:spacing w:line="240" w:lineRule="auto"/>
              <w:jc w:val="center"/>
              <w:rPr>
                <w:rFonts w:ascii="Times New Roman" w:hAnsi="Times New Roman"/>
                <w:sz w:val="21"/>
                <w:szCs w:val="21"/>
              </w:rPr>
            </w:pPr>
          </w:p>
        </w:tc>
        <w:tc>
          <w:tcPr>
            <w:tcW w:w="2763" w:type="dxa"/>
            <w:vAlign w:val="center"/>
          </w:tcPr>
          <w:p>
            <w:pPr>
              <w:pStyle w:val="110"/>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交由成都德新饲料油脂有限公司处理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4" w:hRule="atLeast"/>
          <w:jc w:val="center"/>
        </w:trPr>
        <w:tc>
          <w:tcPr>
            <w:tcW w:w="544" w:type="dxa"/>
            <w:vAlign w:val="center"/>
          </w:tcPr>
          <w:p>
            <w:pPr>
              <w:spacing w:line="240" w:lineRule="auto"/>
              <w:jc w:val="center"/>
              <w:rPr>
                <w:rFonts w:ascii="Times New Roman" w:hAnsi="Times New Roman"/>
                <w:sz w:val="21"/>
                <w:szCs w:val="21"/>
              </w:rPr>
            </w:pPr>
            <w:r>
              <w:rPr>
                <w:rFonts w:ascii="Times New Roman" w:hAnsi="Times New Roman"/>
                <w:sz w:val="21"/>
                <w:szCs w:val="21"/>
              </w:rPr>
              <w:t>4</w:t>
            </w:r>
          </w:p>
        </w:tc>
        <w:tc>
          <w:tcPr>
            <w:tcW w:w="1125" w:type="dxa"/>
            <w:vAlign w:val="center"/>
          </w:tcPr>
          <w:p>
            <w:pPr>
              <w:spacing w:line="240" w:lineRule="auto"/>
              <w:jc w:val="center"/>
              <w:rPr>
                <w:rFonts w:ascii="Times New Roman" w:hAnsi="Times New Roman"/>
                <w:sz w:val="21"/>
                <w:szCs w:val="21"/>
                <w:lang w:val="zh-CN"/>
              </w:rPr>
            </w:pPr>
            <w:r>
              <w:rPr>
                <w:rFonts w:ascii="Times New Roman" w:hAnsi="Times New Roman"/>
                <w:sz w:val="21"/>
                <w:szCs w:val="21"/>
                <w:lang w:val="zh-CN"/>
              </w:rPr>
              <w:t>办公生活楼</w:t>
            </w:r>
          </w:p>
        </w:tc>
        <w:tc>
          <w:tcPr>
            <w:tcW w:w="1305" w:type="dxa"/>
            <w:vAlign w:val="center"/>
          </w:tcPr>
          <w:p>
            <w:pPr>
              <w:spacing w:line="240" w:lineRule="auto"/>
              <w:jc w:val="center"/>
              <w:rPr>
                <w:rFonts w:ascii="Times New Roman" w:hAnsi="Times New Roman"/>
                <w:sz w:val="21"/>
                <w:szCs w:val="21"/>
                <w:lang w:val="zh-CN"/>
              </w:rPr>
            </w:pPr>
            <w:r>
              <w:rPr>
                <w:rFonts w:ascii="Times New Roman" w:hAnsi="Times New Roman"/>
                <w:sz w:val="21"/>
                <w:szCs w:val="21"/>
              </w:rPr>
              <w:t>生活垃圾</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3.5 t/a</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3.5 t/a</w:t>
            </w:r>
          </w:p>
        </w:tc>
        <w:tc>
          <w:tcPr>
            <w:tcW w:w="594" w:type="dxa"/>
            <w:vMerge w:val="continue"/>
            <w:vAlign w:val="center"/>
          </w:tcPr>
          <w:p>
            <w:pPr>
              <w:spacing w:line="240" w:lineRule="auto"/>
              <w:jc w:val="center"/>
              <w:rPr>
                <w:rFonts w:ascii="Times New Roman" w:hAnsi="Times New Roman"/>
                <w:sz w:val="21"/>
                <w:szCs w:val="21"/>
              </w:rPr>
            </w:pPr>
          </w:p>
        </w:tc>
        <w:tc>
          <w:tcPr>
            <w:tcW w:w="2763" w:type="dxa"/>
            <w:vAlign w:val="center"/>
          </w:tcPr>
          <w:p>
            <w:pPr>
              <w:spacing w:line="240" w:lineRule="auto"/>
              <w:jc w:val="center"/>
              <w:rPr>
                <w:rFonts w:ascii="Times New Roman" w:hAnsi="Times New Roman"/>
                <w:sz w:val="21"/>
                <w:szCs w:val="21"/>
              </w:rPr>
            </w:pPr>
            <w:r>
              <w:rPr>
                <w:rFonts w:ascii="Times New Roman" w:hAnsi="Times New Roman"/>
                <w:sz w:val="21"/>
                <w:szCs w:val="21"/>
              </w:rPr>
              <w:t>由当地环卫部门收集处理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434" w:hRule="atLeast"/>
          <w:jc w:val="center"/>
        </w:trPr>
        <w:tc>
          <w:tcPr>
            <w:tcW w:w="544" w:type="dxa"/>
            <w:vAlign w:val="center"/>
          </w:tcPr>
          <w:p>
            <w:pPr>
              <w:spacing w:line="240" w:lineRule="auto"/>
              <w:jc w:val="center"/>
              <w:rPr>
                <w:rFonts w:ascii="Times New Roman" w:hAnsi="Times New Roman"/>
                <w:sz w:val="21"/>
                <w:szCs w:val="21"/>
              </w:rPr>
            </w:pPr>
            <w:r>
              <w:rPr>
                <w:rFonts w:ascii="Times New Roman" w:hAnsi="Times New Roman"/>
                <w:sz w:val="21"/>
                <w:szCs w:val="21"/>
              </w:rPr>
              <w:t>5</w:t>
            </w:r>
          </w:p>
        </w:tc>
        <w:tc>
          <w:tcPr>
            <w:tcW w:w="1125" w:type="dxa"/>
            <w:vAlign w:val="center"/>
          </w:tcPr>
          <w:p>
            <w:pPr>
              <w:spacing w:line="240" w:lineRule="auto"/>
              <w:jc w:val="center"/>
              <w:rPr>
                <w:rFonts w:ascii="Times New Roman" w:hAnsi="Times New Roman"/>
                <w:sz w:val="21"/>
                <w:szCs w:val="21"/>
              </w:rPr>
            </w:pPr>
            <w:r>
              <w:rPr>
                <w:rFonts w:ascii="Times New Roman" w:hAnsi="Times New Roman"/>
                <w:sz w:val="21"/>
                <w:szCs w:val="21"/>
              </w:rPr>
              <w:t>生猪免疫</w:t>
            </w:r>
          </w:p>
        </w:tc>
        <w:tc>
          <w:tcPr>
            <w:tcW w:w="1305"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医疗废物</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1t/a</w:t>
            </w:r>
          </w:p>
        </w:tc>
        <w:tc>
          <w:tcPr>
            <w:tcW w:w="115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1t/a</w:t>
            </w:r>
          </w:p>
        </w:tc>
        <w:tc>
          <w:tcPr>
            <w:tcW w:w="594" w:type="dxa"/>
            <w:vAlign w:val="center"/>
          </w:tcPr>
          <w:p>
            <w:pPr>
              <w:spacing w:line="240" w:lineRule="auto"/>
              <w:jc w:val="center"/>
              <w:rPr>
                <w:rFonts w:ascii="Times New Roman" w:hAnsi="Times New Roman"/>
                <w:sz w:val="21"/>
                <w:szCs w:val="21"/>
              </w:rPr>
            </w:pPr>
            <w:r>
              <w:rPr>
                <w:rFonts w:ascii="Times New Roman" w:hAnsi="Times New Roman"/>
                <w:sz w:val="21"/>
                <w:szCs w:val="21"/>
              </w:rPr>
              <w:t>危险废物</w:t>
            </w:r>
          </w:p>
        </w:tc>
        <w:tc>
          <w:tcPr>
            <w:tcW w:w="2763" w:type="dxa"/>
            <w:vAlign w:val="center"/>
          </w:tcPr>
          <w:p>
            <w:pPr>
              <w:spacing w:line="240" w:lineRule="auto"/>
              <w:jc w:val="center"/>
              <w:rPr>
                <w:rFonts w:ascii="Times New Roman" w:hAnsi="Times New Roman"/>
                <w:sz w:val="21"/>
                <w:szCs w:val="21"/>
              </w:rPr>
            </w:pPr>
            <w:r>
              <w:rPr>
                <w:rFonts w:ascii="Times New Roman" w:hAnsi="Times New Roman"/>
                <w:sz w:val="21"/>
                <w:szCs w:val="21"/>
              </w:rPr>
              <w:t>交由成都瀚洋环保事业有限公司处理</w:t>
            </w:r>
          </w:p>
        </w:tc>
      </w:tr>
    </w:tbl>
    <w:p>
      <w:pPr>
        <w:pStyle w:val="104"/>
      </w:pPr>
      <w:r>
        <w:t>5、地下水污染防治措施</w:t>
      </w:r>
    </w:p>
    <w:p>
      <w:pPr>
        <w:ind w:firstLine="480"/>
        <w:rPr>
          <w:rFonts w:ascii="Times New Roman" w:hAnsi="Times New Roman"/>
          <w:sz w:val="24"/>
          <w:szCs w:val="24"/>
        </w:rPr>
      </w:pPr>
      <w:r>
        <w:rPr>
          <w:rFonts w:ascii="Times New Roman" w:hAnsi="Times New Roman"/>
          <w:sz w:val="24"/>
          <w:szCs w:val="24"/>
        </w:rPr>
        <w:t>为有效规避地下水环境污染的风险，做好地下水污染预防措，企业实施了分区防渗。</w:t>
      </w:r>
    </w:p>
    <w:p>
      <w:pPr>
        <w:ind w:firstLine="480"/>
        <w:rPr>
          <w:rFonts w:ascii="Times New Roman" w:hAnsi="Times New Roman"/>
          <w:sz w:val="24"/>
          <w:szCs w:val="24"/>
        </w:rPr>
      </w:pPr>
      <w:r>
        <w:rPr>
          <w:rFonts w:ascii="Times New Roman" w:hAnsi="Times New Roman"/>
          <w:sz w:val="24"/>
          <w:szCs w:val="24"/>
        </w:rPr>
        <w:t>对重点防渗区（包括病死猪冷藏室、医疗废物暂存间、粪污水收集深坑、化粪池等）采取了采用“粘土+HDPE膜+30cm抗渗混凝土”进行重点防渗；</w:t>
      </w:r>
    </w:p>
    <w:p>
      <w:pPr>
        <w:pStyle w:val="109"/>
        <w:ind w:firstLine="480"/>
        <w:rPr>
          <w:szCs w:val="24"/>
        </w:rPr>
      </w:pPr>
      <w:r>
        <w:rPr>
          <w:szCs w:val="24"/>
        </w:rPr>
        <w:t>对其他一般防渗区（包括办公生活区、仓库、变配电箱、控制室以及站内道路等）地面采取粘土铺底，再在上层铺10~15cm的水泥混凝土进行硬化防渗。</w:t>
      </w:r>
    </w:p>
    <w:p>
      <w:pPr>
        <w:pStyle w:val="104"/>
      </w:pPr>
      <w:r>
        <w:t>6、风险防范措施及应急预案</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现有工程采取的主要风险防范措施如下： </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（1）企业场地范围内实施分区防渗； </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（2）项目实施雨污分流，修建能存纳6个月大容量粪液储存池，能储存暂不能外运的粪污水；</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（3）定期维护、检查猪舍排气系统及监控系统，备用发电机及其自起动装置；在猪舍附近应设置事故柜和急救器材、救生器、防护面罩、衣、护目镜、胶皮手套、耳塞等防护、急救用具、用品；</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（4）疾病事故风险防范：</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①</w:t>
      </w:r>
      <w:r>
        <w:rPr>
          <w:rFonts w:ascii="Times New Roman" w:hAnsi="Times New Roman" w:eastAsiaTheme="minorEastAsia"/>
          <w:kern w:val="0"/>
          <w:sz w:val="24"/>
          <w:szCs w:val="24"/>
        </w:rPr>
        <w:t xml:space="preserve"> 生产区与生活区分开。设有消毒池和消毒室，消毒池内常年保持2％-4％氢氧化钠溶液等消毒药。</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②</w:t>
      </w:r>
      <w:r>
        <w:rPr>
          <w:rFonts w:ascii="Times New Roman" w:hAnsi="Times New Roman" w:eastAsiaTheme="minorEastAsia"/>
          <w:kern w:val="0"/>
          <w:sz w:val="24"/>
          <w:szCs w:val="24"/>
        </w:rPr>
        <w:t xml:space="preserve"> 项目运营期严格控制非生产人员进入生产区，必须进入时应更换工作服及鞋帽，经消毒室消毒后才能进入。</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③</w:t>
      </w:r>
      <w:r>
        <w:rPr>
          <w:rFonts w:ascii="Times New Roman" w:hAnsi="Times New Roman" w:eastAsiaTheme="minorEastAsia"/>
          <w:kern w:val="0"/>
          <w:sz w:val="24"/>
          <w:szCs w:val="24"/>
        </w:rPr>
        <w:t xml:space="preserve"> 饲养人员每年应至少进行一次体格检查，如发现患有危害人、猪的传染病者，应及时调离，以防传染。</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④</w:t>
      </w:r>
      <w:r>
        <w:rPr>
          <w:rFonts w:ascii="Times New Roman" w:hAnsi="Times New Roman" w:eastAsiaTheme="minorEastAsia"/>
          <w:kern w:val="0"/>
          <w:sz w:val="24"/>
          <w:szCs w:val="24"/>
        </w:rPr>
        <w:t xml:space="preserve"> 经常保持猪舍、猪床、猪体的清洁，猪舍、猪床应保持平整、干燥、无污物。 </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⑤</w:t>
      </w:r>
      <w:r>
        <w:rPr>
          <w:rFonts w:ascii="Times New Roman" w:hAnsi="Times New Roman" w:eastAsiaTheme="minorEastAsia"/>
          <w:kern w:val="0"/>
          <w:sz w:val="24"/>
          <w:szCs w:val="24"/>
        </w:rPr>
        <w:t xml:space="preserve"> 定期检测各类饲料成分，经常检查、调整、平衡日粮的营养，特别是蹄病发生率达15％以上时。</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⑥</w:t>
      </w:r>
      <w:r>
        <w:rPr>
          <w:rFonts w:ascii="Times New Roman" w:hAnsi="Times New Roman" w:eastAsiaTheme="minorEastAsia"/>
          <w:kern w:val="0"/>
          <w:sz w:val="24"/>
          <w:szCs w:val="24"/>
        </w:rPr>
        <w:t xml:space="preserve"> 设有病死猪专用冷藏室，位于厂区南侧，病死猪消毒（戊二醛、苯扎溴铵、月苄三甲氯铵、聚微酮碘等），由有资质的处置单位进行处理（目前交由成都市科农动物无害化处置有限公司处理），运输前对病死猪进行包裹，并对包裹体进行消毒；</w:t>
      </w:r>
    </w:p>
    <w:p>
      <w:pPr>
        <w:autoSpaceDE w:val="0"/>
        <w:autoSpaceDN w:val="0"/>
        <w:adjustRightInd w:val="0"/>
        <w:ind w:firstLine="480" w:firstLineChars="200"/>
        <w:jc w:val="left"/>
        <w:rPr>
          <w:rFonts w:ascii="Times New Roman" w:hAnsi="Times New Roman" w:eastAsiaTheme="minorEastAsia"/>
          <w:kern w:val="0"/>
          <w:sz w:val="24"/>
          <w:szCs w:val="24"/>
        </w:rPr>
      </w:pPr>
      <w:r>
        <w:rPr>
          <w:rFonts w:hint="eastAsia" w:ascii="宋体" w:hAnsi="宋体" w:cs="宋体"/>
          <w:kern w:val="0"/>
          <w:sz w:val="24"/>
          <w:szCs w:val="24"/>
        </w:rPr>
        <w:t>⑦</w:t>
      </w:r>
      <w:r>
        <w:rPr>
          <w:rFonts w:ascii="Times New Roman" w:hAnsi="Times New Roman" w:eastAsiaTheme="minorEastAsia"/>
          <w:kern w:val="0"/>
          <w:sz w:val="24"/>
          <w:szCs w:val="24"/>
        </w:rPr>
        <w:t xml:space="preserve"> 项目设有医疗废物暂存间，医疗废物单独收集，在厂区暂存，并交有资质的单位处置（目前交由成都瀚洋环保实业有限公司处理）。</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（5）项目在运营过程中加强管理，提高安全意识，并制定各项环保安全制度。</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（6）成都旺江农牧科技有限公司制定了《成都旺江农牧科技有限公司突发环境事件应急预案》，并于2018年12月27日在四川省邛崃市环境保护局备案，备案号：510183-2018-306-L。</w:t>
      </w:r>
    </w:p>
    <w:p>
      <w:pPr>
        <w:pStyle w:val="104"/>
      </w:pPr>
      <w:r>
        <w:t>7、现有工程污染物汇总</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现有工程污染物汇总见表2.1-7：</w:t>
      </w:r>
    </w:p>
    <w:p>
      <w:pPr>
        <w:autoSpaceDE w:val="0"/>
        <w:autoSpaceDN w:val="0"/>
        <w:adjustRightInd w:val="0"/>
        <w:jc w:val="left"/>
        <w:rPr>
          <w:rFonts w:ascii="Times New Roman" w:hAnsi="Times New Roman" w:eastAsiaTheme="minorEastAsia"/>
          <w:kern w:val="0"/>
          <w:sz w:val="24"/>
          <w:szCs w:val="24"/>
        </w:rPr>
        <w:sectPr>
          <w:pgSz w:w="11906" w:h="16838"/>
          <w:pgMar w:top="1440" w:right="1800" w:bottom="1440" w:left="1800" w:header="851" w:footer="992" w:gutter="0"/>
          <w:cols w:space="425" w:num="1"/>
          <w:docGrid w:type="lines" w:linePitch="312" w:charSpace="0"/>
        </w:sectPr>
      </w:pPr>
    </w:p>
    <w:p>
      <w:pPr>
        <w:spacing w:line="240" w:lineRule="auto"/>
        <w:jc w:val="center"/>
        <w:rPr>
          <w:rFonts w:ascii="Times New Roman" w:hAnsi="Times New Roman" w:eastAsia="黑体"/>
          <w:sz w:val="21"/>
          <w:szCs w:val="21"/>
        </w:rPr>
      </w:pPr>
      <w:r>
        <w:rPr>
          <w:rFonts w:ascii="Times New Roman" w:hAnsi="Times New Roman" w:eastAsia="黑体"/>
          <w:sz w:val="21"/>
          <w:szCs w:val="21"/>
        </w:rPr>
        <w:t>表2.1-7 　现有工程污染物产生排放量统计表</w:t>
      </w:r>
    </w:p>
    <w:tbl>
      <w:tblPr>
        <w:tblStyle w:val="91"/>
        <w:tblW w:w="14174"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134"/>
        <w:gridCol w:w="708"/>
        <w:gridCol w:w="1276"/>
        <w:gridCol w:w="1418"/>
        <w:gridCol w:w="5670"/>
        <w:gridCol w:w="1417"/>
        <w:gridCol w:w="145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943" w:type="dxa"/>
            <w:gridSpan w:val="3"/>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污染物</w:t>
            </w:r>
          </w:p>
        </w:tc>
        <w:tc>
          <w:tcPr>
            <w:tcW w:w="2694"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处理前</w:t>
            </w:r>
          </w:p>
        </w:tc>
        <w:tc>
          <w:tcPr>
            <w:tcW w:w="5670"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处理方式</w:t>
            </w:r>
          </w:p>
        </w:tc>
        <w:tc>
          <w:tcPr>
            <w:tcW w:w="2867"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处理后</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943" w:type="dxa"/>
            <w:gridSpan w:val="3"/>
            <w:vMerge w:val="continue"/>
            <w:vAlign w:val="center"/>
          </w:tcPr>
          <w:p>
            <w:pPr>
              <w:spacing w:line="240" w:lineRule="auto"/>
              <w:jc w:val="center"/>
              <w:rPr>
                <w:rFonts w:ascii="Times New Roman" w:hAnsi="Times New Roman" w:eastAsiaTheme="minorEastAsia"/>
                <w:sz w:val="21"/>
                <w:szCs w:val="21"/>
              </w:rPr>
            </w:pP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产生量（t/a）</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排放量（t/a）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废水</w:t>
            </w: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水量</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12994</w:t>
            </w:r>
          </w:p>
        </w:tc>
        <w:tc>
          <w:tcPr>
            <w:tcW w:w="5670"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餐饮废水及生活废水经预处理后进水发酵深坑，人工清粪后的粪液通过漏缝进入深坑（深坑厌氧储存池有效容积为2.7万m</w:t>
            </w:r>
            <w:r>
              <w:rPr>
                <w:rFonts w:ascii="Times New Roman" w:hAnsi="Times New Roman" w:eastAsiaTheme="minorEastAsia"/>
                <w:sz w:val="21"/>
                <w:szCs w:val="21"/>
                <w:vertAlign w:val="superscript"/>
              </w:rPr>
              <w:t>3</w:t>
            </w:r>
            <w:r>
              <w:rPr>
                <w:rFonts w:ascii="Times New Roman" w:hAnsi="Times New Roman" w:eastAsiaTheme="minorEastAsia"/>
                <w:sz w:val="21"/>
                <w:szCs w:val="21"/>
              </w:rPr>
              <w:t>）发酵；采用“固液分离+全漏缝+2.7米深坑发酵”）处理后的粪液采取专业抽粪合作社+专业施肥队伍还田处置，不外排</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COD</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3000（350）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35.4999</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BOD</w:t>
            </w:r>
            <w:r>
              <w:rPr>
                <w:rFonts w:ascii="Times New Roman" w:hAnsi="Times New Roman" w:eastAsiaTheme="minorEastAsia"/>
                <w:sz w:val="21"/>
                <w:szCs w:val="21"/>
                <w:vertAlign w:val="subscript"/>
              </w:rPr>
              <w:t>5</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1800（200）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21.2868</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SS</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3600（200）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42.3108</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氨氮</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500（45）</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5.8991</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TP</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100（20）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1.1943</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废气</w:t>
            </w:r>
          </w:p>
        </w:tc>
        <w:tc>
          <w:tcPr>
            <w:tcW w:w="1134"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圈舍、干粪堆场</w:t>
            </w:r>
          </w:p>
        </w:tc>
        <w:tc>
          <w:tcPr>
            <w:tcW w:w="70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3.1302</w:t>
            </w:r>
          </w:p>
        </w:tc>
        <w:tc>
          <w:tcPr>
            <w:tcW w:w="5670"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保育舍和育肥舍圈舍整体为负压封闭状态；废气通过抽风系统收集，并经活性炭处理后通过圈舍耳房排放</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0.1565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134" w:type="dxa"/>
            <w:vMerge w:val="continue"/>
            <w:vAlign w:val="center"/>
          </w:tcPr>
          <w:p>
            <w:pPr>
              <w:spacing w:line="240" w:lineRule="auto"/>
              <w:jc w:val="center"/>
              <w:rPr>
                <w:rFonts w:ascii="Times New Roman" w:hAnsi="Times New Roman" w:eastAsiaTheme="minorEastAsia"/>
                <w:sz w:val="21"/>
                <w:szCs w:val="21"/>
              </w:rPr>
            </w:pPr>
          </w:p>
        </w:tc>
        <w:tc>
          <w:tcPr>
            <w:tcW w:w="708"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0.1844</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0.0092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食堂油烟</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1套静电油烟净化器处理后通过专用烟道引至屋顶达标排放</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0.4~0.6</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少量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柴油发电机尾气</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少量</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经自带烟气净化装置处理后引至屋顶达标排放</w:t>
            </w:r>
          </w:p>
        </w:tc>
        <w:tc>
          <w:tcPr>
            <w:tcW w:w="1417" w:type="dxa"/>
            <w:vAlign w:val="center"/>
          </w:tcPr>
          <w:p>
            <w:pPr>
              <w:spacing w:line="240" w:lineRule="auto"/>
              <w:jc w:val="center"/>
              <w:rPr>
                <w:rFonts w:ascii="Times New Roman" w:hAnsi="Times New Roman" w:eastAsiaTheme="minorEastAsia"/>
                <w:sz w:val="21"/>
                <w:szCs w:val="21"/>
              </w:rPr>
            </w:pPr>
          </w:p>
        </w:tc>
        <w:tc>
          <w:tcPr>
            <w:tcW w:w="1450" w:type="dxa"/>
            <w:vAlign w:val="center"/>
          </w:tcPr>
          <w:p>
            <w:pPr>
              <w:spacing w:line="240" w:lineRule="auto"/>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固废</w:t>
            </w: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干猪粪</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5002.69</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由成都市敬华农业有限公司清运用作堆肥</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病死猪</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100头/a</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交由成都市科农动物无害化处置有限公司安全处置</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食堂餐厨垃圾</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7.3</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交由成都德新饲料油脂有限公司处理</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72" w:hRule="atLeast"/>
        </w:trPr>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生活垃圾</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由当地环卫部门收集处理</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lang w:val="zh-CN"/>
              </w:rPr>
              <w:t>医疗废物</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交由成都瀚洋环保事业有限公司处理</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sz w:val="21"/>
                <w:szCs w:val="21"/>
                <w:lang w:val="zh-CN"/>
              </w:rPr>
            </w:pPr>
            <w:r>
              <w:rPr>
                <w:rFonts w:ascii="Times New Roman" w:hAnsi="Times New Roman"/>
                <w:sz w:val="21"/>
                <w:szCs w:val="21"/>
                <w:lang w:val="zh-CN"/>
              </w:rPr>
              <w:t>废活性炭</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交有资质单位处置</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bl>
    <w:p>
      <w:pPr>
        <w:autoSpaceDE w:val="0"/>
        <w:autoSpaceDN w:val="0"/>
        <w:adjustRightInd w:val="0"/>
        <w:jc w:val="left"/>
        <w:rPr>
          <w:rFonts w:ascii="Times New Roman" w:hAnsi="Times New Roman" w:eastAsiaTheme="minorEastAsia"/>
          <w:kern w:val="0"/>
          <w:sz w:val="24"/>
          <w:szCs w:val="24"/>
        </w:rPr>
        <w:sectPr>
          <w:headerReference r:id="rId7" w:type="default"/>
          <w:pgSz w:w="16838" w:h="11906" w:orient="landscape"/>
          <w:pgMar w:top="1800" w:right="1440" w:bottom="1800" w:left="1440" w:header="851" w:footer="992" w:gutter="0"/>
          <w:cols w:space="425" w:num="1"/>
          <w:docGrid w:type="lines" w:linePitch="381" w:charSpace="0"/>
        </w:sectPr>
      </w:pPr>
    </w:p>
    <w:p>
      <w:pPr>
        <w:pStyle w:val="108"/>
      </w:pPr>
      <w:bookmarkStart w:id="101" w:name="_Toc9873316"/>
      <w:r>
        <w:t>2.1.8　现有工程环境遗留问题及整改要求</w:t>
      </w:r>
      <w:bookmarkEnd w:id="101"/>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现有工程已委托成都市华测检测技术有限公司于2019年5月完成了环保验收，验收过程已按照环保要求落实了相关水、气、声、固废及地下水等污染防治措施，现有工程现状不存在环境遗留问题。</w:t>
      </w:r>
    </w:p>
    <w:p>
      <w:pPr>
        <w:pStyle w:val="103"/>
        <w:numPr>
          <w:ilvl w:val="0"/>
          <w:numId w:val="0"/>
        </w:numPr>
        <w:rPr>
          <w:rFonts w:ascii="Times New Roman" w:hAnsi="Times New Roman"/>
          <w:b w:val="0"/>
          <w:bCs/>
          <w:kern w:val="28"/>
          <w:sz w:val="32"/>
          <w:szCs w:val="32"/>
        </w:rPr>
      </w:pPr>
      <w:bookmarkStart w:id="102" w:name="_Toc9873317"/>
      <w:r>
        <w:rPr>
          <w:rFonts w:ascii="Times New Roman" w:hAnsi="Times New Roman"/>
          <w:b w:val="0"/>
          <w:bCs/>
          <w:kern w:val="28"/>
          <w:sz w:val="32"/>
          <w:szCs w:val="32"/>
        </w:rPr>
        <w:t>2.2　建设项目概况</w:t>
      </w:r>
      <w:bookmarkEnd w:id="102"/>
    </w:p>
    <w:p>
      <w:pPr>
        <w:pStyle w:val="108"/>
      </w:pPr>
      <w:bookmarkStart w:id="103" w:name="_Toc9873318"/>
      <w:r>
        <w:t>2.2.1 项目名称、地点及性质</w:t>
      </w:r>
      <w:bookmarkEnd w:id="103"/>
    </w:p>
    <w:p>
      <w:pPr>
        <w:spacing w:line="480" w:lineRule="exact"/>
        <w:ind w:firstLine="480" w:firstLineChars="200"/>
        <w:rPr>
          <w:rFonts w:ascii="Times New Roman" w:hAnsi="Times New Roman"/>
          <w:bCs/>
          <w:sz w:val="24"/>
          <w:szCs w:val="24"/>
        </w:rPr>
      </w:pPr>
      <w:r>
        <w:rPr>
          <w:rFonts w:ascii="Times New Roman" w:hAnsi="Times New Roman"/>
          <w:bCs/>
          <w:sz w:val="24"/>
          <w:szCs w:val="24"/>
        </w:rPr>
        <w:t>项目名称：</w:t>
      </w:r>
      <w:r>
        <w:rPr>
          <w:rFonts w:ascii="Times New Roman" w:hAnsi="Times New Roman"/>
          <w:sz w:val="24"/>
          <w:szCs w:val="24"/>
        </w:rPr>
        <w:t>旺江农牧冉义现代化生猪养殖基地二期建设项目</w:t>
      </w:r>
    </w:p>
    <w:p>
      <w:pPr>
        <w:spacing w:line="480" w:lineRule="exact"/>
        <w:ind w:firstLine="480" w:firstLineChars="200"/>
        <w:rPr>
          <w:rFonts w:ascii="Times New Roman" w:hAnsi="Times New Roman"/>
          <w:bCs/>
          <w:sz w:val="24"/>
          <w:szCs w:val="24"/>
        </w:rPr>
      </w:pPr>
      <w:r>
        <w:rPr>
          <w:rFonts w:ascii="Times New Roman" w:hAnsi="Times New Roman"/>
          <w:bCs/>
          <w:sz w:val="24"/>
          <w:szCs w:val="24"/>
        </w:rPr>
        <w:t>建设单位：</w:t>
      </w:r>
      <w:r>
        <w:rPr>
          <w:rFonts w:ascii="Times New Roman" w:hAnsi="Times New Roman"/>
          <w:sz w:val="24"/>
          <w:szCs w:val="24"/>
        </w:rPr>
        <w:t>成都旺江农牧科技有限公司</w:t>
      </w:r>
    </w:p>
    <w:p>
      <w:pPr>
        <w:spacing w:line="480" w:lineRule="exact"/>
        <w:ind w:firstLine="480" w:firstLineChars="200"/>
        <w:rPr>
          <w:rFonts w:ascii="Times New Roman" w:hAnsi="Times New Roman"/>
          <w:bCs/>
          <w:sz w:val="24"/>
          <w:szCs w:val="24"/>
        </w:rPr>
      </w:pPr>
      <w:r>
        <w:rPr>
          <w:rFonts w:ascii="Times New Roman" w:hAnsi="Times New Roman"/>
          <w:bCs/>
          <w:sz w:val="24"/>
          <w:szCs w:val="24"/>
        </w:rPr>
        <w:t>项目性质：扩建</w:t>
      </w:r>
    </w:p>
    <w:p>
      <w:pPr>
        <w:spacing w:line="480" w:lineRule="exact"/>
        <w:ind w:firstLine="480" w:firstLineChars="200"/>
        <w:rPr>
          <w:rFonts w:ascii="Times New Roman" w:hAnsi="Times New Roman"/>
          <w:bCs/>
          <w:sz w:val="24"/>
          <w:szCs w:val="24"/>
        </w:rPr>
      </w:pPr>
      <w:r>
        <w:rPr>
          <w:rFonts w:ascii="Times New Roman" w:hAnsi="Times New Roman"/>
          <w:bCs/>
          <w:sz w:val="24"/>
          <w:szCs w:val="24"/>
        </w:rPr>
        <w:t>项目投资：3000万元</w:t>
      </w:r>
    </w:p>
    <w:p>
      <w:pPr>
        <w:spacing w:line="480" w:lineRule="exact"/>
        <w:ind w:firstLine="480" w:firstLineChars="200"/>
        <w:rPr>
          <w:rFonts w:ascii="Times New Roman" w:hAnsi="Times New Roman"/>
          <w:bCs/>
          <w:sz w:val="24"/>
          <w:szCs w:val="24"/>
        </w:rPr>
      </w:pPr>
      <w:r>
        <w:rPr>
          <w:rFonts w:ascii="Times New Roman" w:hAnsi="Times New Roman"/>
          <w:bCs/>
          <w:sz w:val="24"/>
          <w:szCs w:val="24"/>
        </w:rPr>
        <w:t>建设地点：</w:t>
      </w:r>
      <w:r>
        <w:rPr>
          <w:rFonts w:ascii="Times New Roman" w:hAnsi="Times New Roman"/>
          <w:sz w:val="24"/>
          <w:szCs w:val="24"/>
        </w:rPr>
        <w:t>邛崃市冉义镇园林村35组</w:t>
      </w:r>
    </w:p>
    <w:p>
      <w:pPr>
        <w:pStyle w:val="108"/>
      </w:pPr>
      <w:bookmarkStart w:id="104" w:name="_Toc9873319"/>
      <w:r>
        <w:t>2.2.2 项目占地及建设规模</w:t>
      </w:r>
      <w:bookmarkEnd w:id="104"/>
    </w:p>
    <w:p>
      <w:pPr>
        <w:spacing w:line="480" w:lineRule="exact"/>
        <w:ind w:firstLine="480" w:firstLineChars="200"/>
        <w:rPr>
          <w:rFonts w:ascii="Times New Roman" w:hAnsi="Times New Roman"/>
          <w:sz w:val="24"/>
          <w:szCs w:val="24"/>
        </w:rPr>
      </w:pPr>
      <w:r>
        <w:rPr>
          <w:rFonts w:ascii="Times New Roman" w:hAnsi="Times New Roman"/>
          <w:sz w:val="24"/>
          <w:szCs w:val="24"/>
        </w:rPr>
        <w:t>项目占地：利用一期剩余土地面积约60亩，全厂合计97亩。</w:t>
      </w:r>
    </w:p>
    <w:p>
      <w:pPr>
        <w:spacing w:line="540" w:lineRule="exact"/>
        <w:ind w:firstLine="480" w:firstLineChars="200"/>
        <w:rPr>
          <w:rFonts w:ascii="Times New Roman" w:hAnsi="Times New Roman"/>
          <w:sz w:val="24"/>
          <w:szCs w:val="24"/>
        </w:rPr>
      </w:pPr>
      <w:r>
        <w:rPr>
          <w:rFonts w:ascii="Times New Roman" w:hAnsi="Times New Roman"/>
          <w:sz w:val="24"/>
          <w:szCs w:val="24"/>
        </w:rPr>
        <w:t>建设规模：建设育肥舍、保育舍，生猪存栏规模达到2万头。仔猪从母公司在邛崃市牟礼镇的（距离本场约23公里）繁育场直接引进断奶猪（保育成活率95%，育成成活率98%）。设计存栏标准：仔猪在保育舍保育周期为7周，育肥周期为14周，全过程为21周，全过程饲养约2.5个饲养周期，育肥舍全年3.7个饲养周期。按照每头育肥猪1.0m</w:t>
      </w:r>
      <w:r>
        <w:rPr>
          <w:rFonts w:ascii="Times New Roman" w:hAnsi="Times New Roman"/>
          <w:sz w:val="24"/>
          <w:szCs w:val="24"/>
          <w:vertAlign w:val="superscript"/>
        </w:rPr>
        <w:t>2</w:t>
      </w:r>
      <w:r>
        <w:rPr>
          <w:rFonts w:ascii="Times New Roman" w:hAnsi="Times New Roman"/>
          <w:sz w:val="24"/>
          <w:szCs w:val="24"/>
        </w:rPr>
        <w:t>，保育猪0.4 m</w:t>
      </w:r>
      <w:r>
        <w:rPr>
          <w:rFonts w:ascii="Times New Roman" w:hAnsi="Times New Roman"/>
          <w:sz w:val="24"/>
          <w:szCs w:val="24"/>
          <w:vertAlign w:val="superscript"/>
        </w:rPr>
        <w:t>2</w:t>
      </w:r>
      <w:r>
        <w:rPr>
          <w:rFonts w:ascii="Times New Roman" w:hAnsi="Times New Roman"/>
          <w:sz w:val="24"/>
          <w:szCs w:val="24"/>
        </w:rPr>
        <w:t>标准计算，存栏仔猪21500头，项目存栏大猪15600万头，年出栏15600头×3.7批次=57720头。</w:t>
      </w:r>
    </w:p>
    <w:p>
      <w:pPr>
        <w:spacing w:line="480" w:lineRule="exact"/>
        <w:ind w:firstLine="480" w:firstLineChars="200"/>
        <w:rPr>
          <w:rFonts w:ascii="Times New Roman" w:hAnsi="Times New Roman"/>
          <w:sz w:val="24"/>
          <w:szCs w:val="24"/>
        </w:rPr>
      </w:pPr>
      <w:r>
        <w:rPr>
          <w:rFonts w:ascii="Times New Roman" w:hAnsi="Times New Roman"/>
          <w:sz w:val="24"/>
          <w:szCs w:val="24"/>
        </w:rPr>
        <w:t>按照5头仔猪折算1头大猪。故本项目常年存栏量折合大猪为21500/5+15600=19900头。</w:t>
      </w:r>
    </w:p>
    <w:p>
      <w:pPr>
        <w:pStyle w:val="108"/>
      </w:pPr>
      <w:bookmarkStart w:id="105" w:name="_Toc9873320"/>
      <w:r>
        <w:t>2.2.3 主要经济技术指标</w:t>
      </w:r>
      <w:bookmarkEnd w:id="105"/>
    </w:p>
    <w:p>
      <w:pPr>
        <w:spacing w:line="480" w:lineRule="exact"/>
        <w:ind w:firstLine="480" w:firstLineChars="200"/>
        <w:rPr>
          <w:rFonts w:ascii="Times New Roman" w:hAnsi="Times New Roman"/>
          <w:sz w:val="24"/>
        </w:rPr>
      </w:pPr>
      <w:r>
        <w:rPr>
          <w:rFonts w:ascii="Times New Roman" w:hAnsi="Times New Roman"/>
          <w:sz w:val="24"/>
        </w:rPr>
        <w:t>存栏结构及经济技术指标见表2.2-1。</w:t>
      </w:r>
    </w:p>
    <w:p>
      <w:pPr>
        <w:spacing w:line="480" w:lineRule="exact"/>
        <w:jc w:val="center"/>
        <w:rPr>
          <w:rFonts w:ascii="Times New Roman" w:hAnsi="Times New Roman" w:eastAsia="黑体"/>
          <w:sz w:val="21"/>
          <w:szCs w:val="21"/>
        </w:rPr>
      </w:pPr>
      <w:r>
        <w:rPr>
          <w:rFonts w:ascii="Times New Roman" w:hAnsi="Times New Roman" w:eastAsia="黑体"/>
          <w:sz w:val="21"/>
          <w:szCs w:val="21"/>
        </w:rPr>
        <w:t>表2.2-1   主要技术指标</w:t>
      </w:r>
    </w:p>
    <w:tbl>
      <w:tblPr>
        <w:tblStyle w:val="90"/>
        <w:tblW w:w="7626"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50"/>
        <w:gridCol w:w="2459"/>
        <w:gridCol w:w="1793"/>
        <w:gridCol w:w="1064"/>
        <w:gridCol w:w="156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序号</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指     标</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单位</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数量</w:t>
            </w:r>
          </w:p>
        </w:tc>
        <w:tc>
          <w:tcPr>
            <w:tcW w:w="156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周期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育肥舍最大存栏</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头</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15600</w:t>
            </w:r>
          </w:p>
        </w:tc>
        <w:tc>
          <w:tcPr>
            <w:tcW w:w="156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14周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2</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保育舍最大存栏</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头</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21500</w:t>
            </w:r>
          </w:p>
        </w:tc>
        <w:tc>
          <w:tcPr>
            <w:tcW w:w="156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7周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3</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折算合计全场最大存栏</w:t>
            </w:r>
          </w:p>
        </w:tc>
        <w:tc>
          <w:tcPr>
            <w:tcW w:w="1793" w:type="dxa"/>
            <w:vAlign w:val="center"/>
          </w:tcPr>
          <w:p>
            <w:pPr>
              <w:snapToGrid w:val="0"/>
              <w:spacing w:line="280" w:lineRule="exact"/>
              <w:jc w:val="center"/>
              <w:rPr>
                <w:rFonts w:ascii="Times New Roman" w:hAnsi="Times New Roman"/>
                <w:sz w:val="21"/>
                <w:szCs w:val="21"/>
              </w:rPr>
            </w:pP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19900</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5</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出栏</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头</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57720</w:t>
            </w:r>
          </w:p>
        </w:tc>
        <w:tc>
          <w:tcPr>
            <w:tcW w:w="156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每周平均1110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6</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总投资</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万元</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3000</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7</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员工总计</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人</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26</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8</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全年生产天数</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天</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365</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9</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圈舍总建筑面积</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平方米</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24200</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保育舍建筑面积</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平方米</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8600</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11</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育肥舍建筑面积</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平方米</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15600</w:t>
            </w:r>
          </w:p>
        </w:tc>
        <w:tc>
          <w:tcPr>
            <w:tcW w:w="1560" w:type="dxa"/>
            <w:vAlign w:val="center"/>
          </w:tcPr>
          <w:p>
            <w:pPr>
              <w:snapToGrid w:val="0"/>
              <w:spacing w:line="28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50"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12</w:t>
            </w:r>
          </w:p>
        </w:tc>
        <w:tc>
          <w:tcPr>
            <w:tcW w:w="2459"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蓄粪池容积</w:t>
            </w:r>
          </w:p>
        </w:tc>
        <w:tc>
          <w:tcPr>
            <w:tcW w:w="1793"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立方米</w:t>
            </w:r>
          </w:p>
        </w:tc>
        <w:tc>
          <w:tcPr>
            <w:tcW w:w="1064" w:type="dxa"/>
            <w:vAlign w:val="center"/>
          </w:tcPr>
          <w:p>
            <w:pPr>
              <w:snapToGrid w:val="0"/>
              <w:spacing w:line="280" w:lineRule="exact"/>
              <w:jc w:val="center"/>
              <w:rPr>
                <w:rFonts w:ascii="Times New Roman" w:hAnsi="Times New Roman"/>
                <w:sz w:val="21"/>
                <w:szCs w:val="21"/>
              </w:rPr>
            </w:pPr>
            <w:r>
              <w:rPr>
                <w:rFonts w:ascii="Times New Roman" w:hAnsi="Times New Roman"/>
                <w:sz w:val="21"/>
                <w:szCs w:val="21"/>
              </w:rPr>
              <w:t>6.5万</w:t>
            </w:r>
          </w:p>
        </w:tc>
        <w:tc>
          <w:tcPr>
            <w:tcW w:w="1560" w:type="dxa"/>
            <w:vAlign w:val="center"/>
          </w:tcPr>
          <w:p>
            <w:pPr>
              <w:snapToGrid w:val="0"/>
              <w:spacing w:line="280" w:lineRule="exact"/>
              <w:jc w:val="center"/>
              <w:rPr>
                <w:rFonts w:ascii="Times New Roman" w:hAnsi="Times New Roman"/>
                <w:sz w:val="21"/>
                <w:szCs w:val="21"/>
              </w:rPr>
            </w:pPr>
          </w:p>
        </w:tc>
      </w:tr>
    </w:tbl>
    <w:p>
      <w:pPr>
        <w:pStyle w:val="108"/>
      </w:pPr>
      <w:bookmarkStart w:id="106" w:name="_Toc9873321"/>
      <w:r>
        <w:t>2.2.4 项目主要建设内容及项目组成</w:t>
      </w:r>
      <w:bookmarkEnd w:id="106"/>
    </w:p>
    <w:p>
      <w:pPr>
        <w:pStyle w:val="104"/>
      </w:pPr>
      <w:r>
        <w:t>1、主要建设内容及项目组成</w:t>
      </w:r>
    </w:p>
    <w:p>
      <w:pPr>
        <w:spacing w:line="480" w:lineRule="exact"/>
        <w:ind w:firstLine="480" w:firstLineChars="200"/>
        <w:rPr>
          <w:rFonts w:ascii="Times New Roman" w:hAnsi="Times New Roman"/>
          <w:sz w:val="24"/>
        </w:rPr>
      </w:pPr>
      <w:r>
        <w:rPr>
          <w:rFonts w:ascii="Times New Roman" w:hAnsi="Times New Roman"/>
          <w:sz w:val="24"/>
        </w:rPr>
        <w:t>新建标准化猪舍2.42万平方米，修建蓄粪池（水泡粪池）6.5万立方米 ；设备购置主要包括引进先进自动化饲喂设备、饮水设备、通风设备、供暖和降温设备等；辅助工程主要包括场区道路、绿化隔离带、雨污分流等设施工程。本项目配置全自动供料设备，采购集团公司现有的成品饲料，不再加工饲料，故厂区只建设饲料存贮仓。</w:t>
      </w:r>
    </w:p>
    <w:p>
      <w:pPr>
        <w:spacing w:line="480" w:lineRule="exact"/>
        <w:ind w:firstLine="480" w:firstLineChars="200"/>
        <w:rPr>
          <w:rFonts w:ascii="Times New Roman" w:hAnsi="Times New Roman"/>
          <w:bCs/>
          <w:sz w:val="24"/>
          <w:szCs w:val="24"/>
        </w:rPr>
      </w:pPr>
      <w:r>
        <w:rPr>
          <w:rFonts w:ascii="Times New Roman" w:hAnsi="Times New Roman"/>
          <w:sz w:val="24"/>
        </w:rPr>
        <w:t>具体</w:t>
      </w:r>
      <w:r>
        <w:rPr>
          <w:rFonts w:ascii="Times New Roman" w:hAnsi="Times New Roman"/>
          <w:bCs/>
          <w:sz w:val="24"/>
          <w:szCs w:val="24"/>
        </w:rPr>
        <w:t>项目组成见下表。</w:t>
      </w:r>
    </w:p>
    <w:p>
      <w:pPr>
        <w:spacing w:line="480" w:lineRule="exact"/>
        <w:ind w:firstLine="420" w:firstLineChars="200"/>
        <w:jc w:val="center"/>
        <w:rPr>
          <w:rFonts w:ascii="Times New Roman" w:hAnsi="Times New Roman"/>
          <w:sz w:val="21"/>
          <w:szCs w:val="21"/>
        </w:rPr>
      </w:pPr>
      <w:r>
        <w:rPr>
          <w:rFonts w:ascii="Times New Roman" w:hAnsi="Times New Roman" w:eastAsia="黑体"/>
          <w:sz w:val="21"/>
          <w:szCs w:val="21"/>
        </w:rPr>
        <w:t>表2.2-2   项目组成及主要环境问题</w:t>
      </w:r>
    </w:p>
    <w:tbl>
      <w:tblPr>
        <w:tblStyle w:val="90"/>
        <w:tblW w:w="8575"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296"/>
        <w:gridCol w:w="3677"/>
        <w:gridCol w:w="1012"/>
        <w:gridCol w:w="1208"/>
        <w:gridCol w:w="6"/>
        <w:gridCol w:w="69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类别</w:t>
            </w:r>
          </w:p>
        </w:tc>
        <w:tc>
          <w:tcPr>
            <w:tcW w:w="1296" w:type="dxa"/>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项目名称</w:t>
            </w:r>
          </w:p>
        </w:tc>
        <w:tc>
          <w:tcPr>
            <w:tcW w:w="3677" w:type="dxa"/>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主要建设内容</w:t>
            </w:r>
          </w:p>
        </w:tc>
        <w:tc>
          <w:tcPr>
            <w:tcW w:w="2220"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可能产生的主要环境问题</w:t>
            </w:r>
          </w:p>
        </w:tc>
        <w:tc>
          <w:tcPr>
            <w:tcW w:w="703" w:type="dxa"/>
            <w:gridSpan w:val="2"/>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备注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continue"/>
            <w:vAlign w:val="center"/>
          </w:tcPr>
          <w:p>
            <w:pPr>
              <w:spacing w:line="270" w:lineRule="exact"/>
              <w:jc w:val="center"/>
              <w:rPr>
                <w:rFonts w:ascii="Times New Roman" w:hAnsi="Times New Roman"/>
                <w:sz w:val="21"/>
                <w:szCs w:val="21"/>
              </w:rPr>
            </w:pPr>
          </w:p>
        </w:tc>
        <w:tc>
          <w:tcPr>
            <w:tcW w:w="1296" w:type="dxa"/>
            <w:vMerge w:val="continue"/>
            <w:vAlign w:val="center"/>
          </w:tcPr>
          <w:p>
            <w:pPr>
              <w:spacing w:line="270" w:lineRule="exact"/>
              <w:jc w:val="center"/>
              <w:rPr>
                <w:rFonts w:ascii="Times New Roman" w:hAnsi="Times New Roman"/>
                <w:sz w:val="21"/>
                <w:szCs w:val="21"/>
              </w:rPr>
            </w:pPr>
          </w:p>
        </w:tc>
        <w:tc>
          <w:tcPr>
            <w:tcW w:w="3677" w:type="dxa"/>
            <w:vMerge w:val="continue"/>
            <w:vAlign w:val="center"/>
          </w:tcPr>
          <w:p>
            <w:pPr>
              <w:spacing w:line="270" w:lineRule="exact"/>
              <w:jc w:val="center"/>
              <w:rPr>
                <w:rFonts w:ascii="Times New Roman" w:hAnsi="Times New Roman"/>
                <w:sz w:val="21"/>
                <w:szCs w:val="21"/>
              </w:rPr>
            </w:pPr>
          </w:p>
        </w:tc>
        <w:tc>
          <w:tcPr>
            <w:tcW w:w="1012" w:type="dxa"/>
            <w:vAlign w:val="center"/>
          </w:tcPr>
          <w:p>
            <w:pPr>
              <w:spacing w:line="270" w:lineRule="exact"/>
              <w:jc w:val="center"/>
              <w:rPr>
                <w:rFonts w:ascii="Times New Roman" w:hAnsi="Times New Roman"/>
                <w:sz w:val="21"/>
                <w:szCs w:val="21"/>
              </w:rPr>
            </w:pPr>
            <w:r>
              <w:rPr>
                <w:rFonts w:ascii="Times New Roman" w:hAnsi="Times New Roman"/>
                <w:sz w:val="21"/>
                <w:szCs w:val="21"/>
              </w:rPr>
              <w:t>施工期</w:t>
            </w: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营运期</w:t>
            </w:r>
          </w:p>
        </w:tc>
        <w:tc>
          <w:tcPr>
            <w:tcW w:w="703" w:type="dxa"/>
            <w:gridSpan w:val="2"/>
            <w:vMerge w:val="continue"/>
            <w:vAlign w:val="center"/>
          </w:tcPr>
          <w:p>
            <w:pPr>
              <w:spacing w:line="270" w:lineRule="exac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679" w:type="dxa"/>
            <w:vMerge w:val="restart"/>
            <w:vAlign w:val="center"/>
          </w:tcPr>
          <w:p>
            <w:pPr>
              <w:spacing w:line="270" w:lineRule="exact"/>
              <w:jc w:val="left"/>
              <w:rPr>
                <w:rFonts w:ascii="Times New Roman" w:hAnsi="Times New Roman"/>
                <w:sz w:val="21"/>
                <w:szCs w:val="21"/>
              </w:rPr>
            </w:pPr>
            <w:r>
              <w:rPr>
                <w:rFonts w:ascii="Times New Roman" w:hAnsi="Times New Roman"/>
                <w:sz w:val="21"/>
                <w:szCs w:val="21"/>
              </w:rPr>
              <w:t>主体工程</w:t>
            </w:r>
          </w:p>
        </w:tc>
        <w:tc>
          <w:tcPr>
            <w:tcW w:w="1296" w:type="dxa"/>
            <w:vAlign w:val="center"/>
          </w:tcPr>
          <w:p>
            <w:pPr>
              <w:spacing w:line="270" w:lineRule="exact"/>
              <w:jc w:val="center"/>
              <w:rPr>
                <w:rFonts w:ascii="Times New Roman" w:hAnsi="Times New Roman"/>
                <w:sz w:val="21"/>
                <w:szCs w:val="21"/>
              </w:rPr>
            </w:pPr>
            <w:r>
              <w:rPr>
                <w:rFonts w:ascii="Times New Roman" w:hAnsi="Times New Roman"/>
                <w:sz w:val="21"/>
                <w:szCs w:val="21"/>
              </w:rPr>
              <w:t>保育舍</w:t>
            </w:r>
          </w:p>
        </w:tc>
        <w:tc>
          <w:tcPr>
            <w:tcW w:w="3677" w:type="dxa"/>
            <w:vAlign w:val="center"/>
          </w:tcPr>
          <w:p>
            <w:pPr>
              <w:spacing w:line="270" w:lineRule="exact"/>
              <w:rPr>
                <w:rFonts w:ascii="Times New Roman" w:hAnsi="Times New Roman"/>
                <w:sz w:val="21"/>
                <w:szCs w:val="21"/>
              </w:rPr>
            </w:pPr>
            <w:r>
              <w:rPr>
                <w:rFonts w:ascii="Times New Roman" w:hAnsi="Times New Roman"/>
                <w:sz w:val="21"/>
                <w:szCs w:val="21"/>
              </w:rPr>
              <w:t>3栋，8600㎡</w:t>
            </w:r>
            <w:r>
              <w:rPr>
                <w:rFonts w:ascii="Times New Roman" w:hAnsi="Times New Roman" w:eastAsiaTheme="minorEastAsia"/>
                <w:sz w:val="21"/>
                <w:szCs w:val="21"/>
              </w:rPr>
              <w:t>，包括全自动通风、喂料系统等</w:t>
            </w:r>
          </w:p>
        </w:tc>
        <w:tc>
          <w:tcPr>
            <w:tcW w:w="1012" w:type="dxa"/>
            <w:vMerge w:val="restart"/>
            <w:vAlign w:val="center"/>
          </w:tcPr>
          <w:p>
            <w:pPr>
              <w:spacing w:line="270" w:lineRule="exact"/>
              <w:rPr>
                <w:rFonts w:ascii="Times New Roman" w:hAnsi="Times New Roman"/>
                <w:sz w:val="21"/>
                <w:szCs w:val="21"/>
              </w:rPr>
            </w:pPr>
            <w:r>
              <w:rPr>
                <w:rFonts w:ascii="Times New Roman" w:hAnsi="Times New Roman"/>
                <w:sz w:val="21"/>
                <w:szCs w:val="21"/>
              </w:rPr>
              <w:t>施工扬尘、施工机械噪声、施工废水、弃土</w:t>
            </w:r>
          </w:p>
        </w:tc>
        <w:tc>
          <w:tcPr>
            <w:tcW w:w="1208" w:type="dxa"/>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猪粪、猪尿、少量冲洗水、废气、噪声</w:t>
            </w:r>
          </w:p>
        </w:tc>
        <w:tc>
          <w:tcPr>
            <w:tcW w:w="703" w:type="dxa"/>
            <w:gridSpan w:val="2"/>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新建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continue"/>
            <w:vAlign w:val="center"/>
          </w:tcPr>
          <w:p>
            <w:pPr>
              <w:spacing w:line="270" w:lineRule="exact"/>
              <w:rPr>
                <w:rFonts w:ascii="Times New Roman" w:hAnsi="Times New Roman"/>
                <w:sz w:val="21"/>
                <w:szCs w:val="21"/>
              </w:rPr>
            </w:pPr>
          </w:p>
        </w:tc>
        <w:tc>
          <w:tcPr>
            <w:tcW w:w="1296" w:type="dxa"/>
            <w:vAlign w:val="center"/>
          </w:tcPr>
          <w:p>
            <w:pPr>
              <w:spacing w:line="270" w:lineRule="exact"/>
              <w:jc w:val="center"/>
              <w:rPr>
                <w:rFonts w:ascii="Times New Roman" w:hAnsi="Times New Roman"/>
                <w:sz w:val="21"/>
                <w:szCs w:val="21"/>
              </w:rPr>
            </w:pPr>
            <w:r>
              <w:rPr>
                <w:rFonts w:ascii="Times New Roman" w:hAnsi="Times New Roman"/>
                <w:sz w:val="21"/>
                <w:szCs w:val="21"/>
              </w:rPr>
              <w:t>育肥舍</w:t>
            </w:r>
          </w:p>
        </w:tc>
        <w:tc>
          <w:tcPr>
            <w:tcW w:w="3677" w:type="dxa"/>
            <w:vAlign w:val="center"/>
          </w:tcPr>
          <w:p>
            <w:pPr>
              <w:spacing w:line="270" w:lineRule="exact"/>
              <w:rPr>
                <w:rFonts w:ascii="Times New Roman" w:hAnsi="Times New Roman"/>
                <w:sz w:val="21"/>
                <w:szCs w:val="21"/>
              </w:rPr>
            </w:pPr>
            <w:r>
              <w:rPr>
                <w:rFonts w:ascii="Times New Roman" w:hAnsi="Times New Roman"/>
                <w:sz w:val="21"/>
                <w:szCs w:val="21"/>
              </w:rPr>
              <w:t>3栋，15600㎡</w:t>
            </w:r>
            <w:r>
              <w:rPr>
                <w:rFonts w:ascii="Times New Roman" w:hAnsi="Times New Roman" w:eastAsiaTheme="minorEastAsia"/>
                <w:sz w:val="21"/>
                <w:szCs w:val="21"/>
              </w:rPr>
              <w:t>，包括全自动通风、喂料系统等</w:t>
            </w:r>
          </w:p>
        </w:tc>
        <w:tc>
          <w:tcPr>
            <w:tcW w:w="1012" w:type="dxa"/>
            <w:vMerge w:val="continue"/>
            <w:vAlign w:val="center"/>
          </w:tcPr>
          <w:p>
            <w:pPr>
              <w:spacing w:line="270" w:lineRule="exact"/>
              <w:jc w:val="center"/>
              <w:rPr>
                <w:rFonts w:ascii="Times New Roman" w:hAnsi="Times New Roman"/>
                <w:sz w:val="21"/>
                <w:szCs w:val="21"/>
              </w:rPr>
            </w:pPr>
          </w:p>
        </w:tc>
        <w:tc>
          <w:tcPr>
            <w:tcW w:w="1208" w:type="dxa"/>
            <w:vMerge w:val="continue"/>
            <w:vAlign w:val="center"/>
          </w:tcPr>
          <w:p>
            <w:pPr>
              <w:spacing w:line="270" w:lineRule="exact"/>
              <w:rPr>
                <w:rFonts w:ascii="Times New Roman" w:hAnsi="Times New Roman"/>
                <w:sz w:val="21"/>
                <w:szCs w:val="21"/>
              </w:rPr>
            </w:pPr>
          </w:p>
        </w:tc>
        <w:tc>
          <w:tcPr>
            <w:tcW w:w="703" w:type="dxa"/>
            <w:gridSpan w:val="2"/>
            <w:vMerge w:val="continue"/>
            <w:vAlign w:val="center"/>
          </w:tcPr>
          <w:p>
            <w:pPr>
              <w:spacing w:line="270" w:lineRule="exact"/>
              <w:rPr>
                <w:rFonts w:ascii="Times New Roman" w:hAnsi="Times New Roman"/>
                <w:b/>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011" w:hRule="atLeast"/>
          <w:jc w:val="center"/>
        </w:trPr>
        <w:tc>
          <w:tcPr>
            <w:tcW w:w="679" w:type="dxa"/>
            <w:vMerge w:val="continue"/>
            <w:vAlign w:val="center"/>
          </w:tcPr>
          <w:p>
            <w:pPr>
              <w:spacing w:line="270" w:lineRule="exact"/>
              <w:rPr>
                <w:rFonts w:ascii="Times New Roman" w:hAnsi="Times New Roman"/>
                <w:sz w:val="21"/>
                <w:szCs w:val="21"/>
              </w:rPr>
            </w:pPr>
          </w:p>
        </w:tc>
        <w:tc>
          <w:tcPr>
            <w:tcW w:w="1296" w:type="dxa"/>
            <w:vAlign w:val="center"/>
          </w:tcPr>
          <w:p>
            <w:pPr>
              <w:spacing w:line="270" w:lineRule="exact"/>
              <w:jc w:val="center"/>
              <w:rPr>
                <w:rFonts w:ascii="Times New Roman" w:hAnsi="Times New Roman"/>
                <w:sz w:val="21"/>
                <w:szCs w:val="21"/>
              </w:rPr>
            </w:pPr>
            <w:r>
              <w:rPr>
                <w:rFonts w:ascii="Times New Roman" w:hAnsi="Times New Roman"/>
                <w:sz w:val="21"/>
                <w:szCs w:val="21"/>
              </w:rPr>
              <w:t>干粪堆场</w:t>
            </w:r>
          </w:p>
        </w:tc>
        <w:tc>
          <w:tcPr>
            <w:tcW w:w="3677" w:type="dxa"/>
            <w:vAlign w:val="center"/>
          </w:tcPr>
          <w:p>
            <w:pPr>
              <w:spacing w:line="270" w:lineRule="exact"/>
              <w:rPr>
                <w:rFonts w:ascii="Times New Roman" w:hAnsi="Times New Roman"/>
                <w:sz w:val="21"/>
                <w:szCs w:val="21"/>
              </w:rPr>
            </w:pPr>
            <w:r>
              <w:rPr>
                <w:rFonts w:ascii="Times New Roman" w:hAnsi="Times New Roman"/>
                <w:sz w:val="21"/>
                <w:szCs w:val="21"/>
              </w:rPr>
              <w:t>位于育肥舍北面，占地面积200 m</w:t>
            </w:r>
            <w:r>
              <w:rPr>
                <w:rFonts w:ascii="Times New Roman" w:hAnsi="Times New Roman"/>
                <w:sz w:val="21"/>
                <w:szCs w:val="21"/>
                <w:vertAlign w:val="superscript"/>
              </w:rPr>
              <w:t>2</w:t>
            </w:r>
            <w:r>
              <w:rPr>
                <w:rFonts w:ascii="Times New Roman" w:hAnsi="Times New Roman"/>
                <w:sz w:val="21"/>
                <w:szCs w:val="21"/>
              </w:rPr>
              <w:t>。干粪由成都敬华农业有限公司定期收运，用于制作有机肥。</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恶臭气体</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辅助工程</w:t>
            </w:r>
          </w:p>
        </w:tc>
        <w:tc>
          <w:tcPr>
            <w:tcW w:w="1296" w:type="dxa"/>
            <w:vAlign w:val="center"/>
          </w:tcPr>
          <w:p>
            <w:pPr>
              <w:widowControl/>
              <w:spacing w:line="270" w:lineRule="exact"/>
              <w:jc w:val="center"/>
              <w:rPr>
                <w:rFonts w:ascii="Times New Roman" w:hAnsi="Times New Roman"/>
                <w:sz w:val="21"/>
                <w:szCs w:val="21"/>
              </w:rPr>
            </w:pPr>
            <w:r>
              <w:rPr>
                <w:rFonts w:ascii="Times New Roman" w:hAnsi="Times New Roman"/>
                <w:sz w:val="21"/>
                <w:szCs w:val="21"/>
              </w:rPr>
              <w:t>兽医室</w:t>
            </w:r>
          </w:p>
        </w:tc>
        <w:tc>
          <w:tcPr>
            <w:tcW w:w="3677" w:type="dxa"/>
            <w:vAlign w:val="center"/>
          </w:tcPr>
          <w:p>
            <w:pPr>
              <w:spacing w:line="270" w:lineRule="exact"/>
              <w:rPr>
                <w:rFonts w:ascii="Times New Roman" w:hAnsi="Times New Roman"/>
                <w:sz w:val="21"/>
                <w:szCs w:val="21"/>
              </w:rPr>
            </w:pPr>
            <w:r>
              <w:rPr>
                <w:rFonts w:ascii="Times New Roman" w:hAnsi="Times New Roman"/>
                <w:sz w:val="21"/>
                <w:szCs w:val="21"/>
              </w:rPr>
              <w:t>面积80m</w:t>
            </w:r>
            <w:r>
              <w:rPr>
                <w:rFonts w:ascii="Times New Roman" w:hAnsi="Times New Roman"/>
                <w:sz w:val="21"/>
                <w:szCs w:val="21"/>
                <w:vertAlign w:val="superscript"/>
              </w:rPr>
              <w:t>2</w:t>
            </w:r>
            <w:r>
              <w:rPr>
                <w:rFonts w:ascii="Times New Roman" w:hAnsi="Times New Roman"/>
                <w:sz w:val="21"/>
                <w:szCs w:val="21"/>
              </w:rPr>
              <w:t xml:space="preserve"> ，位于办公区，配置医疗设备等</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ind w:left="-213" w:leftChars="-76" w:right="-84" w:rightChars="-30"/>
              <w:jc w:val="center"/>
              <w:rPr>
                <w:rFonts w:ascii="Times New Roman" w:hAnsi="Times New Roman"/>
                <w:sz w:val="21"/>
                <w:szCs w:val="21"/>
              </w:rPr>
            </w:pPr>
            <w:r>
              <w:rPr>
                <w:rFonts w:ascii="Times New Roman" w:hAnsi="Times New Roman"/>
                <w:sz w:val="21"/>
                <w:szCs w:val="21"/>
              </w:rPr>
              <w:t>医疗固废</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11" w:hRule="atLeast"/>
          <w:jc w:val="center"/>
        </w:trPr>
        <w:tc>
          <w:tcPr>
            <w:tcW w:w="679" w:type="dxa"/>
            <w:vMerge w:val="continue"/>
            <w:vAlign w:val="center"/>
          </w:tcPr>
          <w:p>
            <w:pPr>
              <w:spacing w:line="270" w:lineRule="exact"/>
              <w:rPr>
                <w:rFonts w:ascii="Times New Roman" w:hAnsi="Times New Roman"/>
                <w:sz w:val="21"/>
                <w:szCs w:val="21"/>
              </w:rPr>
            </w:pPr>
          </w:p>
        </w:tc>
        <w:tc>
          <w:tcPr>
            <w:tcW w:w="1296" w:type="dxa"/>
            <w:vAlign w:val="center"/>
          </w:tcPr>
          <w:p>
            <w:pPr>
              <w:widowControl/>
              <w:spacing w:line="270" w:lineRule="exact"/>
              <w:jc w:val="center"/>
              <w:rPr>
                <w:rFonts w:ascii="Times New Roman" w:hAnsi="Times New Roman"/>
                <w:sz w:val="21"/>
                <w:szCs w:val="21"/>
              </w:rPr>
            </w:pPr>
            <w:r>
              <w:rPr>
                <w:rFonts w:ascii="Times New Roman" w:hAnsi="Times New Roman"/>
                <w:sz w:val="21"/>
                <w:szCs w:val="21"/>
              </w:rPr>
              <w:t>饲料系统</w:t>
            </w:r>
          </w:p>
        </w:tc>
        <w:tc>
          <w:tcPr>
            <w:tcW w:w="3677" w:type="dxa"/>
            <w:vAlign w:val="center"/>
          </w:tcPr>
          <w:p>
            <w:pPr>
              <w:widowControl/>
              <w:spacing w:line="270" w:lineRule="exact"/>
              <w:rPr>
                <w:rFonts w:ascii="Times New Roman" w:hAnsi="Times New Roman"/>
                <w:sz w:val="21"/>
                <w:szCs w:val="21"/>
              </w:rPr>
            </w:pPr>
            <w:r>
              <w:rPr>
                <w:rFonts w:ascii="Times New Roman" w:hAnsi="Times New Roman"/>
                <w:sz w:val="21"/>
                <w:szCs w:val="21"/>
              </w:rPr>
              <w:t>设置于各圈舍中，采用立式饲料桶，全场配置30个，其中保育舍6个，育肥舍24个，从存贮仓内到猪槽全自动操作</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废包装材料、设备噪声</w:t>
            </w:r>
          </w:p>
        </w:tc>
        <w:tc>
          <w:tcPr>
            <w:tcW w:w="703"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新建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jc w:val="center"/>
        </w:trPr>
        <w:tc>
          <w:tcPr>
            <w:tcW w:w="679" w:type="dxa"/>
            <w:vMerge w:val="continue"/>
            <w:vAlign w:val="center"/>
          </w:tcPr>
          <w:p>
            <w:pPr>
              <w:spacing w:line="270" w:lineRule="exact"/>
              <w:rPr>
                <w:rFonts w:ascii="Times New Roman" w:hAnsi="Times New Roman"/>
                <w:sz w:val="21"/>
                <w:szCs w:val="21"/>
              </w:rPr>
            </w:pPr>
          </w:p>
        </w:tc>
        <w:tc>
          <w:tcPr>
            <w:tcW w:w="1296" w:type="dxa"/>
            <w:vAlign w:val="center"/>
          </w:tcPr>
          <w:p>
            <w:pPr>
              <w:spacing w:line="270" w:lineRule="exact"/>
              <w:jc w:val="center"/>
              <w:rPr>
                <w:rFonts w:ascii="Times New Roman" w:hAnsi="Times New Roman"/>
                <w:sz w:val="21"/>
                <w:szCs w:val="21"/>
              </w:rPr>
            </w:pPr>
            <w:r>
              <w:rPr>
                <w:rFonts w:ascii="Times New Roman" w:hAnsi="Times New Roman"/>
                <w:sz w:val="21"/>
                <w:szCs w:val="21"/>
              </w:rPr>
              <w:t>消毒间</w:t>
            </w:r>
          </w:p>
        </w:tc>
        <w:tc>
          <w:tcPr>
            <w:tcW w:w="3677" w:type="dxa"/>
            <w:vAlign w:val="center"/>
          </w:tcPr>
          <w:p>
            <w:pPr>
              <w:spacing w:line="270" w:lineRule="exact"/>
              <w:rPr>
                <w:rFonts w:ascii="Times New Roman" w:hAnsi="Times New Roman"/>
                <w:sz w:val="21"/>
                <w:szCs w:val="21"/>
                <w:vertAlign w:val="superscript"/>
              </w:rPr>
            </w:pPr>
            <w:r>
              <w:rPr>
                <w:rFonts w:ascii="Times New Roman" w:hAnsi="Times New Roman" w:eastAsiaTheme="minorEastAsia"/>
                <w:sz w:val="21"/>
                <w:szCs w:val="21"/>
              </w:rPr>
              <w:t>面积150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w:t>
            </w:r>
            <w:r>
              <w:rPr>
                <w:rFonts w:ascii="Times New Roman" w:hAnsi="Times New Roman"/>
                <w:sz w:val="21"/>
                <w:szCs w:val="21"/>
              </w:rPr>
              <w:t>对厂区工作人员进行消毒（采用紫外线灯进行消毒）；</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jc w:val="center"/>
        </w:trPr>
        <w:tc>
          <w:tcPr>
            <w:tcW w:w="679" w:type="dxa"/>
            <w:vMerge w:val="continue"/>
            <w:vAlign w:val="center"/>
          </w:tcPr>
          <w:p>
            <w:pPr>
              <w:spacing w:line="270" w:lineRule="exact"/>
              <w:rPr>
                <w:rFonts w:ascii="Times New Roman" w:hAnsi="Times New Roman"/>
                <w:sz w:val="21"/>
                <w:szCs w:val="21"/>
              </w:rPr>
            </w:pPr>
          </w:p>
        </w:tc>
        <w:tc>
          <w:tcPr>
            <w:tcW w:w="1296" w:type="dxa"/>
            <w:vAlign w:val="center"/>
          </w:tcPr>
          <w:p>
            <w:pPr>
              <w:spacing w:line="270" w:lineRule="exact"/>
              <w:jc w:val="center"/>
              <w:rPr>
                <w:rFonts w:ascii="Times New Roman" w:hAnsi="Times New Roman"/>
                <w:sz w:val="21"/>
                <w:szCs w:val="21"/>
              </w:rPr>
            </w:pPr>
            <w:r>
              <w:rPr>
                <w:rFonts w:ascii="Times New Roman" w:hAnsi="Times New Roman"/>
                <w:sz w:val="21"/>
                <w:szCs w:val="21"/>
              </w:rPr>
              <w:t>冷藏室</w:t>
            </w:r>
          </w:p>
        </w:tc>
        <w:tc>
          <w:tcPr>
            <w:tcW w:w="3677" w:type="dxa"/>
            <w:vAlign w:val="center"/>
          </w:tcPr>
          <w:p>
            <w:pPr>
              <w:spacing w:line="270" w:lineRule="exact"/>
              <w:rPr>
                <w:rFonts w:ascii="Times New Roman" w:hAnsi="Times New Roman"/>
                <w:sz w:val="21"/>
                <w:szCs w:val="21"/>
              </w:rPr>
            </w:pPr>
            <w:r>
              <w:rPr>
                <w:rFonts w:ascii="Times New Roman" w:hAnsi="Times New Roman" w:eastAsiaTheme="minorEastAsia"/>
                <w:sz w:val="21"/>
                <w:szCs w:val="21"/>
              </w:rPr>
              <w:t>面积40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，用于</w:t>
            </w:r>
            <w:r>
              <w:rPr>
                <w:rFonts w:ascii="Times New Roman" w:hAnsi="Times New Roman"/>
                <w:sz w:val="21"/>
                <w:szCs w:val="21"/>
              </w:rPr>
              <w:t>病死猪只暂存</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环境风险</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restart"/>
            <w:vAlign w:val="center"/>
          </w:tcPr>
          <w:p>
            <w:pPr>
              <w:spacing w:line="270" w:lineRule="exact"/>
              <w:jc w:val="left"/>
              <w:rPr>
                <w:rFonts w:ascii="Times New Roman" w:hAnsi="Times New Roman"/>
                <w:sz w:val="21"/>
                <w:szCs w:val="21"/>
              </w:rPr>
            </w:pPr>
            <w:r>
              <w:rPr>
                <w:rFonts w:ascii="Times New Roman" w:hAnsi="Times New Roman"/>
                <w:sz w:val="21"/>
                <w:szCs w:val="21"/>
              </w:rPr>
              <w:t>公用工程</w:t>
            </w: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sz w:val="21"/>
                <w:szCs w:val="21"/>
              </w:rPr>
              <w:t>供水</w:t>
            </w:r>
          </w:p>
        </w:tc>
        <w:tc>
          <w:tcPr>
            <w:tcW w:w="3677"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采取厂区地下水</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泵房噪声</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continue"/>
            <w:vAlign w:val="center"/>
          </w:tcPr>
          <w:p>
            <w:pPr>
              <w:spacing w:line="270" w:lineRule="exact"/>
              <w:jc w:val="left"/>
              <w:rPr>
                <w:rFonts w:ascii="Times New Roman" w:hAnsi="Times New Roman"/>
                <w:sz w:val="21"/>
                <w:szCs w:val="21"/>
              </w:rPr>
            </w:pP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sz w:val="21"/>
                <w:szCs w:val="21"/>
              </w:rPr>
              <w:t>供电</w:t>
            </w:r>
          </w:p>
        </w:tc>
        <w:tc>
          <w:tcPr>
            <w:tcW w:w="3677" w:type="dxa"/>
            <w:vAlign w:val="center"/>
          </w:tcPr>
          <w:p>
            <w:pPr>
              <w:snapToGrid w:val="0"/>
              <w:spacing w:line="270" w:lineRule="exact"/>
              <w:rPr>
                <w:rFonts w:ascii="Times New Roman" w:hAnsi="Times New Roman"/>
                <w:sz w:val="21"/>
                <w:szCs w:val="21"/>
              </w:rPr>
            </w:pPr>
            <w:r>
              <w:rPr>
                <w:rFonts w:ascii="Times New Roman" w:hAnsi="Times New Roman"/>
                <w:sz w:val="21"/>
                <w:szCs w:val="21"/>
              </w:rPr>
              <w:t>10kv专用供电线；配电室一间，自备一台柴油发电机</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发电机燃烧废气</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9" w:type="dxa"/>
            <w:vMerge w:val="continue"/>
            <w:vAlign w:val="center"/>
          </w:tcPr>
          <w:p>
            <w:pPr>
              <w:spacing w:line="270" w:lineRule="exact"/>
              <w:jc w:val="left"/>
              <w:rPr>
                <w:rFonts w:ascii="Times New Roman" w:hAnsi="Times New Roman"/>
                <w:sz w:val="21"/>
                <w:szCs w:val="21"/>
              </w:rPr>
            </w:pP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sz w:val="21"/>
                <w:szCs w:val="21"/>
              </w:rPr>
              <w:t>供热</w:t>
            </w:r>
          </w:p>
        </w:tc>
        <w:tc>
          <w:tcPr>
            <w:tcW w:w="3677" w:type="dxa"/>
            <w:vAlign w:val="center"/>
          </w:tcPr>
          <w:p>
            <w:pPr>
              <w:snapToGrid w:val="0"/>
              <w:spacing w:line="270" w:lineRule="exact"/>
              <w:rPr>
                <w:rFonts w:ascii="Times New Roman" w:hAnsi="Times New Roman"/>
                <w:sz w:val="21"/>
                <w:szCs w:val="21"/>
              </w:rPr>
            </w:pPr>
            <w:r>
              <w:rPr>
                <w:rFonts w:ascii="Times New Roman" w:hAnsi="Times New Roman"/>
                <w:sz w:val="21"/>
                <w:szCs w:val="21"/>
              </w:rPr>
              <w:t>职工供热利用天然气。猪只供热采用天然气，圈舍内局部采用保温灯。</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新建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99" w:hRule="atLeast"/>
          <w:jc w:val="center"/>
        </w:trPr>
        <w:tc>
          <w:tcPr>
            <w:tcW w:w="679" w:type="dxa"/>
            <w:vAlign w:val="center"/>
          </w:tcPr>
          <w:p>
            <w:pPr>
              <w:spacing w:line="270" w:lineRule="exact"/>
              <w:ind w:left="-56" w:leftChars="-20" w:right="-56" w:rightChars="-20"/>
              <w:jc w:val="center"/>
              <w:rPr>
                <w:rFonts w:ascii="Times New Roman" w:hAnsi="Times New Roman"/>
                <w:sz w:val="21"/>
                <w:szCs w:val="21"/>
              </w:rPr>
            </w:pPr>
            <w:r>
              <w:rPr>
                <w:rFonts w:ascii="Times New Roman" w:hAnsi="Times New Roman"/>
                <w:sz w:val="21"/>
                <w:szCs w:val="21"/>
              </w:rPr>
              <w:t>办公及生活</w:t>
            </w:r>
          </w:p>
        </w:tc>
        <w:tc>
          <w:tcPr>
            <w:tcW w:w="1296" w:type="dxa"/>
            <w:vAlign w:val="center"/>
          </w:tcPr>
          <w:p>
            <w:pPr>
              <w:widowControl/>
              <w:spacing w:line="270" w:lineRule="exact"/>
              <w:jc w:val="center"/>
              <w:rPr>
                <w:rFonts w:ascii="Times New Roman" w:hAnsi="Times New Roman"/>
                <w:sz w:val="21"/>
                <w:szCs w:val="21"/>
              </w:rPr>
            </w:pPr>
            <w:r>
              <w:rPr>
                <w:rFonts w:ascii="Times New Roman" w:hAnsi="Times New Roman"/>
                <w:sz w:val="21"/>
                <w:szCs w:val="21"/>
              </w:rPr>
              <w:t>办公楼</w:t>
            </w:r>
          </w:p>
          <w:p>
            <w:pPr>
              <w:widowControl/>
              <w:spacing w:line="270" w:lineRule="exact"/>
              <w:jc w:val="center"/>
              <w:rPr>
                <w:rFonts w:ascii="Times New Roman" w:hAnsi="Times New Roman"/>
                <w:sz w:val="21"/>
                <w:szCs w:val="21"/>
              </w:rPr>
            </w:pPr>
            <w:r>
              <w:rPr>
                <w:rFonts w:ascii="Times New Roman" w:hAnsi="Times New Roman"/>
                <w:sz w:val="21"/>
                <w:szCs w:val="21"/>
              </w:rPr>
              <w:t>职工食堂</w:t>
            </w:r>
          </w:p>
          <w:p>
            <w:pPr>
              <w:spacing w:line="270" w:lineRule="exact"/>
              <w:jc w:val="center"/>
              <w:rPr>
                <w:rFonts w:ascii="Times New Roman" w:hAnsi="Times New Roman"/>
                <w:sz w:val="21"/>
                <w:szCs w:val="21"/>
              </w:rPr>
            </w:pPr>
            <w:r>
              <w:rPr>
                <w:rFonts w:ascii="Times New Roman" w:hAnsi="Times New Roman"/>
                <w:sz w:val="21"/>
                <w:szCs w:val="21"/>
              </w:rPr>
              <w:t>职工宿舍</w:t>
            </w:r>
          </w:p>
        </w:tc>
        <w:tc>
          <w:tcPr>
            <w:tcW w:w="3677" w:type="dxa"/>
            <w:vAlign w:val="center"/>
          </w:tcPr>
          <w:p>
            <w:pPr>
              <w:spacing w:line="270" w:lineRule="exact"/>
              <w:rPr>
                <w:rFonts w:ascii="Times New Roman" w:hAnsi="Times New Roman"/>
                <w:sz w:val="21"/>
                <w:szCs w:val="21"/>
              </w:rPr>
            </w:pPr>
            <w:r>
              <w:rPr>
                <w:rFonts w:ascii="Times New Roman" w:hAnsi="Times New Roman"/>
                <w:sz w:val="21"/>
                <w:szCs w:val="21"/>
              </w:rPr>
              <w:t>1栋，两层，面积983m</w:t>
            </w:r>
            <w:r>
              <w:rPr>
                <w:rFonts w:ascii="Times New Roman" w:hAnsi="Times New Roman"/>
                <w:sz w:val="21"/>
                <w:szCs w:val="21"/>
                <w:vertAlign w:val="superscript"/>
              </w:rPr>
              <w:t>2</w:t>
            </w:r>
            <w:r>
              <w:rPr>
                <w:rFonts w:ascii="Times New Roman" w:hAnsi="Times New Roman"/>
                <w:sz w:val="21"/>
                <w:szCs w:val="21"/>
              </w:rPr>
              <w:t>。</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生活污水、生活垃圾、食堂油烟</w:t>
            </w:r>
          </w:p>
        </w:tc>
        <w:tc>
          <w:tcPr>
            <w:tcW w:w="703" w:type="dxa"/>
            <w:gridSpan w:val="2"/>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4" w:hRule="atLeast"/>
          <w:jc w:val="center"/>
        </w:trPr>
        <w:tc>
          <w:tcPr>
            <w:tcW w:w="679" w:type="dxa"/>
            <w:vMerge w:val="restart"/>
            <w:vAlign w:val="center"/>
          </w:tcPr>
          <w:p>
            <w:pPr>
              <w:spacing w:line="270" w:lineRule="exact"/>
              <w:jc w:val="center"/>
              <w:rPr>
                <w:rFonts w:ascii="Times New Roman" w:hAnsi="Times New Roman"/>
                <w:sz w:val="21"/>
                <w:szCs w:val="21"/>
              </w:rPr>
            </w:pPr>
            <w:r>
              <w:rPr>
                <w:rFonts w:ascii="Times New Roman" w:hAnsi="Times New Roman"/>
                <w:sz w:val="21"/>
                <w:szCs w:val="21"/>
              </w:rPr>
              <w:t>环保工程</w:t>
            </w:r>
          </w:p>
        </w:tc>
        <w:tc>
          <w:tcPr>
            <w:tcW w:w="1296" w:type="dxa"/>
            <w:vAlign w:val="center"/>
          </w:tcPr>
          <w:p>
            <w:pPr>
              <w:spacing w:line="270" w:lineRule="exact"/>
              <w:jc w:val="center"/>
              <w:rPr>
                <w:rFonts w:ascii="Times New Roman" w:hAnsi="Times New Roman"/>
                <w:sz w:val="21"/>
                <w:szCs w:val="21"/>
              </w:rPr>
            </w:pPr>
            <w:r>
              <w:rPr>
                <w:rFonts w:ascii="Times New Roman" w:hAnsi="Times New Roman"/>
                <w:sz w:val="21"/>
                <w:szCs w:val="21"/>
              </w:rPr>
              <w:t>粪污发酵</w:t>
            </w:r>
          </w:p>
          <w:p>
            <w:pPr>
              <w:spacing w:line="270" w:lineRule="exact"/>
              <w:jc w:val="center"/>
              <w:rPr>
                <w:rFonts w:ascii="Times New Roman" w:hAnsi="Times New Roman"/>
                <w:sz w:val="21"/>
                <w:szCs w:val="21"/>
              </w:rPr>
            </w:pPr>
            <w:r>
              <w:rPr>
                <w:rFonts w:ascii="Times New Roman" w:hAnsi="Times New Roman"/>
                <w:sz w:val="21"/>
                <w:szCs w:val="21"/>
              </w:rPr>
              <w:t>深坑</w:t>
            </w:r>
          </w:p>
        </w:tc>
        <w:tc>
          <w:tcPr>
            <w:tcW w:w="3677" w:type="dxa"/>
            <w:vAlign w:val="center"/>
          </w:tcPr>
          <w:p>
            <w:pPr>
              <w:spacing w:line="270" w:lineRule="exact"/>
              <w:rPr>
                <w:rFonts w:ascii="Times New Roman" w:hAnsi="Times New Roman"/>
                <w:sz w:val="21"/>
                <w:szCs w:val="21"/>
              </w:rPr>
            </w:pPr>
            <w:r>
              <w:rPr>
                <w:rFonts w:ascii="Times New Roman" w:hAnsi="Times New Roman"/>
                <w:sz w:val="21"/>
                <w:szCs w:val="21"/>
              </w:rPr>
              <w:t>位于圈舍保育舍和育肥舍下方，容积约65000 m</w:t>
            </w:r>
            <w:r>
              <w:rPr>
                <w:rFonts w:ascii="Times New Roman" w:hAnsi="Times New Roman"/>
                <w:sz w:val="21"/>
                <w:szCs w:val="21"/>
                <w:vertAlign w:val="superscript"/>
              </w:rPr>
              <w:t>3</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恶臭气体</w:t>
            </w:r>
          </w:p>
          <w:p>
            <w:pPr>
              <w:spacing w:line="270" w:lineRule="exact"/>
              <w:jc w:val="center"/>
              <w:rPr>
                <w:rFonts w:ascii="Times New Roman" w:hAnsi="Times New Roman"/>
                <w:sz w:val="21"/>
                <w:szCs w:val="21"/>
              </w:rPr>
            </w:pPr>
            <w:r>
              <w:rPr>
                <w:rFonts w:ascii="Times New Roman" w:hAnsi="Times New Roman"/>
                <w:sz w:val="21"/>
                <w:szCs w:val="21"/>
              </w:rPr>
              <w:t>废水</w:t>
            </w:r>
          </w:p>
        </w:tc>
        <w:tc>
          <w:tcPr>
            <w:tcW w:w="703"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新建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4" w:hRule="atLeast"/>
          <w:jc w:val="center"/>
        </w:trPr>
        <w:tc>
          <w:tcPr>
            <w:tcW w:w="679" w:type="dxa"/>
            <w:vMerge w:val="continue"/>
            <w:vAlign w:val="center"/>
          </w:tcPr>
          <w:p>
            <w:pPr>
              <w:spacing w:line="270" w:lineRule="exact"/>
              <w:jc w:val="center"/>
              <w:rPr>
                <w:rFonts w:ascii="Times New Roman" w:hAnsi="Times New Roman"/>
                <w:sz w:val="21"/>
                <w:szCs w:val="21"/>
              </w:rPr>
            </w:pP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sz w:val="21"/>
                <w:szCs w:val="21"/>
              </w:rPr>
              <w:t>废气净化</w:t>
            </w:r>
          </w:p>
        </w:tc>
        <w:tc>
          <w:tcPr>
            <w:tcW w:w="3677" w:type="dxa"/>
            <w:vAlign w:val="center"/>
          </w:tcPr>
          <w:p>
            <w:pPr>
              <w:snapToGrid w:val="0"/>
              <w:spacing w:line="270" w:lineRule="exact"/>
              <w:rPr>
                <w:rFonts w:ascii="Times New Roman" w:hAnsi="Times New Roman"/>
                <w:sz w:val="21"/>
                <w:szCs w:val="21"/>
              </w:rPr>
            </w:pPr>
            <w:r>
              <w:rPr>
                <w:rFonts w:ascii="Times New Roman" w:hAnsi="Times New Roman"/>
                <w:sz w:val="21"/>
                <w:szCs w:val="21"/>
              </w:rPr>
              <w:t>耳房风机口设置活性炭吸附装置</w:t>
            </w:r>
          </w:p>
        </w:tc>
        <w:tc>
          <w:tcPr>
            <w:tcW w:w="1012" w:type="dxa"/>
            <w:vMerge w:val="continue"/>
            <w:vAlign w:val="center"/>
          </w:tcPr>
          <w:p>
            <w:pPr>
              <w:spacing w:line="270" w:lineRule="exact"/>
              <w:jc w:val="center"/>
              <w:rPr>
                <w:rFonts w:ascii="Times New Roman" w:hAnsi="Times New Roman"/>
                <w:sz w:val="21"/>
                <w:szCs w:val="21"/>
              </w:rPr>
            </w:pPr>
          </w:p>
        </w:tc>
        <w:tc>
          <w:tcPr>
            <w:tcW w:w="1208" w:type="dxa"/>
            <w:vAlign w:val="center"/>
          </w:tcPr>
          <w:p>
            <w:pPr>
              <w:spacing w:line="270" w:lineRule="exact"/>
              <w:jc w:val="center"/>
              <w:rPr>
                <w:rFonts w:ascii="Times New Roman" w:hAnsi="Times New Roman"/>
                <w:sz w:val="21"/>
                <w:szCs w:val="21"/>
              </w:rPr>
            </w:pPr>
            <w:r>
              <w:rPr>
                <w:rFonts w:ascii="Times New Roman" w:hAnsi="Times New Roman"/>
                <w:sz w:val="21"/>
                <w:szCs w:val="21"/>
              </w:rPr>
              <w:t>恶臭气体</w:t>
            </w:r>
          </w:p>
        </w:tc>
        <w:tc>
          <w:tcPr>
            <w:tcW w:w="703"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新建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817" w:hRule="atLeast"/>
          <w:jc w:val="center"/>
        </w:trPr>
        <w:tc>
          <w:tcPr>
            <w:tcW w:w="679" w:type="dxa"/>
            <w:vMerge w:val="continue"/>
            <w:vAlign w:val="center"/>
          </w:tcPr>
          <w:p>
            <w:pPr>
              <w:spacing w:line="270" w:lineRule="exact"/>
              <w:jc w:val="center"/>
              <w:rPr>
                <w:rFonts w:ascii="Times New Roman" w:hAnsi="Times New Roman"/>
                <w:sz w:val="21"/>
                <w:szCs w:val="21"/>
              </w:rPr>
            </w:pP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sz w:val="21"/>
                <w:szCs w:val="21"/>
              </w:rPr>
              <w:t>污水预</w:t>
            </w:r>
          </w:p>
          <w:p>
            <w:pPr>
              <w:snapToGrid w:val="0"/>
              <w:spacing w:line="270" w:lineRule="exact"/>
              <w:jc w:val="center"/>
              <w:rPr>
                <w:rFonts w:ascii="Times New Roman" w:hAnsi="Times New Roman"/>
                <w:sz w:val="21"/>
                <w:szCs w:val="21"/>
              </w:rPr>
            </w:pPr>
            <w:r>
              <w:rPr>
                <w:rFonts w:ascii="Times New Roman" w:hAnsi="Times New Roman"/>
                <w:sz w:val="21"/>
                <w:szCs w:val="21"/>
              </w:rPr>
              <w:t>处理池</w:t>
            </w:r>
          </w:p>
        </w:tc>
        <w:tc>
          <w:tcPr>
            <w:tcW w:w="3677" w:type="dxa"/>
            <w:vAlign w:val="center"/>
          </w:tcPr>
          <w:p>
            <w:pPr>
              <w:snapToGrid w:val="0"/>
              <w:spacing w:line="270" w:lineRule="exact"/>
              <w:rPr>
                <w:rFonts w:ascii="Times New Roman" w:hAnsi="Times New Roman"/>
                <w:sz w:val="21"/>
                <w:szCs w:val="21"/>
              </w:rPr>
            </w:pPr>
            <w:r>
              <w:rPr>
                <w:rFonts w:ascii="Times New Roman" w:hAnsi="Times New Roman" w:eastAsiaTheme="minorEastAsia"/>
                <w:sz w:val="21"/>
                <w:szCs w:val="21"/>
              </w:rPr>
              <w:t>设生活污水预处理池1处，约50m</w:t>
            </w:r>
            <w:r>
              <w:rPr>
                <w:rFonts w:ascii="Times New Roman" w:hAnsi="Times New Roman" w:eastAsiaTheme="minorEastAsia"/>
                <w:sz w:val="21"/>
                <w:szCs w:val="21"/>
                <w:vertAlign w:val="superscript"/>
              </w:rPr>
              <w:t>3</w:t>
            </w:r>
            <w:r>
              <w:rPr>
                <w:rFonts w:ascii="Times New Roman" w:hAnsi="Times New Roman" w:eastAsiaTheme="minorEastAsia"/>
                <w:sz w:val="21"/>
                <w:szCs w:val="21"/>
              </w:rPr>
              <w:t>，生活污水经预处理后排入深坑发酵回用</w:t>
            </w:r>
          </w:p>
        </w:tc>
        <w:tc>
          <w:tcPr>
            <w:tcW w:w="1012" w:type="dxa"/>
            <w:vMerge w:val="continue"/>
            <w:vAlign w:val="center"/>
          </w:tcPr>
          <w:p>
            <w:pPr>
              <w:spacing w:line="270" w:lineRule="exact"/>
              <w:jc w:val="center"/>
              <w:rPr>
                <w:rFonts w:ascii="Times New Roman" w:hAnsi="Times New Roman"/>
                <w:sz w:val="21"/>
                <w:szCs w:val="21"/>
              </w:rPr>
            </w:pPr>
          </w:p>
        </w:tc>
        <w:tc>
          <w:tcPr>
            <w:tcW w:w="1214"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生活废水</w:t>
            </w:r>
          </w:p>
        </w:tc>
        <w:tc>
          <w:tcPr>
            <w:tcW w:w="697" w:type="dxa"/>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95" w:hRule="atLeast"/>
          <w:jc w:val="center"/>
        </w:trPr>
        <w:tc>
          <w:tcPr>
            <w:tcW w:w="679" w:type="dxa"/>
            <w:vMerge w:val="continue"/>
            <w:vAlign w:val="center"/>
          </w:tcPr>
          <w:p>
            <w:pPr>
              <w:spacing w:line="270" w:lineRule="exact"/>
              <w:jc w:val="center"/>
              <w:rPr>
                <w:rFonts w:ascii="Times New Roman" w:hAnsi="Times New Roman"/>
                <w:sz w:val="21"/>
                <w:szCs w:val="21"/>
              </w:rPr>
            </w:pP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eastAsiaTheme="minorEastAsia"/>
                <w:sz w:val="21"/>
                <w:szCs w:val="21"/>
              </w:rPr>
              <w:t>食堂</w:t>
            </w:r>
            <w:r>
              <w:rPr>
                <w:rFonts w:ascii="Times New Roman" w:hAnsi="Times New Roman"/>
                <w:sz w:val="21"/>
                <w:szCs w:val="21"/>
              </w:rPr>
              <w:t>隔油池</w:t>
            </w:r>
          </w:p>
        </w:tc>
        <w:tc>
          <w:tcPr>
            <w:tcW w:w="3677"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办公区食堂设置1处2m</w:t>
            </w:r>
            <w:r>
              <w:rPr>
                <w:rFonts w:ascii="Times New Roman" w:hAnsi="Times New Roman" w:eastAsiaTheme="minorEastAsia"/>
                <w:sz w:val="21"/>
                <w:szCs w:val="21"/>
                <w:vertAlign w:val="superscript"/>
              </w:rPr>
              <w:t>3</w:t>
            </w:r>
            <w:r>
              <w:rPr>
                <w:rFonts w:ascii="Times New Roman" w:hAnsi="Times New Roman" w:eastAsiaTheme="minorEastAsia"/>
                <w:sz w:val="21"/>
                <w:szCs w:val="21"/>
              </w:rPr>
              <w:t>隔油池，对食堂餐饮废水进行隔油处理</w:t>
            </w:r>
          </w:p>
        </w:tc>
        <w:tc>
          <w:tcPr>
            <w:tcW w:w="1012" w:type="dxa"/>
            <w:vMerge w:val="continue"/>
            <w:vAlign w:val="center"/>
          </w:tcPr>
          <w:p>
            <w:pPr>
              <w:spacing w:line="270" w:lineRule="exact"/>
              <w:jc w:val="center"/>
              <w:rPr>
                <w:rFonts w:ascii="Times New Roman" w:hAnsi="Times New Roman"/>
                <w:sz w:val="21"/>
                <w:szCs w:val="21"/>
              </w:rPr>
            </w:pPr>
          </w:p>
        </w:tc>
        <w:tc>
          <w:tcPr>
            <w:tcW w:w="1214"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餐饮废水</w:t>
            </w:r>
          </w:p>
        </w:tc>
        <w:tc>
          <w:tcPr>
            <w:tcW w:w="697" w:type="dxa"/>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65" w:hRule="atLeast"/>
          <w:jc w:val="center"/>
        </w:trPr>
        <w:tc>
          <w:tcPr>
            <w:tcW w:w="679" w:type="dxa"/>
            <w:vMerge w:val="continue"/>
            <w:vAlign w:val="center"/>
          </w:tcPr>
          <w:p>
            <w:pPr>
              <w:spacing w:line="270" w:lineRule="exact"/>
              <w:jc w:val="center"/>
              <w:rPr>
                <w:rFonts w:ascii="Times New Roman" w:hAnsi="Times New Roman"/>
                <w:sz w:val="21"/>
                <w:szCs w:val="21"/>
              </w:rPr>
            </w:pPr>
          </w:p>
        </w:tc>
        <w:tc>
          <w:tcPr>
            <w:tcW w:w="1296" w:type="dxa"/>
            <w:vAlign w:val="center"/>
          </w:tcPr>
          <w:p>
            <w:pPr>
              <w:spacing w:line="270" w:lineRule="exact"/>
              <w:jc w:val="center"/>
              <w:rPr>
                <w:rFonts w:ascii="Times New Roman" w:hAnsi="Times New Roman" w:eastAsiaTheme="minorEastAsia"/>
                <w:sz w:val="21"/>
                <w:szCs w:val="21"/>
              </w:rPr>
            </w:pPr>
            <w:r>
              <w:rPr>
                <w:rFonts w:ascii="Times New Roman" w:hAnsi="Times New Roman" w:eastAsiaTheme="minorEastAsia"/>
                <w:sz w:val="21"/>
                <w:szCs w:val="21"/>
              </w:rPr>
              <w:t>油烟净化器及专用烟道</w:t>
            </w:r>
          </w:p>
        </w:tc>
        <w:tc>
          <w:tcPr>
            <w:tcW w:w="3677" w:type="dxa"/>
            <w:vAlign w:val="center"/>
          </w:tcPr>
          <w:p>
            <w:pPr>
              <w:spacing w:line="270" w:lineRule="exact"/>
              <w:rPr>
                <w:rFonts w:ascii="Times New Roman" w:hAnsi="Times New Roman" w:eastAsiaTheme="minorEastAsia"/>
                <w:sz w:val="21"/>
                <w:szCs w:val="21"/>
              </w:rPr>
            </w:pPr>
            <w:r>
              <w:rPr>
                <w:rFonts w:ascii="Times New Roman" w:hAnsi="Times New Roman" w:eastAsiaTheme="minorEastAsia"/>
                <w:sz w:val="21"/>
                <w:szCs w:val="21"/>
              </w:rPr>
              <w:t>设油烟净化器1套、专用油烟烟道1套，油烟处理效率80%，餐饮油烟经油烟净化器处理后通过专业烟道引至屋顶排放</w:t>
            </w:r>
          </w:p>
        </w:tc>
        <w:tc>
          <w:tcPr>
            <w:tcW w:w="1012" w:type="dxa"/>
            <w:vMerge w:val="continue"/>
            <w:vAlign w:val="center"/>
          </w:tcPr>
          <w:p>
            <w:pPr>
              <w:spacing w:line="270" w:lineRule="exact"/>
              <w:jc w:val="center"/>
              <w:rPr>
                <w:rFonts w:ascii="Times New Roman" w:hAnsi="Times New Roman"/>
                <w:sz w:val="21"/>
                <w:szCs w:val="21"/>
              </w:rPr>
            </w:pPr>
          </w:p>
        </w:tc>
        <w:tc>
          <w:tcPr>
            <w:tcW w:w="1214"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餐饮油烟</w:t>
            </w:r>
          </w:p>
        </w:tc>
        <w:tc>
          <w:tcPr>
            <w:tcW w:w="697" w:type="dxa"/>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24" w:hRule="atLeast"/>
          <w:jc w:val="center"/>
        </w:trPr>
        <w:tc>
          <w:tcPr>
            <w:tcW w:w="679" w:type="dxa"/>
            <w:vMerge w:val="continue"/>
            <w:vAlign w:val="center"/>
          </w:tcPr>
          <w:p>
            <w:pPr>
              <w:spacing w:line="270" w:lineRule="exact"/>
              <w:jc w:val="center"/>
              <w:rPr>
                <w:rFonts w:ascii="Times New Roman" w:hAnsi="Times New Roman"/>
                <w:sz w:val="21"/>
                <w:szCs w:val="21"/>
              </w:rPr>
            </w:pPr>
          </w:p>
        </w:tc>
        <w:tc>
          <w:tcPr>
            <w:tcW w:w="1296" w:type="dxa"/>
            <w:vAlign w:val="center"/>
          </w:tcPr>
          <w:p>
            <w:pPr>
              <w:snapToGrid w:val="0"/>
              <w:spacing w:line="270" w:lineRule="exact"/>
              <w:jc w:val="center"/>
              <w:rPr>
                <w:rFonts w:ascii="Times New Roman" w:hAnsi="Times New Roman"/>
                <w:sz w:val="21"/>
                <w:szCs w:val="21"/>
              </w:rPr>
            </w:pPr>
            <w:r>
              <w:rPr>
                <w:rFonts w:ascii="Times New Roman" w:hAnsi="Times New Roman" w:eastAsiaTheme="minorEastAsia"/>
                <w:sz w:val="21"/>
                <w:szCs w:val="21"/>
              </w:rPr>
              <w:t>医疗</w:t>
            </w:r>
            <w:r>
              <w:rPr>
                <w:rFonts w:ascii="Times New Roman" w:hAnsi="Times New Roman"/>
                <w:sz w:val="21"/>
                <w:szCs w:val="21"/>
              </w:rPr>
              <w:t>废物暂存间</w:t>
            </w:r>
          </w:p>
        </w:tc>
        <w:tc>
          <w:tcPr>
            <w:tcW w:w="3677" w:type="dxa"/>
            <w:vAlign w:val="center"/>
          </w:tcPr>
          <w:p>
            <w:pPr>
              <w:snapToGrid w:val="0"/>
              <w:spacing w:line="270" w:lineRule="exact"/>
              <w:rPr>
                <w:rFonts w:ascii="Times New Roman" w:hAnsi="Times New Roman"/>
                <w:sz w:val="21"/>
                <w:szCs w:val="21"/>
              </w:rPr>
            </w:pPr>
            <w:r>
              <w:rPr>
                <w:rFonts w:ascii="Times New Roman" w:hAnsi="Times New Roman" w:eastAsiaTheme="minorEastAsia"/>
                <w:sz w:val="21"/>
                <w:szCs w:val="21"/>
              </w:rPr>
              <w:t>1处，面积40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w:t>
            </w:r>
            <w:r>
              <w:rPr>
                <w:rFonts w:ascii="Times New Roman" w:hAnsi="Times New Roman"/>
                <w:sz w:val="21"/>
                <w:szCs w:val="21"/>
              </w:rPr>
              <w:t>设置在东南厂界隔离室、冷藏间处</w:t>
            </w:r>
          </w:p>
        </w:tc>
        <w:tc>
          <w:tcPr>
            <w:tcW w:w="1012" w:type="dxa"/>
            <w:vMerge w:val="continue"/>
            <w:vAlign w:val="center"/>
          </w:tcPr>
          <w:p>
            <w:pPr>
              <w:spacing w:line="270" w:lineRule="exact"/>
              <w:jc w:val="center"/>
              <w:rPr>
                <w:rFonts w:ascii="Times New Roman" w:hAnsi="Times New Roman"/>
                <w:sz w:val="21"/>
                <w:szCs w:val="21"/>
              </w:rPr>
            </w:pPr>
          </w:p>
        </w:tc>
        <w:tc>
          <w:tcPr>
            <w:tcW w:w="1214" w:type="dxa"/>
            <w:gridSpan w:val="2"/>
            <w:vAlign w:val="center"/>
          </w:tcPr>
          <w:p>
            <w:pPr>
              <w:spacing w:line="270" w:lineRule="exact"/>
              <w:jc w:val="center"/>
              <w:rPr>
                <w:rFonts w:ascii="Times New Roman" w:hAnsi="Times New Roman"/>
                <w:sz w:val="21"/>
                <w:szCs w:val="21"/>
              </w:rPr>
            </w:pPr>
            <w:r>
              <w:rPr>
                <w:rFonts w:ascii="Times New Roman" w:hAnsi="Times New Roman"/>
                <w:sz w:val="21"/>
                <w:szCs w:val="21"/>
              </w:rPr>
              <w:t>医疗废物</w:t>
            </w:r>
          </w:p>
        </w:tc>
        <w:tc>
          <w:tcPr>
            <w:tcW w:w="697" w:type="dxa"/>
            <w:vAlign w:val="center"/>
          </w:tcPr>
          <w:p>
            <w:pPr>
              <w:spacing w:line="270" w:lineRule="exact"/>
              <w:jc w:val="center"/>
              <w:rPr>
                <w:rFonts w:ascii="Times New Roman" w:hAnsi="Times New Roman"/>
                <w:b/>
                <w:sz w:val="21"/>
                <w:szCs w:val="21"/>
              </w:rPr>
            </w:pPr>
            <w:r>
              <w:rPr>
                <w:rFonts w:ascii="Times New Roman" w:hAnsi="Times New Roman"/>
                <w:b/>
                <w:sz w:val="21"/>
                <w:szCs w:val="21"/>
              </w:rPr>
              <w:t>利用现有</w:t>
            </w:r>
          </w:p>
        </w:tc>
      </w:tr>
    </w:tbl>
    <w:p>
      <w:pPr>
        <w:pStyle w:val="104"/>
      </w:pPr>
      <w:r>
        <w:t>2、 现有设施利用可行性</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选址位于邛崃市冉义镇园林村，二期工程紧邻一期工程建设，现有办公用房、食堂及部分环保公辅设施依托一期已经设施。根据调查，本项目办公用房、环保设施和公辅设施均依托现有工程，依托情况详见表2.2-3。</w:t>
      </w:r>
    </w:p>
    <w:p>
      <w:pPr>
        <w:spacing w:line="240" w:lineRule="auto"/>
        <w:jc w:val="center"/>
        <w:rPr>
          <w:rFonts w:ascii="Times New Roman" w:hAnsi="Times New Roman" w:eastAsia="黑体"/>
          <w:bCs/>
          <w:sz w:val="21"/>
          <w:szCs w:val="21"/>
        </w:rPr>
      </w:pPr>
      <w:r>
        <w:rPr>
          <w:rFonts w:ascii="Times New Roman" w:hAnsi="Times New Roman" w:eastAsia="黑体"/>
          <w:bCs/>
          <w:sz w:val="21"/>
          <w:szCs w:val="21"/>
        </w:rPr>
        <w:t>表2.2-3  主要公辅设施及环保设施依托情况一览表</w:t>
      </w:r>
    </w:p>
    <w:tbl>
      <w:tblPr>
        <w:tblStyle w:val="90"/>
        <w:tblW w:w="8607" w:type="dxa"/>
        <w:jc w:val="center"/>
        <w:tblInd w:w="153"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770"/>
        <w:gridCol w:w="1213"/>
        <w:gridCol w:w="1287"/>
        <w:gridCol w:w="1843"/>
        <w:gridCol w:w="349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tblHeader/>
          <w:jc w:val="center"/>
        </w:trPr>
        <w:tc>
          <w:tcPr>
            <w:tcW w:w="770" w:type="dxa"/>
            <w:vAlign w:val="center"/>
          </w:tcPr>
          <w:p>
            <w:pPr>
              <w:spacing w:line="240" w:lineRule="auto"/>
              <w:jc w:val="center"/>
              <w:rPr>
                <w:rFonts w:ascii="Times New Roman" w:hAnsi="Times New Roman"/>
                <w:b/>
                <w:sz w:val="21"/>
                <w:szCs w:val="21"/>
              </w:rPr>
            </w:pPr>
            <w:r>
              <w:rPr>
                <w:rFonts w:ascii="Times New Roman" w:hAnsi="Times New Roman"/>
                <w:b/>
                <w:sz w:val="21"/>
                <w:szCs w:val="21"/>
              </w:rPr>
              <w:t>序号</w:t>
            </w:r>
          </w:p>
        </w:tc>
        <w:tc>
          <w:tcPr>
            <w:tcW w:w="1213" w:type="dxa"/>
            <w:vAlign w:val="center"/>
          </w:tcPr>
          <w:p>
            <w:pPr>
              <w:spacing w:line="240" w:lineRule="auto"/>
              <w:jc w:val="center"/>
              <w:rPr>
                <w:rFonts w:ascii="Times New Roman" w:hAnsi="Times New Roman"/>
                <w:b/>
                <w:sz w:val="21"/>
                <w:szCs w:val="21"/>
              </w:rPr>
            </w:pPr>
            <w:r>
              <w:rPr>
                <w:rFonts w:ascii="Times New Roman" w:hAnsi="Times New Roman"/>
                <w:b/>
                <w:sz w:val="21"/>
                <w:szCs w:val="21"/>
              </w:rPr>
              <w:t>名称</w:t>
            </w:r>
          </w:p>
        </w:tc>
        <w:tc>
          <w:tcPr>
            <w:tcW w:w="1287" w:type="dxa"/>
            <w:vAlign w:val="center"/>
          </w:tcPr>
          <w:p>
            <w:pPr>
              <w:spacing w:line="240" w:lineRule="auto"/>
              <w:jc w:val="center"/>
              <w:rPr>
                <w:rFonts w:ascii="Times New Roman" w:hAnsi="Times New Roman"/>
                <w:b/>
                <w:sz w:val="21"/>
                <w:szCs w:val="21"/>
              </w:rPr>
            </w:pPr>
            <w:r>
              <w:rPr>
                <w:rFonts w:ascii="Times New Roman" w:hAnsi="Times New Roman"/>
                <w:b/>
                <w:sz w:val="21"/>
                <w:szCs w:val="21"/>
              </w:rPr>
              <w:t>数量</w:t>
            </w:r>
          </w:p>
        </w:tc>
        <w:tc>
          <w:tcPr>
            <w:tcW w:w="1843" w:type="dxa"/>
            <w:vAlign w:val="center"/>
          </w:tcPr>
          <w:p>
            <w:pPr>
              <w:spacing w:line="240" w:lineRule="auto"/>
              <w:jc w:val="center"/>
              <w:rPr>
                <w:rFonts w:ascii="Times New Roman" w:hAnsi="Times New Roman"/>
                <w:b/>
                <w:sz w:val="21"/>
                <w:szCs w:val="21"/>
              </w:rPr>
            </w:pPr>
            <w:r>
              <w:rPr>
                <w:rFonts w:ascii="Times New Roman" w:hAnsi="Times New Roman"/>
                <w:b/>
                <w:sz w:val="21"/>
                <w:szCs w:val="21"/>
              </w:rPr>
              <w:t>内容</w:t>
            </w:r>
          </w:p>
        </w:tc>
        <w:tc>
          <w:tcPr>
            <w:tcW w:w="3494" w:type="dxa"/>
            <w:vAlign w:val="center"/>
          </w:tcPr>
          <w:p>
            <w:pPr>
              <w:spacing w:line="240" w:lineRule="auto"/>
              <w:jc w:val="center"/>
              <w:rPr>
                <w:rFonts w:ascii="Times New Roman" w:hAnsi="Times New Roman"/>
                <w:b/>
                <w:sz w:val="21"/>
                <w:szCs w:val="21"/>
              </w:rPr>
            </w:pPr>
            <w:r>
              <w:rPr>
                <w:rFonts w:ascii="Times New Roman" w:hAnsi="Times New Roman"/>
                <w:b/>
                <w:sz w:val="21"/>
                <w:szCs w:val="21"/>
              </w:rPr>
              <w:t>依托可行性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213" w:type="dxa"/>
            <w:vAlign w:val="center"/>
          </w:tcPr>
          <w:p>
            <w:pPr>
              <w:widowControl/>
              <w:spacing w:line="270" w:lineRule="exact"/>
              <w:jc w:val="center"/>
              <w:rPr>
                <w:rFonts w:ascii="Times New Roman" w:hAnsi="Times New Roman"/>
                <w:sz w:val="21"/>
                <w:szCs w:val="21"/>
              </w:rPr>
            </w:pPr>
            <w:r>
              <w:rPr>
                <w:rFonts w:ascii="Times New Roman" w:hAnsi="Times New Roman"/>
                <w:sz w:val="21"/>
                <w:szCs w:val="21"/>
              </w:rPr>
              <w:t>办公楼</w:t>
            </w:r>
          </w:p>
          <w:p>
            <w:pPr>
              <w:widowControl/>
              <w:spacing w:line="270" w:lineRule="exact"/>
              <w:jc w:val="center"/>
              <w:rPr>
                <w:rFonts w:ascii="Times New Roman" w:hAnsi="Times New Roman"/>
                <w:sz w:val="21"/>
                <w:szCs w:val="21"/>
              </w:rPr>
            </w:pPr>
            <w:r>
              <w:rPr>
                <w:rFonts w:ascii="Times New Roman" w:hAnsi="Times New Roman"/>
                <w:sz w:val="21"/>
                <w:szCs w:val="21"/>
              </w:rPr>
              <w:t>职工食堂</w:t>
            </w:r>
          </w:p>
          <w:p>
            <w:pPr>
              <w:spacing w:line="240" w:lineRule="auto"/>
              <w:jc w:val="center"/>
              <w:rPr>
                <w:rFonts w:ascii="Times New Roman" w:hAnsi="Times New Roman"/>
                <w:sz w:val="21"/>
                <w:szCs w:val="21"/>
              </w:rPr>
            </w:pPr>
            <w:r>
              <w:rPr>
                <w:rFonts w:ascii="Times New Roman" w:hAnsi="Times New Roman"/>
                <w:sz w:val="21"/>
                <w:szCs w:val="21"/>
              </w:rPr>
              <w:t>职工宿舍</w:t>
            </w:r>
          </w:p>
        </w:tc>
        <w:tc>
          <w:tcPr>
            <w:tcW w:w="1287" w:type="dxa"/>
            <w:vAlign w:val="center"/>
          </w:tcPr>
          <w:p>
            <w:pPr>
              <w:spacing w:line="240" w:lineRule="auto"/>
              <w:jc w:val="center"/>
              <w:rPr>
                <w:rFonts w:ascii="Times New Roman" w:hAnsi="Times New Roman"/>
                <w:sz w:val="21"/>
                <w:szCs w:val="21"/>
              </w:rPr>
            </w:pPr>
            <w:r>
              <w:rPr>
                <w:rFonts w:ascii="Times New Roman" w:hAnsi="Times New Roman"/>
                <w:sz w:val="21"/>
                <w:szCs w:val="21"/>
              </w:rPr>
              <w:t>1栋</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sz w:val="21"/>
                <w:szCs w:val="21"/>
              </w:rPr>
              <w:t>两层，983m</w:t>
            </w:r>
            <w:r>
              <w:rPr>
                <w:rFonts w:ascii="Times New Roman" w:hAnsi="Times New Roman"/>
                <w:sz w:val="21"/>
                <w:szCs w:val="21"/>
                <w:vertAlign w:val="superscript"/>
              </w:rPr>
              <w:t>2</w:t>
            </w:r>
            <w:r>
              <w:rPr>
                <w:rFonts w:ascii="Times New Roman" w:hAnsi="Times New Roman"/>
                <w:sz w:val="21"/>
                <w:szCs w:val="21"/>
              </w:rPr>
              <w:t>，作为办公用房、员工宿舍和职工食堂</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该楼建设考虑了本项目扩建的需求，依托可行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干粪堆场</w:t>
            </w:r>
          </w:p>
        </w:tc>
        <w:tc>
          <w:tcPr>
            <w:tcW w:w="1287" w:type="dxa"/>
            <w:vAlign w:val="center"/>
          </w:tcPr>
          <w:p>
            <w:pPr>
              <w:spacing w:line="240" w:lineRule="auto"/>
              <w:jc w:val="center"/>
              <w:rPr>
                <w:rFonts w:ascii="Times New Roman" w:hAnsi="Times New Roman"/>
                <w:sz w:val="21"/>
                <w:szCs w:val="21"/>
              </w:rPr>
            </w:pPr>
            <w:r>
              <w:rPr>
                <w:rFonts w:ascii="Times New Roman" w:hAnsi="Times New Roman"/>
                <w:sz w:val="21"/>
                <w:szCs w:val="21"/>
              </w:rPr>
              <w:t>1处</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kern w:val="24"/>
                <w:sz w:val="21"/>
                <w:szCs w:val="21"/>
              </w:rPr>
              <w:t>面积约200 m</w:t>
            </w:r>
            <w:r>
              <w:rPr>
                <w:rFonts w:ascii="Times New Roman" w:hAnsi="Times New Roman"/>
                <w:kern w:val="24"/>
                <w:sz w:val="21"/>
                <w:szCs w:val="21"/>
                <w:vertAlign w:val="superscript"/>
              </w:rPr>
              <w:t>2</w:t>
            </w:r>
            <w:r>
              <w:rPr>
                <w:rFonts w:ascii="Times New Roman" w:hAnsi="Times New Roman"/>
                <w:kern w:val="24"/>
                <w:sz w:val="21"/>
                <w:szCs w:val="21"/>
              </w:rPr>
              <w:t>，</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干粪堆场的设置考虑了本项目扩建的需求，依托可行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3</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兽医室</w:t>
            </w:r>
          </w:p>
        </w:tc>
        <w:tc>
          <w:tcPr>
            <w:tcW w:w="1287" w:type="dxa"/>
            <w:vAlign w:val="center"/>
          </w:tcPr>
          <w:p>
            <w:pPr>
              <w:spacing w:line="240" w:lineRule="auto"/>
              <w:jc w:val="center"/>
              <w:rPr>
                <w:rFonts w:ascii="Times New Roman" w:hAnsi="Times New Roman"/>
                <w:sz w:val="21"/>
                <w:szCs w:val="21"/>
              </w:rPr>
            </w:pPr>
            <w:r>
              <w:rPr>
                <w:rFonts w:ascii="Times New Roman" w:hAnsi="Times New Roman"/>
                <w:sz w:val="21"/>
                <w:szCs w:val="21"/>
              </w:rPr>
              <w:t>1处</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sz w:val="21"/>
                <w:szCs w:val="21"/>
              </w:rPr>
              <w:t>面积80m</w:t>
            </w:r>
            <w:r>
              <w:rPr>
                <w:rFonts w:ascii="Times New Roman" w:hAnsi="Times New Roman"/>
                <w:sz w:val="21"/>
                <w:szCs w:val="21"/>
                <w:vertAlign w:val="superscript"/>
              </w:rPr>
              <w:t>2</w:t>
            </w:r>
          </w:p>
        </w:tc>
        <w:tc>
          <w:tcPr>
            <w:tcW w:w="3494" w:type="dxa"/>
            <w:vAlign w:val="center"/>
          </w:tcPr>
          <w:p>
            <w:pPr>
              <w:pStyle w:val="110"/>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兽医室的设置考虑了本项目扩建的需求，依托可行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4</w:t>
            </w:r>
          </w:p>
        </w:tc>
        <w:tc>
          <w:tcPr>
            <w:tcW w:w="1213" w:type="dxa"/>
            <w:vAlign w:val="center"/>
          </w:tcPr>
          <w:p>
            <w:pPr>
              <w:spacing w:line="240" w:lineRule="auto"/>
              <w:jc w:val="center"/>
              <w:rPr>
                <w:rFonts w:ascii="Times New Roman" w:hAnsi="Times New Roman"/>
                <w:sz w:val="21"/>
                <w:szCs w:val="21"/>
                <w:lang w:val="zh-CN"/>
              </w:rPr>
            </w:pPr>
            <w:r>
              <w:rPr>
                <w:rFonts w:ascii="Times New Roman" w:hAnsi="Times New Roman"/>
                <w:sz w:val="21"/>
                <w:szCs w:val="21"/>
              </w:rPr>
              <w:t>消毒间</w:t>
            </w:r>
          </w:p>
        </w:tc>
        <w:tc>
          <w:tcPr>
            <w:tcW w:w="1287" w:type="dxa"/>
            <w:vAlign w:val="center"/>
          </w:tcPr>
          <w:p>
            <w:pPr>
              <w:spacing w:line="240" w:lineRule="auto"/>
              <w:jc w:val="center"/>
              <w:rPr>
                <w:rFonts w:ascii="Times New Roman" w:hAnsi="Times New Roman"/>
                <w:sz w:val="21"/>
                <w:szCs w:val="21"/>
                <w:lang w:val="zh-CN"/>
              </w:rPr>
            </w:pPr>
            <w:r>
              <w:rPr>
                <w:rFonts w:ascii="Times New Roman" w:hAnsi="Times New Roman"/>
                <w:sz w:val="21"/>
                <w:szCs w:val="21"/>
                <w:lang w:val="zh-CN"/>
              </w:rPr>
              <w:t>1处</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eastAsiaTheme="minorEastAsia"/>
                <w:sz w:val="21"/>
                <w:szCs w:val="21"/>
              </w:rPr>
              <w:t>面积150 m</w:t>
            </w:r>
            <w:r>
              <w:rPr>
                <w:rFonts w:ascii="Times New Roman" w:hAnsi="Times New Roman" w:eastAsiaTheme="minorEastAsia"/>
                <w:sz w:val="21"/>
                <w:szCs w:val="21"/>
                <w:vertAlign w:val="superscript"/>
              </w:rPr>
              <w:t>2</w:t>
            </w:r>
            <w:r>
              <w:rPr>
                <w:rFonts w:ascii="Times New Roman" w:hAnsi="Times New Roman" w:eastAsiaTheme="minorEastAsia"/>
                <w:bCs/>
                <w:sz w:val="21"/>
                <w:szCs w:val="21"/>
              </w:rPr>
              <w:t>，</w:t>
            </w:r>
            <w:r>
              <w:rPr>
                <w:rFonts w:ascii="Times New Roman" w:hAnsi="Times New Roman" w:eastAsiaTheme="minorEastAsia"/>
                <w:sz w:val="21"/>
                <w:szCs w:val="21"/>
              </w:rPr>
              <w:t>对厂区工作人员、进场物品（紫外线）进行消毒</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本项目与一期共用1处出入口，消毒间的设置考虑了本项目扩建的需求，依托可行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5</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冷藏室</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1处</w:t>
            </w:r>
          </w:p>
        </w:tc>
        <w:tc>
          <w:tcPr>
            <w:tcW w:w="1843" w:type="dxa"/>
            <w:vAlign w:val="center"/>
          </w:tcPr>
          <w:p>
            <w:pPr>
              <w:spacing w:line="240" w:lineRule="auto"/>
              <w:jc w:val="center"/>
              <w:textAlignment w:val="baseline"/>
              <w:rPr>
                <w:rFonts w:ascii="Times New Roman" w:hAnsi="Times New Roman"/>
                <w:sz w:val="21"/>
                <w:szCs w:val="21"/>
              </w:rPr>
            </w:pPr>
            <w:r>
              <w:rPr>
                <w:rFonts w:ascii="Times New Roman" w:hAnsi="Times New Roman" w:eastAsiaTheme="minorEastAsia"/>
                <w:sz w:val="21"/>
                <w:szCs w:val="21"/>
              </w:rPr>
              <w:t>面积40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w:t>
            </w:r>
            <w:r>
              <w:rPr>
                <w:rFonts w:ascii="Times New Roman" w:hAnsi="Times New Roman"/>
                <w:sz w:val="21"/>
                <w:szCs w:val="21"/>
              </w:rPr>
              <w:t>病死猪只</w:t>
            </w:r>
          </w:p>
          <w:p>
            <w:pPr>
              <w:spacing w:line="240" w:lineRule="auto"/>
              <w:jc w:val="center"/>
              <w:textAlignment w:val="baseline"/>
              <w:rPr>
                <w:rFonts w:ascii="Times New Roman" w:hAnsi="Times New Roman"/>
                <w:kern w:val="24"/>
                <w:sz w:val="21"/>
                <w:szCs w:val="21"/>
              </w:rPr>
            </w:pPr>
            <w:r>
              <w:rPr>
                <w:rFonts w:ascii="Times New Roman" w:hAnsi="Times New Roman"/>
                <w:sz w:val="21"/>
                <w:szCs w:val="21"/>
              </w:rPr>
              <w:t>暂存</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冷藏室考虑了本项目扩建的需求，依托可行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6</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供水</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1套</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eastAsiaTheme="minorEastAsia"/>
                <w:sz w:val="21"/>
                <w:szCs w:val="21"/>
              </w:rPr>
              <w:t>采取厂区地下水</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厂区地下水充足，扩建后可满足本项目需求，依托可行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7</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供电</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1套</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sz w:val="21"/>
                <w:szCs w:val="21"/>
              </w:rPr>
              <w:t>10kv专用供电线；配电室一间，自备一台柴油发电机</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本项目供电系统纳入现有工程的供电系统内，依托可行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8</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预处理池</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1个</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eastAsiaTheme="minorEastAsia"/>
                <w:sz w:val="21"/>
                <w:szCs w:val="21"/>
              </w:rPr>
              <w:t>约50m</w:t>
            </w:r>
            <w:r>
              <w:rPr>
                <w:rFonts w:ascii="Times New Roman" w:hAnsi="Times New Roman" w:eastAsiaTheme="minorEastAsia"/>
                <w:sz w:val="21"/>
                <w:szCs w:val="21"/>
                <w:vertAlign w:val="superscript"/>
              </w:rPr>
              <w:t>3</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现有生活废水量约2.6m</w:t>
            </w:r>
            <w:r>
              <w:rPr>
                <w:rFonts w:ascii="Times New Roman" w:hAnsi="Times New Roman"/>
                <w:sz w:val="21"/>
                <w:szCs w:val="21"/>
                <w:vertAlign w:val="superscript"/>
              </w:rPr>
              <w:t>3</w:t>
            </w:r>
            <w:r>
              <w:rPr>
                <w:rFonts w:ascii="Times New Roman" w:hAnsi="Times New Roman"/>
                <w:sz w:val="21"/>
                <w:szCs w:val="21"/>
              </w:rPr>
              <w:t>/d，扩建工程生活废水量为1.57 m</w:t>
            </w:r>
            <w:r>
              <w:rPr>
                <w:rFonts w:ascii="Times New Roman" w:hAnsi="Times New Roman"/>
                <w:sz w:val="21"/>
                <w:szCs w:val="21"/>
                <w:vertAlign w:val="superscript"/>
              </w:rPr>
              <w:t>3</w:t>
            </w:r>
            <w:r>
              <w:rPr>
                <w:rFonts w:ascii="Times New Roman" w:hAnsi="Times New Roman"/>
                <w:sz w:val="21"/>
                <w:szCs w:val="21"/>
              </w:rPr>
              <w:t>/d，污水预处理池可满足扩建需求，依托可行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9</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隔油池</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1个</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eastAsiaTheme="minorEastAsia"/>
                <w:sz w:val="21"/>
                <w:szCs w:val="21"/>
              </w:rPr>
              <w:t>2m</w:t>
            </w:r>
            <w:r>
              <w:rPr>
                <w:rFonts w:ascii="Times New Roman" w:hAnsi="Times New Roman" w:eastAsiaTheme="minorEastAsia"/>
                <w:sz w:val="21"/>
                <w:szCs w:val="21"/>
                <w:vertAlign w:val="superscript"/>
              </w:rPr>
              <w:t>3</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现有餐饮废水1.6m</w:t>
            </w:r>
            <w:r>
              <w:rPr>
                <w:rFonts w:ascii="Times New Roman" w:hAnsi="Times New Roman"/>
                <w:sz w:val="21"/>
                <w:szCs w:val="21"/>
                <w:vertAlign w:val="superscript"/>
              </w:rPr>
              <w:t>3</w:t>
            </w:r>
            <w:r>
              <w:rPr>
                <w:rFonts w:ascii="Times New Roman" w:hAnsi="Times New Roman"/>
                <w:sz w:val="21"/>
                <w:szCs w:val="21"/>
              </w:rPr>
              <w:t>/d，扩建工程餐饮废水量为1.06 m</w:t>
            </w:r>
            <w:r>
              <w:rPr>
                <w:rFonts w:ascii="Times New Roman" w:hAnsi="Times New Roman"/>
                <w:sz w:val="21"/>
                <w:szCs w:val="21"/>
                <w:vertAlign w:val="superscript"/>
              </w:rPr>
              <w:t>3</w:t>
            </w:r>
            <w:r>
              <w:rPr>
                <w:rFonts w:ascii="Times New Roman" w:hAnsi="Times New Roman"/>
                <w:sz w:val="21"/>
                <w:szCs w:val="21"/>
              </w:rPr>
              <w:t>/d，隔油池每天高峰时间按4h考量，隔油时间为30min，则所需最小隔油池容积为0.33 m</w:t>
            </w:r>
            <w:r>
              <w:rPr>
                <w:rFonts w:ascii="Times New Roman" w:hAnsi="Times New Roman"/>
                <w:sz w:val="21"/>
                <w:szCs w:val="21"/>
                <w:vertAlign w:val="superscript"/>
              </w:rPr>
              <w:t>3</w:t>
            </w:r>
            <w:r>
              <w:rPr>
                <w:rFonts w:ascii="Times New Roman" w:hAnsi="Times New Roman"/>
                <w:sz w:val="21"/>
                <w:szCs w:val="21"/>
              </w:rPr>
              <w:t>，现有隔油池容积可满足需求，依托可行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10</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油烟净化器及专业烟道</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1套</w:t>
            </w:r>
          </w:p>
        </w:tc>
        <w:tc>
          <w:tcPr>
            <w:tcW w:w="1843" w:type="dxa"/>
            <w:vAlign w:val="center"/>
          </w:tcPr>
          <w:p>
            <w:pPr>
              <w:spacing w:line="240" w:lineRule="auto"/>
              <w:jc w:val="center"/>
              <w:textAlignment w:val="baseline"/>
              <w:rPr>
                <w:rFonts w:ascii="Times New Roman" w:hAnsi="Times New Roman"/>
                <w:kern w:val="24"/>
                <w:sz w:val="21"/>
                <w:szCs w:val="21"/>
              </w:rPr>
            </w:pPr>
            <w:r>
              <w:rPr>
                <w:rFonts w:ascii="Times New Roman" w:hAnsi="Times New Roman" w:eastAsiaTheme="minorEastAsia"/>
                <w:sz w:val="21"/>
                <w:szCs w:val="21"/>
              </w:rPr>
              <w:t>设油烟净化器1套、专用油烟烟道1套，油烟处理效率80%</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扩建完成后的食堂油烟完全能够经现有的油烟净化装置处理后达标排放，依托可行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610" w:hRule="atLeast"/>
          <w:jc w:val="center"/>
        </w:trPr>
        <w:tc>
          <w:tcPr>
            <w:tcW w:w="770" w:type="dxa"/>
            <w:vAlign w:val="center"/>
          </w:tcPr>
          <w:p>
            <w:pPr>
              <w:spacing w:line="240" w:lineRule="auto"/>
              <w:jc w:val="center"/>
              <w:rPr>
                <w:rFonts w:ascii="Times New Roman" w:hAnsi="Times New Roman"/>
                <w:sz w:val="21"/>
                <w:szCs w:val="21"/>
              </w:rPr>
            </w:pPr>
            <w:r>
              <w:rPr>
                <w:rFonts w:ascii="Times New Roman" w:hAnsi="Times New Roman"/>
                <w:sz w:val="21"/>
                <w:szCs w:val="21"/>
              </w:rPr>
              <w:t>11</w:t>
            </w:r>
          </w:p>
        </w:tc>
        <w:tc>
          <w:tcPr>
            <w:tcW w:w="1213" w:type="dxa"/>
            <w:vAlign w:val="center"/>
          </w:tcPr>
          <w:p>
            <w:pPr>
              <w:spacing w:line="240" w:lineRule="auto"/>
              <w:jc w:val="center"/>
              <w:rPr>
                <w:rFonts w:ascii="Times New Roman" w:hAnsi="Times New Roman"/>
                <w:sz w:val="21"/>
                <w:szCs w:val="21"/>
              </w:rPr>
            </w:pPr>
            <w:r>
              <w:rPr>
                <w:rFonts w:ascii="Times New Roman" w:hAnsi="Times New Roman"/>
                <w:sz w:val="21"/>
                <w:szCs w:val="21"/>
              </w:rPr>
              <w:t>医疗废物暂存间</w:t>
            </w:r>
          </w:p>
        </w:tc>
        <w:tc>
          <w:tcPr>
            <w:tcW w:w="1287" w:type="dxa"/>
            <w:vAlign w:val="center"/>
          </w:tcPr>
          <w:p>
            <w:pPr>
              <w:autoSpaceDE w:val="0"/>
              <w:autoSpaceDN w:val="0"/>
              <w:spacing w:line="240" w:lineRule="auto"/>
              <w:jc w:val="center"/>
              <w:rPr>
                <w:rFonts w:ascii="Times New Roman" w:hAnsi="Times New Roman"/>
                <w:sz w:val="21"/>
                <w:szCs w:val="21"/>
                <w:lang w:val="zh-CN"/>
              </w:rPr>
            </w:pPr>
            <w:r>
              <w:rPr>
                <w:rFonts w:ascii="Times New Roman" w:hAnsi="Times New Roman"/>
                <w:sz w:val="21"/>
                <w:szCs w:val="21"/>
                <w:lang w:val="zh-CN"/>
              </w:rPr>
              <w:t>1间</w:t>
            </w:r>
          </w:p>
        </w:tc>
        <w:tc>
          <w:tcPr>
            <w:tcW w:w="1843" w:type="dxa"/>
            <w:vAlign w:val="center"/>
          </w:tcPr>
          <w:p>
            <w:pPr>
              <w:spacing w:line="240" w:lineRule="auto"/>
              <w:jc w:val="center"/>
              <w:textAlignment w:val="baseline"/>
              <w:rPr>
                <w:rFonts w:ascii="Times New Roman" w:hAnsi="Times New Roman" w:eastAsiaTheme="minorEastAsia"/>
                <w:sz w:val="21"/>
                <w:szCs w:val="21"/>
              </w:rPr>
            </w:pPr>
            <w:r>
              <w:rPr>
                <w:rFonts w:ascii="Times New Roman" w:hAnsi="Times New Roman" w:eastAsiaTheme="minorEastAsia"/>
                <w:sz w:val="21"/>
                <w:szCs w:val="21"/>
              </w:rPr>
              <w:t>面积40 m</w:t>
            </w:r>
            <w:r>
              <w:rPr>
                <w:rFonts w:ascii="Times New Roman" w:hAnsi="Times New Roman" w:eastAsiaTheme="minorEastAsia"/>
                <w:sz w:val="21"/>
                <w:szCs w:val="21"/>
                <w:vertAlign w:val="superscript"/>
              </w:rPr>
              <w:t>2</w:t>
            </w:r>
            <w:r>
              <w:rPr>
                <w:rFonts w:ascii="Times New Roman" w:hAnsi="Times New Roman" w:eastAsiaTheme="minorEastAsia"/>
                <w:sz w:val="21"/>
                <w:szCs w:val="21"/>
              </w:rPr>
              <w:t>，暂存</w:t>
            </w:r>
          </w:p>
          <w:p>
            <w:pPr>
              <w:spacing w:line="240" w:lineRule="auto"/>
              <w:jc w:val="center"/>
              <w:textAlignment w:val="baseline"/>
              <w:rPr>
                <w:rFonts w:ascii="Times New Roman" w:hAnsi="Times New Roman"/>
                <w:kern w:val="24"/>
                <w:sz w:val="21"/>
                <w:szCs w:val="21"/>
              </w:rPr>
            </w:pPr>
            <w:r>
              <w:rPr>
                <w:rFonts w:ascii="Times New Roman" w:hAnsi="Times New Roman" w:eastAsiaTheme="minorEastAsia"/>
                <w:sz w:val="21"/>
                <w:szCs w:val="21"/>
              </w:rPr>
              <w:t>医疗废物</w:t>
            </w:r>
          </w:p>
        </w:tc>
        <w:tc>
          <w:tcPr>
            <w:tcW w:w="3494" w:type="dxa"/>
            <w:vAlign w:val="center"/>
          </w:tcPr>
          <w:p>
            <w:pPr>
              <w:spacing w:line="240" w:lineRule="auto"/>
              <w:jc w:val="center"/>
              <w:rPr>
                <w:rFonts w:ascii="Times New Roman" w:hAnsi="Times New Roman"/>
                <w:sz w:val="21"/>
                <w:szCs w:val="21"/>
              </w:rPr>
            </w:pPr>
            <w:r>
              <w:rPr>
                <w:rFonts w:ascii="Times New Roman" w:hAnsi="Times New Roman"/>
                <w:sz w:val="21"/>
                <w:szCs w:val="21"/>
              </w:rPr>
              <w:t>医疗废物暂存间的设置考虑了本项目扩建的需求，依托可行</w:t>
            </w:r>
          </w:p>
        </w:tc>
      </w:tr>
    </w:tbl>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根据上表可知，现有的办公用房、食堂及环保设施等均按扩建要求建设，可满足要求。本项目供水依托一期已建的地下水井，可满足供水需求；本项目供电均由邛崃市政电网供电，且本项目备有柴油发电机，故本项目的供电也能得到保障。故本项目扩建后的环保设施、供水、供电得均可满足扩建后的项目需要。</w:t>
      </w:r>
    </w:p>
    <w:p>
      <w:pPr>
        <w:pStyle w:val="108"/>
      </w:pPr>
      <w:bookmarkStart w:id="107" w:name="_Toc9873322"/>
      <w:r>
        <w:t>2.2.5 主要设备</w:t>
      </w:r>
      <w:bookmarkEnd w:id="107"/>
    </w:p>
    <w:p>
      <w:pPr>
        <w:autoSpaceDE w:val="0"/>
        <w:autoSpaceDN w:val="0"/>
        <w:adjustRightInd w:val="0"/>
        <w:ind w:firstLine="480" w:firstLineChars="200"/>
        <w:jc w:val="left"/>
        <w:rPr>
          <w:rFonts w:ascii="Times New Roman" w:hAnsi="Times New Roman"/>
          <w:sz w:val="24"/>
          <w:szCs w:val="24"/>
        </w:rPr>
      </w:pPr>
      <w:r>
        <w:rPr>
          <w:rFonts w:ascii="Times New Roman" w:hAnsi="Times New Roman"/>
          <w:sz w:val="24"/>
          <w:szCs w:val="24"/>
        </w:rPr>
        <w:t>本项目圈舍与一期均采用先进的全封密闭式、全自动化喂料系统，全自动化恒温负压垂直通风系统+横向通风系统，实现圈舍内空气的温度、湿度和有害气体的控制，从而创造适宜猪只生产、生活的环境，全自动喂料系统和全漏粪工艺将最大限度的减少劳动力成本，减少冲洗废水产生，实现高效率生产和污染物减排。</w:t>
      </w:r>
    </w:p>
    <w:p>
      <w:pPr>
        <w:autoSpaceDE w:val="0"/>
        <w:autoSpaceDN w:val="0"/>
        <w:adjustRightInd w:val="0"/>
        <w:ind w:firstLine="480" w:firstLineChars="200"/>
        <w:jc w:val="left"/>
        <w:rPr>
          <w:rFonts w:ascii="Times New Roman" w:hAnsi="Times New Roman"/>
          <w:sz w:val="24"/>
          <w:szCs w:val="24"/>
        </w:rPr>
      </w:pPr>
      <w:r>
        <w:rPr>
          <w:rFonts w:ascii="Times New Roman" w:hAnsi="Times New Roman"/>
          <w:sz w:val="24"/>
          <w:szCs w:val="24"/>
        </w:rPr>
        <w:t>本项目新增主要设备见表2.2-4。</w:t>
      </w:r>
    </w:p>
    <w:p>
      <w:pPr>
        <w:spacing w:line="480" w:lineRule="exact"/>
        <w:jc w:val="center"/>
        <w:rPr>
          <w:rFonts w:ascii="Times New Roman" w:hAnsi="Times New Roman" w:eastAsia="黑体"/>
          <w:sz w:val="21"/>
          <w:szCs w:val="21"/>
        </w:rPr>
      </w:pPr>
      <w:r>
        <w:rPr>
          <w:rFonts w:ascii="Times New Roman" w:hAnsi="Times New Roman" w:eastAsia="黑体"/>
          <w:sz w:val="21"/>
          <w:szCs w:val="21"/>
        </w:rPr>
        <w:t>表2.2-4   工程新增主要设备一览表</w:t>
      </w:r>
    </w:p>
    <w:tbl>
      <w:tblPr>
        <w:tblStyle w:val="90"/>
        <w:tblW w:w="8613"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534"/>
        <w:gridCol w:w="708"/>
        <w:gridCol w:w="1560"/>
        <w:gridCol w:w="708"/>
        <w:gridCol w:w="709"/>
        <w:gridCol w:w="3260"/>
        <w:gridCol w:w="113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48" w:hRule="atLeast"/>
        </w:trPr>
        <w:tc>
          <w:tcPr>
            <w:tcW w:w="1242" w:type="dxa"/>
            <w:gridSpan w:val="2"/>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序号</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名称</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单位</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数量</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规格型号</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备注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restart"/>
            <w:vAlign w:val="center"/>
          </w:tcPr>
          <w:p>
            <w:pPr>
              <w:spacing w:line="240" w:lineRule="auto"/>
              <w:jc w:val="center"/>
              <w:rPr>
                <w:rFonts w:ascii="Times New Roman" w:hAnsi="Times New Roman" w:eastAsiaTheme="majorEastAsia"/>
                <w:bCs/>
                <w:sz w:val="21"/>
                <w:szCs w:val="21"/>
              </w:rPr>
            </w:pPr>
            <w:r>
              <w:rPr>
                <w:rFonts w:ascii="Times New Roman" w:hAnsi="Times New Roman" w:eastAsiaTheme="majorEastAsia"/>
                <w:bCs/>
                <w:sz w:val="21"/>
                <w:szCs w:val="21"/>
              </w:rPr>
              <w:t>保育舍通风系统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36寸风机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24</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玻璃钢风机带扩散器PVC百叶窗</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蒙特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24寸风机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48</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玻璃钢风机带扩散器PVC百叶窗</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蒙特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16寸风机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96</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玻璃钢风机带扩散器PVC百叶窗</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蒙特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4</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房间控制器</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24</w:t>
            </w:r>
          </w:p>
        </w:tc>
        <w:tc>
          <w:tcPr>
            <w:tcW w:w="3260" w:type="dxa"/>
            <w:vAlign w:val="center"/>
          </w:tcPr>
          <w:p>
            <w:pPr>
              <w:widowControl/>
              <w:spacing w:line="240" w:lineRule="auto"/>
              <w:jc w:val="center"/>
              <w:rPr>
                <w:rFonts w:ascii="Times New Roman" w:hAnsi="Times New Roman" w:eastAsiaTheme="majorEastAsia"/>
                <w:sz w:val="21"/>
                <w:szCs w:val="21"/>
              </w:rPr>
            </w:pP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Maximus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5</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中央控制系统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MAXIMUS控制器系统</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Maximus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6</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燃气加热器</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48</w:t>
            </w:r>
          </w:p>
        </w:tc>
        <w:tc>
          <w:tcPr>
            <w:tcW w:w="3260" w:type="dxa"/>
            <w:vAlign w:val="center"/>
          </w:tcPr>
          <w:p>
            <w:pPr>
              <w:widowControl/>
              <w:spacing w:line="240" w:lineRule="auto"/>
              <w:jc w:val="center"/>
              <w:rPr>
                <w:rFonts w:ascii="Times New Roman" w:hAnsi="Times New Roman" w:eastAsiaTheme="majorEastAsia"/>
                <w:sz w:val="21"/>
                <w:szCs w:val="21"/>
              </w:rPr>
            </w:pP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7</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伞状加热器</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288</w:t>
            </w:r>
          </w:p>
        </w:tc>
        <w:tc>
          <w:tcPr>
            <w:tcW w:w="3260" w:type="dxa"/>
            <w:vAlign w:val="center"/>
          </w:tcPr>
          <w:p>
            <w:pPr>
              <w:widowControl/>
              <w:spacing w:line="240" w:lineRule="auto"/>
              <w:jc w:val="center"/>
              <w:rPr>
                <w:rFonts w:ascii="Times New Roman" w:hAnsi="Times New Roman" w:eastAsiaTheme="majorEastAsia"/>
                <w:sz w:val="21"/>
                <w:szCs w:val="21"/>
              </w:rPr>
            </w:pP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8</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进风窗系统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48</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2500双面驱动</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9</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水帘系统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12</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15米长，1.8米高（含防鸟网）</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restart"/>
            <w:vAlign w:val="center"/>
          </w:tcPr>
          <w:p>
            <w:pPr>
              <w:spacing w:line="240" w:lineRule="auto"/>
              <w:jc w:val="center"/>
              <w:rPr>
                <w:rFonts w:ascii="Times New Roman" w:hAnsi="Times New Roman" w:eastAsiaTheme="majorEastAsia"/>
                <w:bCs/>
                <w:sz w:val="21"/>
                <w:szCs w:val="21"/>
              </w:rPr>
            </w:pPr>
            <w:r>
              <w:rPr>
                <w:rFonts w:ascii="Times New Roman" w:hAnsi="Times New Roman" w:eastAsiaTheme="majorEastAsia"/>
                <w:bCs/>
                <w:sz w:val="21"/>
                <w:szCs w:val="21"/>
              </w:rPr>
              <w:t>育肥舍通风系统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10</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50寸风机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64</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玻璃钢风机带扩散器PVC百叶窗</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蒙特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11</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36寸风机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12</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玻璃钢风机带扩散器PVC百叶窗</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蒙特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12</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24寸风机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36</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玻璃钢风机带扩散器PVC百叶窗</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蒙特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13</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房间控制器</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12</w:t>
            </w:r>
          </w:p>
        </w:tc>
        <w:tc>
          <w:tcPr>
            <w:tcW w:w="3260" w:type="dxa"/>
            <w:vAlign w:val="center"/>
          </w:tcPr>
          <w:p>
            <w:pPr>
              <w:widowControl/>
              <w:spacing w:line="240" w:lineRule="auto"/>
              <w:jc w:val="center"/>
              <w:rPr>
                <w:rFonts w:ascii="Times New Roman" w:hAnsi="Times New Roman" w:eastAsiaTheme="majorEastAsia"/>
                <w:sz w:val="21"/>
                <w:szCs w:val="21"/>
              </w:rPr>
            </w:pP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Maximus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64" w:hRule="atLeast"/>
        </w:trPr>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14</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中央控制系统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6</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控制器系统（含控制器，2个温度探头，及屏蔽线）</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Maximus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15</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进风窗系统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240</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2500双面驱动</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16</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水帘系统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12</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16米长，1.8米高（含防鸟网）</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trPr>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17</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应急通风卷帘</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套</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12</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20米长，1.5米高</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restart"/>
            <w:vAlign w:val="center"/>
          </w:tcPr>
          <w:p>
            <w:pPr>
              <w:spacing w:line="240" w:lineRule="auto"/>
              <w:jc w:val="center"/>
              <w:rPr>
                <w:rFonts w:ascii="Times New Roman" w:hAnsi="Times New Roman" w:eastAsiaTheme="majorEastAsia"/>
                <w:bCs/>
                <w:sz w:val="21"/>
                <w:szCs w:val="21"/>
              </w:rPr>
            </w:pPr>
            <w:r>
              <w:rPr>
                <w:rFonts w:ascii="Times New Roman" w:hAnsi="Times New Roman" w:eastAsiaTheme="majorEastAsia"/>
                <w:bCs/>
                <w:sz w:val="21"/>
                <w:szCs w:val="21"/>
              </w:rPr>
              <w:t>送料系统</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18</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绞龙搭塞链控制器</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个</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36</w:t>
            </w:r>
          </w:p>
        </w:tc>
        <w:tc>
          <w:tcPr>
            <w:tcW w:w="3260" w:type="dxa"/>
            <w:vAlign w:val="center"/>
          </w:tcPr>
          <w:p>
            <w:pPr>
              <w:widowControl/>
              <w:spacing w:line="240" w:lineRule="auto"/>
              <w:jc w:val="center"/>
              <w:rPr>
                <w:rFonts w:ascii="Times New Roman" w:hAnsi="Times New Roman" w:eastAsiaTheme="majorEastAsia"/>
                <w:sz w:val="21"/>
                <w:szCs w:val="21"/>
              </w:rPr>
            </w:pP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Maximus</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19</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驱动装置</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18</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1HP 190/380V 3PH 50HZ 368RPM</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20</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下料装置</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个</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532</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快速下料头（带伸缩管）</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21</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11.5吨料塔</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座</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11.5吨</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22</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6吨料塔</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座</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6吨</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23</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绞龙</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米</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1440</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75mm 柔性绞龙</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科诺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restart"/>
            <w:vAlign w:val="center"/>
          </w:tcPr>
          <w:p>
            <w:pPr>
              <w:spacing w:line="240" w:lineRule="auto"/>
              <w:jc w:val="center"/>
              <w:rPr>
                <w:rFonts w:ascii="Times New Roman" w:hAnsi="Times New Roman" w:eastAsiaTheme="majorEastAsia"/>
                <w:bCs/>
                <w:sz w:val="21"/>
                <w:szCs w:val="21"/>
              </w:rPr>
            </w:pPr>
            <w:r>
              <w:rPr>
                <w:rFonts w:ascii="Times New Roman" w:hAnsi="Times New Roman" w:eastAsiaTheme="majorEastAsia"/>
                <w:bCs/>
                <w:sz w:val="21"/>
                <w:szCs w:val="21"/>
              </w:rPr>
              <w:t>其它</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24</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育肥大栏</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2057</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3.81*5.461</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奥斯盾</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25</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保育大栏</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m</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348</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3.81*5.461</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奥斯盾</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26</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育肥料槽</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个</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192</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双面4位</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奥斯盾</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27</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保育料槽</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个</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256</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双面20位</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奥斯盾</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28</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保育水盆</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个</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96</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双面6位</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奥斯盾</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534" w:type="dxa"/>
            <w:vMerge w:val="continue"/>
            <w:vAlign w:val="center"/>
          </w:tcPr>
          <w:p>
            <w:pPr>
              <w:spacing w:line="240" w:lineRule="auto"/>
              <w:jc w:val="center"/>
              <w:rPr>
                <w:rFonts w:ascii="Times New Roman" w:hAnsi="Times New Roman" w:eastAsiaTheme="majorEastAsia"/>
                <w:b/>
                <w:bCs/>
                <w:sz w:val="21"/>
                <w:szCs w:val="21"/>
              </w:rPr>
            </w:pP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29</w:t>
            </w:r>
          </w:p>
        </w:tc>
        <w:tc>
          <w:tcPr>
            <w:tcW w:w="15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热水机清洗机</w:t>
            </w:r>
          </w:p>
        </w:tc>
        <w:tc>
          <w:tcPr>
            <w:tcW w:w="708"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台</w:t>
            </w:r>
          </w:p>
        </w:tc>
        <w:tc>
          <w:tcPr>
            <w:tcW w:w="709"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6</w:t>
            </w:r>
          </w:p>
        </w:tc>
        <w:tc>
          <w:tcPr>
            <w:tcW w:w="3260"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900~1300L/小时</w:t>
            </w:r>
          </w:p>
        </w:tc>
        <w:tc>
          <w:tcPr>
            <w:tcW w:w="1134" w:type="dxa"/>
            <w:vAlign w:val="center"/>
          </w:tcPr>
          <w:p>
            <w:pPr>
              <w:widowControl/>
              <w:spacing w:line="240" w:lineRule="auto"/>
              <w:jc w:val="center"/>
              <w:rPr>
                <w:rFonts w:ascii="Times New Roman" w:hAnsi="Times New Roman" w:eastAsiaTheme="majorEastAsia"/>
                <w:sz w:val="21"/>
                <w:szCs w:val="21"/>
              </w:rPr>
            </w:pPr>
            <w:r>
              <w:rPr>
                <w:rFonts w:ascii="Times New Roman" w:hAnsi="Times New Roman" w:eastAsiaTheme="majorEastAsia"/>
                <w:sz w:val="21"/>
                <w:szCs w:val="21"/>
              </w:rPr>
              <w:t>德国凯驰</w:t>
            </w:r>
          </w:p>
        </w:tc>
      </w:tr>
    </w:tbl>
    <w:p>
      <w:pPr>
        <w:pStyle w:val="108"/>
      </w:pPr>
      <w:bookmarkStart w:id="108" w:name="_Toc9873323"/>
      <w:r>
        <w:t>2.2.6 原辅材料用量及来源</w:t>
      </w:r>
      <w:bookmarkEnd w:id="108"/>
    </w:p>
    <w:p>
      <w:pPr>
        <w:pStyle w:val="104"/>
      </w:pPr>
      <w:r>
        <w:t>1、猪只主要饲料及用水量</w:t>
      </w:r>
    </w:p>
    <w:p>
      <w:pPr>
        <w:spacing w:line="480" w:lineRule="exact"/>
        <w:ind w:firstLine="482"/>
        <w:rPr>
          <w:rFonts w:ascii="Times New Roman" w:hAnsi="Times New Roman"/>
          <w:sz w:val="24"/>
        </w:rPr>
      </w:pPr>
      <w:r>
        <w:rPr>
          <w:rFonts w:ascii="Times New Roman" w:hAnsi="Times New Roman"/>
          <w:sz w:val="24"/>
        </w:rPr>
        <w:t>由于现有猪只饮水标准给出的范围值较大，本次环评根据企业一期饲养实际喂水量，同时结合标准进行校核，计算本项目实际可行的用水量。企业一期试运行期间饲养猪只7000头，2018年12月12日至2019年3月8日，合计86天，平均用水量为35吨/天（水表流量计29352~32382，绿化用水不计入在内），折合每头猪饮水5L。企业采用猪只自主饮水器喂水，避免猪只非饮水浪费，同时饲养期间无冲洗水，只在全部出栏时才清洗。上述用水量与此生产设计基本相符。考虑到冬季用水量较小，本次计算结果将采用20%的调整系数进行用水量统计。</w:t>
      </w:r>
    </w:p>
    <w:p>
      <w:pPr>
        <w:spacing w:line="480" w:lineRule="exact"/>
        <w:ind w:firstLine="482"/>
        <w:rPr>
          <w:rFonts w:ascii="Times New Roman" w:hAnsi="Times New Roman"/>
          <w:sz w:val="24"/>
        </w:rPr>
      </w:pPr>
      <w:r>
        <w:rPr>
          <w:rFonts w:ascii="Times New Roman" w:hAnsi="Times New Roman"/>
          <w:sz w:val="24"/>
        </w:rPr>
        <w:t>根据存栏数量核算本项目养殖过程中饲料及用水量，结果</w:t>
      </w:r>
      <w:r>
        <w:rPr>
          <w:rFonts w:ascii="Times New Roman" w:hAnsi="Times New Roman"/>
          <w:sz w:val="24"/>
          <w:szCs w:val="24"/>
          <w:lang w:val="zh-CN"/>
        </w:rPr>
        <w:t>详见表</w:t>
      </w:r>
      <w:r>
        <w:rPr>
          <w:rFonts w:ascii="Times New Roman" w:hAnsi="Times New Roman"/>
          <w:sz w:val="24"/>
        </w:rPr>
        <w:t>2.2-5。</w:t>
      </w:r>
    </w:p>
    <w:p>
      <w:pPr>
        <w:tabs>
          <w:tab w:val="left" w:pos="1000"/>
        </w:tabs>
        <w:spacing w:line="480" w:lineRule="exact"/>
        <w:jc w:val="center"/>
        <w:rPr>
          <w:rFonts w:ascii="Times New Roman" w:hAnsi="Times New Roman" w:eastAsia="黑体"/>
          <w:sz w:val="21"/>
          <w:szCs w:val="21"/>
          <w:lang w:val="zh-CN"/>
        </w:rPr>
      </w:pPr>
      <w:r>
        <w:rPr>
          <w:rFonts w:ascii="Times New Roman" w:hAnsi="Times New Roman" w:eastAsia="黑体"/>
          <w:bCs/>
          <w:sz w:val="21"/>
          <w:szCs w:val="21"/>
        </w:rPr>
        <w:t>表2.2-5</w:t>
      </w:r>
      <w:r>
        <w:rPr>
          <w:rFonts w:ascii="Times New Roman" w:hAnsi="Times New Roman" w:eastAsia="黑体"/>
          <w:sz w:val="21"/>
          <w:szCs w:val="21"/>
          <w:lang w:val="zh-CN"/>
        </w:rPr>
        <w:t xml:space="preserve">  主要饲料及水消耗量一览表</w:t>
      </w:r>
    </w:p>
    <w:tbl>
      <w:tblPr>
        <w:tblStyle w:val="90"/>
        <w:tblW w:w="8664"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26"/>
        <w:gridCol w:w="936"/>
        <w:gridCol w:w="802"/>
        <w:gridCol w:w="1292"/>
        <w:gridCol w:w="1080"/>
        <w:gridCol w:w="960"/>
        <w:gridCol w:w="1080"/>
        <w:gridCol w:w="1104"/>
        <w:gridCol w:w="8"/>
        <w:gridCol w:w="97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Merge w:val="restart"/>
            <w:vAlign w:val="center"/>
          </w:tcPr>
          <w:p>
            <w:pPr>
              <w:spacing w:line="260" w:lineRule="exact"/>
              <w:jc w:val="center"/>
              <w:rPr>
                <w:rFonts w:ascii="Times New Roman" w:hAnsi="Times New Roman"/>
                <w:sz w:val="18"/>
                <w:szCs w:val="18"/>
              </w:rPr>
            </w:pPr>
            <w:r>
              <w:rPr>
                <w:rFonts w:ascii="Times New Roman" w:hAnsi="Times New Roman"/>
                <w:sz w:val="18"/>
                <w:szCs w:val="18"/>
              </w:rPr>
              <w:t>序号</w:t>
            </w:r>
          </w:p>
        </w:tc>
        <w:tc>
          <w:tcPr>
            <w:tcW w:w="936" w:type="dxa"/>
            <w:vMerge w:val="restart"/>
            <w:vAlign w:val="center"/>
          </w:tcPr>
          <w:p>
            <w:pPr>
              <w:spacing w:line="260" w:lineRule="exact"/>
              <w:jc w:val="center"/>
              <w:rPr>
                <w:rFonts w:ascii="Times New Roman" w:hAnsi="Times New Roman"/>
                <w:sz w:val="18"/>
                <w:szCs w:val="18"/>
              </w:rPr>
            </w:pPr>
            <w:r>
              <w:rPr>
                <w:rFonts w:ascii="Times New Roman" w:hAnsi="Times New Roman"/>
                <w:sz w:val="18"/>
                <w:szCs w:val="18"/>
              </w:rPr>
              <w:t>名称</w:t>
            </w:r>
          </w:p>
        </w:tc>
        <w:tc>
          <w:tcPr>
            <w:tcW w:w="802" w:type="dxa"/>
            <w:vMerge w:val="restart"/>
            <w:vAlign w:val="center"/>
          </w:tcPr>
          <w:p>
            <w:pPr>
              <w:spacing w:line="260" w:lineRule="exact"/>
              <w:jc w:val="center"/>
              <w:rPr>
                <w:rFonts w:ascii="Times New Roman" w:hAnsi="Times New Roman"/>
                <w:sz w:val="18"/>
                <w:szCs w:val="18"/>
              </w:rPr>
            </w:pPr>
            <w:r>
              <w:rPr>
                <w:rFonts w:ascii="Times New Roman" w:hAnsi="Times New Roman"/>
                <w:sz w:val="18"/>
                <w:szCs w:val="18"/>
              </w:rPr>
              <w:t>数量</w:t>
            </w:r>
          </w:p>
          <w:p>
            <w:pPr>
              <w:spacing w:line="260" w:lineRule="exact"/>
              <w:jc w:val="center"/>
              <w:rPr>
                <w:rFonts w:ascii="Times New Roman" w:hAnsi="Times New Roman"/>
                <w:sz w:val="18"/>
                <w:szCs w:val="18"/>
              </w:rPr>
            </w:pPr>
            <w:r>
              <w:rPr>
                <w:rFonts w:ascii="Times New Roman" w:hAnsi="Times New Roman"/>
                <w:sz w:val="18"/>
                <w:szCs w:val="18"/>
              </w:rPr>
              <w:t>（头）</w:t>
            </w:r>
          </w:p>
        </w:tc>
        <w:tc>
          <w:tcPr>
            <w:tcW w:w="3332" w:type="dxa"/>
            <w:gridSpan w:val="3"/>
            <w:vAlign w:val="center"/>
          </w:tcPr>
          <w:p>
            <w:pPr>
              <w:spacing w:line="260" w:lineRule="exact"/>
              <w:jc w:val="center"/>
              <w:rPr>
                <w:rFonts w:ascii="Times New Roman" w:hAnsi="Times New Roman"/>
                <w:sz w:val="18"/>
                <w:szCs w:val="18"/>
              </w:rPr>
            </w:pPr>
            <w:r>
              <w:rPr>
                <w:rFonts w:ascii="Times New Roman" w:hAnsi="Times New Roman"/>
                <w:sz w:val="18"/>
                <w:szCs w:val="18"/>
              </w:rPr>
              <w:t>饲料消耗量</w:t>
            </w:r>
          </w:p>
        </w:tc>
        <w:tc>
          <w:tcPr>
            <w:tcW w:w="3168" w:type="dxa"/>
            <w:gridSpan w:val="4"/>
            <w:vAlign w:val="center"/>
          </w:tcPr>
          <w:p>
            <w:pPr>
              <w:spacing w:line="260" w:lineRule="exact"/>
              <w:jc w:val="center"/>
              <w:rPr>
                <w:rFonts w:ascii="Times New Roman" w:hAnsi="Times New Roman"/>
                <w:sz w:val="18"/>
                <w:szCs w:val="18"/>
              </w:rPr>
            </w:pPr>
            <w:r>
              <w:rPr>
                <w:rFonts w:ascii="Times New Roman" w:hAnsi="Times New Roman"/>
                <w:sz w:val="18"/>
                <w:szCs w:val="18"/>
              </w:rPr>
              <w:t>用水消耗量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Merge w:val="continue"/>
            <w:vAlign w:val="center"/>
          </w:tcPr>
          <w:p>
            <w:pPr>
              <w:spacing w:line="260" w:lineRule="exact"/>
              <w:jc w:val="center"/>
              <w:rPr>
                <w:rFonts w:ascii="Times New Roman" w:hAnsi="Times New Roman"/>
                <w:sz w:val="18"/>
                <w:szCs w:val="18"/>
              </w:rPr>
            </w:pPr>
          </w:p>
        </w:tc>
        <w:tc>
          <w:tcPr>
            <w:tcW w:w="936" w:type="dxa"/>
            <w:vMerge w:val="continue"/>
            <w:vAlign w:val="center"/>
          </w:tcPr>
          <w:p>
            <w:pPr>
              <w:spacing w:line="260" w:lineRule="exact"/>
              <w:jc w:val="center"/>
              <w:rPr>
                <w:rFonts w:ascii="Times New Roman" w:hAnsi="Times New Roman"/>
                <w:sz w:val="18"/>
                <w:szCs w:val="18"/>
              </w:rPr>
            </w:pPr>
          </w:p>
        </w:tc>
        <w:tc>
          <w:tcPr>
            <w:tcW w:w="802" w:type="dxa"/>
            <w:vMerge w:val="continue"/>
            <w:vAlign w:val="center"/>
          </w:tcPr>
          <w:p>
            <w:pPr>
              <w:spacing w:line="260" w:lineRule="exact"/>
              <w:jc w:val="center"/>
              <w:rPr>
                <w:rFonts w:ascii="Times New Roman" w:hAnsi="Times New Roman"/>
                <w:sz w:val="18"/>
                <w:szCs w:val="18"/>
              </w:rPr>
            </w:pPr>
          </w:p>
        </w:tc>
        <w:tc>
          <w:tcPr>
            <w:tcW w:w="1292" w:type="dxa"/>
            <w:vAlign w:val="center"/>
          </w:tcPr>
          <w:p>
            <w:pPr>
              <w:spacing w:line="260" w:lineRule="exact"/>
              <w:jc w:val="center"/>
              <w:rPr>
                <w:rFonts w:ascii="Times New Roman" w:hAnsi="Times New Roman"/>
                <w:sz w:val="18"/>
                <w:szCs w:val="18"/>
              </w:rPr>
            </w:pPr>
            <w:r>
              <w:rPr>
                <w:rFonts w:ascii="Times New Roman" w:hAnsi="Times New Roman"/>
                <w:sz w:val="18"/>
                <w:szCs w:val="18"/>
              </w:rPr>
              <w:t>饲料定额</w:t>
            </w:r>
          </w:p>
          <w:p>
            <w:pPr>
              <w:spacing w:line="260" w:lineRule="exact"/>
              <w:jc w:val="center"/>
              <w:rPr>
                <w:rFonts w:ascii="Times New Roman" w:hAnsi="Times New Roman"/>
                <w:sz w:val="18"/>
                <w:szCs w:val="18"/>
              </w:rPr>
            </w:pPr>
            <w:r>
              <w:rPr>
                <w:rFonts w:ascii="Times New Roman" w:hAnsi="Times New Roman"/>
                <w:sz w:val="18"/>
                <w:szCs w:val="18"/>
              </w:rPr>
              <w:t>（kg/天·头）</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日消耗量</w:t>
            </w:r>
          </w:p>
          <w:p>
            <w:pPr>
              <w:spacing w:line="260" w:lineRule="exact"/>
              <w:jc w:val="center"/>
              <w:rPr>
                <w:rFonts w:ascii="Times New Roman" w:hAnsi="Times New Roman"/>
                <w:sz w:val="18"/>
                <w:szCs w:val="18"/>
              </w:rPr>
            </w:pPr>
            <w:r>
              <w:rPr>
                <w:rFonts w:ascii="Times New Roman" w:hAnsi="Times New Roman"/>
                <w:sz w:val="18"/>
                <w:szCs w:val="18"/>
              </w:rPr>
              <w:t>（kg/天）</w:t>
            </w:r>
          </w:p>
        </w:tc>
        <w:tc>
          <w:tcPr>
            <w:tcW w:w="960" w:type="dxa"/>
            <w:vAlign w:val="center"/>
          </w:tcPr>
          <w:p>
            <w:pPr>
              <w:spacing w:line="260" w:lineRule="exact"/>
              <w:jc w:val="center"/>
              <w:rPr>
                <w:rFonts w:ascii="Times New Roman" w:hAnsi="Times New Roman"/>
                <w:sz w:val="18"/>
                <w:szCs w:val="18"/>
              </w:rPr>
            </w:pPr>
            <w:r>
              <w:rPr>
                <w:rFonts w:ascii="Times New Roman" w:hAnsi="Times New Roman"/>
                <w:sz w:val="18"/>
                <w:szCs w:val="18"/>
              </w:rPr>
              <w:t>年消耗量</w:t>
            </w:r>
          </w:p>
          <w:p>
            <w:pPr>
              <w:spacing w:line="260" w:lineRule="exact"/>
              <w:jc w:val="center"/>
              <w:rPr>
                <w:rFonts w:ascii="Times New Roman" w:hAnsi="Times New Roman"/>
                <w:sz w:val="18"/>
                <w:szCs w:val="18"/>
              </w:rPr>
            </w:pPr>
            <w:r>
              <w:rPr>
                <w:rFonts w:ascii="Times New Roman" w:hAnsi="Times New Roman"/>
                <w:sz w:val="18"/>
                <w:szCs w:val="18"/>
              </w:rPr>
              <w:t>（吨/年）</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水定额</w:t>
            </w:r>
          </w:p>
          <w:p>
            <w:pPr>
              <w:spacing w:line="260" w:lineRule="exact"/>
              <w:jc w:val="center"/>
              <w:rPr>
                <w:rFonts w:ascii="Times New Roman" w:hAnsi="Times New Roman"/>
                <w:sz w:val="18"/>
                <w:szCs w:val="18"/>
              </w:rPr>
            </w:pPr>
            <w:r>
              <w:rPr>
                <w:rFonts w:ascii="Times New Roman" w:hAnsi="Times New Roman"/>
                <w:sz w:val="18"/>
                <w:szCs w:val="18"/>
              </w:rPr>
              <w:t>（L/天·头）</w:t>
            </w:r>
          </w:p>
        </w:tc>
        <w:tc>
          <w:tcPr>
            <w:tcW w:w="1112" w:type="dxa"/>
            <w:gridSpan w:val="2"/>
            <w:vAlign w:val="center"/>
          </w:tcPr>
          <w:p>
            <w:pPr>
              <w:spacing w:line="260" w:lineRule="exact"/>
              <w:jc w:val="center"/>
              <w:rPr>
                <w:rFonts w:ascii="Times New Roman" w:hAnsi="Times New Roman"/>
                <w:sz w:val="18"/>
                <w:szCs w:val="18"/>
              </w:rPr>
            </w:pPr>
            <w:r>
              <w:rPr>
                <w:rFonts w:ascii="Times New Roman" w:hAnsi="Times New Roman"/>
                <w:sz w:val="18"/>
                <w:szCs w:val="18"/>
              </w:rPr>
              <w:t>日消耗量</w:t>
            </w:r>
          </w:p>
          <w:p>
            <w:pPr>
              <w:spacing w:line="260" w:lineRule="exact"/>
              <w:jc w:val="center"/>
              <w:rPr>
                <w:rFonts w:ascii="Times New Roman" w:hAnsi="Times New Roman"/>
                <w:sz w:val="18"/>
                <w:szCs w:val="18"/>
              </w:rPr>
            </w:pPr>
            <w:r>
              <w:rPr>
                <w:rFonts w:ascii="Times New Roman" w:hAnsi="Times New Roman"/>
                <w:sz w:val="18"/>
                <w:szCs w:val="18"/>
              </w:rPr>
              <w:t>（L/天）</w:t>
            </w:r>
          </w:p>
        </w:tc>
        <w:tc>
          <w:tcPr>
            <w:tcW w:w="976" w:type="dxa"/>
            <w:vAlign w:val="center"/>
          </w:tcPr>
          <w:p>
            <w:pPr>
              <w:spacing w:line="260" w:lineRule="exact"/>
              <w:jc w:val="center"/>
              <w:rPr>
                <w:rFonts w:ascii="Times New Roman" w:hAnsi="Times New Roman"/>
                <w:sz w:val="18"/>
                <w:szCs w:val="18"/>
              </w:rPr>
            </w:pPr>
            <w:r>
              <w:rPr>
                <w:rFonts w:ascii="Times New Roman" w:hAnsi="Times New Roman"/>
                <w:sz w:val="18"/>
                <w:szCs w:val="18"/>
              </w:rPr>
              <w:t>年消耗量（吨/年）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spacing w:line="260" w:lineRule="exact"/>
              <w:jc w:val="center"/>
              <w:rPr>
                <w:rFonts w:ascii="Times New Roman" w:hAnsi="Times New Roman"/>
                <w:sz w:val="18"/>
                <w:szCs w:val="18"/>
              </w:rPr>
            </w:pPr>
            <w:r>
              <w:rPr>
                <w:rFonts w:ascii="Times New Roman" w:hAnsi="Times New Roman"/>
                <w:sz w:val="18"/>
                <w:szCs w:val="18"/>
              </w:rPr>
              <w:t>1</w:t>
            </w:r>
          </w:p>
        </w:tc>
        <w:tc>
          <w:tcPr>
            <w:tcW w:w="936" w:type="dxa"/>
            <w:vAlign w:val="center"/>
          </w:tcPr>
          <w:p>
            <w:pPr>
              <w:spacing w:line="260" w:lineRule="exact"/>
              <w:jc w:val="center"/>
              <w:rPr>
                <w:rFonts w:ascii="Times New Roman" w:hAnsi="Times New Roman"/>
                <w:sz w:val="18"/>
                <w:szCs w:val="18"/>
              </w:rPr>
            </w:pPr>
            <w:r>
              <w:rPr>
                <w:rFonts w:ascii="Times New Roman" w:hAnsi="Times New Roman"/>
                <w:sz w:val="18"/>
                <w:szCs w:val="18"/>
              </w:rPr>
              <w:t>保育猪</w:t>
            </w:r>
          </w:p>
        </w:tc>
        <w:tc>
          <w:tcPr>
            <w:tcW w:w="802" w:type="dxa"/>
            <w:vAlign w:val="center"/>
          </w:tcPr>
          <w:p>
            <w:pPr>
              <w:spacing w:line="260" w:lineRule="exact"/>
              <w:jc w:val="center"/>
              <w:rPr>
                <w:rFonts w:ascii="Times New Roman" w:hAnsi="Times New Roman"/>
                <w:sz w:val="18"/>
                <w:szCs w:val="18"/>
              </w:rPr>
            </w:pPr>
            <w:r>
              <w:rPr>
                <w:rFonts w:ascii="Times New Roman" w:hAnsi="Times New Roman"/>
                <w:sz w:val="18"/>
                <w:szCs w:val="18"/>
              </w:rPr>
              <w:t xml:space="preserve">21500 </w:t>
            </w:r>
          </w:p>
        </w:tc>
        <w:tc>
          <w:tcPr>
            <w:tcW w:w="1292" w:type="dxa"/>
            <w:vAlign w:val="center"/>
          </w:tcPr>
          <w:p>
            <w:pPr>
              <w:spacing w:line="260" w:lineRule="exact"/>
              <w:jc w:val="center"/>
              <w:rPr>
                <w:rFonts w:ascii="Times New Roman" w:hAnsi="Times New Roman"/>
                <w:sz w:val="18"/>
                <w:szCs w:val="18"/>
              </w:rPr>
            </w:pPr>
            <w:r>
              <w:rPr>
                <w:rFonts w:ascii="Times New Roman" w:hAnsi="Times New Roman"/>
                <w:sz w:val="18"/>
                <w:szCs w:val="18"/>
              </w:rPr>
              <w:t>0.4</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8600</w:t>
            </w:r>
          </w:p>
        </w:tc>
        <w:tc>
          <w:tcPr>
            <w:tcW w:w="960" w:type="dxa"/>
            <w:vAlign w:val="center"/>
          </w:tcPr>
          <w:p>
            <w:pPr>
              <w:spacing w:line="260" w:lineRule="exact"/>
              <w:jc w:val="center"/>
              <w:rPr>
                <w:rFonts w:ascii="Times New Roman" w:hAnsi="Times New Roman"/>
                <w:sz w:val="18"/>
                <w:szCs w:val="18"/>
              </w:rPr>
            </w:pPr>
            <w:r>
              <w:rPr>
                <w:rFonts w:ascii="Times New Roman" w:hAnsi="Times New Roman"/>
                <w:sz w:val="18"/>
                <w:szCs w:val="18"/>
              </w:rPr>
              <w:t>3139</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0.5</w:t>
            </w:r>
          </w:p>
        </w:tc>
        <w:tc>
          <w:tcPr>
            <w:tcW w:w="1104" w:type="dxa"/>
            <w:vAlign w:val="center"/>
          </w:tcPr>
          <w:p>
            <w:pPr>
              <w:spacing w:line="260" w:lineRule="exact"/>
              <w:jc w:val="center"/>
              <w:rPr>
                <w:rFonts w:ascii="Times New Roman" w:hAnsi="Times New Roman"/>
                <w:sz w:val="18"/>
                <w:szCs w:val="18"/>
              </w:rPr>
            </w:pPr>
            <w:r>
              <w:rPr>
                <w:rFonts w:ascii="Times New Roman" w:hAnsi="Times New Roman"/>
                <w:sz w:val="18"/>
                <w:szCs w:val="18"/>
              </w:rPr>
              <w:t>10750</w:t>
            </w:r>
          </w:p>
        </w:tc>
        <w:tc>
          <w:tcPr>
            <w:tcW w:w="984" w:type="dxa"/>
            <w:gridSpan w:val="2"/>
            <w:vAlign w:val="center"/>
          </w:tcPr>
          <w:p>
            <w:pPr>
              <w:spacing w:line="260" w:lineRule="exact"/>
              <w:jc w:val="center"/>
              <w:rPr>
                <w:rFonts w:ascii="Times New Roman" w:hAnsi="Times New Roman"/>
                <w:sz w:val="18"/>
                <w:szCs w:val="18"/>
              </w:rPr>
            </w:pPr>
            <w:r>
              <w:rPr>
                <w:rFonts w:ascii="Times New Roman" w:hAnsi="Times New Roman"/>
                <w:sz w:val="18"/>
                <w:szCs w:val="18"/>
              </w:rPr>
              <w:t>3923.8</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spacing w:line="260" w:lineRule="exact"/>
              <w:jc w:val="center"/>
              <w:rPr>
                <w:rFonts w:ascii="Times New Roman" w:hAnsi="Times New Roman"/>
                <w:sz w:val="18"/>
                <w:szCs w:val="18"/>
              </w:rPr>
            </w:pPr>
            <w:r>
              <w:rPr>
                <w:rFonts w:ascii="Times New Roman" w:hAnsi="Times New Roman"/>
                <w:sz w:val="18"/>
                <w:szCs w:val="18"/>
              </w:rPr>
              <w:t>2</w:t>
            </w:r>
          </w:p>
        </w:tc>
        <w:tc>
          <w:tcPr>
            <w:tcW w:w="936" w:type="dxa"/>
            <w:vAlign w:val="center"/>
          </w:tcPr>
          <w:p>
            <w:pPr>
              <w:spacing w:line="260" w:lineRule="exact"/>
              <w:jc w:val="center"/>
              <w:rPr>
                <w:rFonts w:ascii="Times New Roman" w:hAnsi="Times New Roman"/>
                <w:sz w:val="18"/>
                <w:szCs w:val="18"/>
              </w:rPr>
            </w:pPr>
            <w:r>
              <w:rPr>
                <w:rFonts w:ascii="Times New Roman" w:hAnsi="Times New Roman"/>
                <w:sz w:val="18"/>
                <w:szCs w:val="18"/>
              </w:rPr>
              <w:t>育肥猪</w:t>
            </w:r>
          </w:p>
        </w:tc>
        <w:tc>
          <w:tcPr>
            <w:tcW w:w="802" w:type="dxa"/>
            <w:vAlign w:val="center"/>
          </w:tcPr>
          <w:p>
            <w:pPr>
              <w:spacing w:line="260" w:lineRule="exact"/>
              <w:jc w:val="center"/>
              <w:rPr>
                <w:rFonts w:ascii="Times New Roman" w:hAnsi="Times New Roman"/>
                <w:sz w:val="18"/>
                <w:szCs w:val="18"/>
              </w:rPr>
            </w:pPr>
            <w:r>
              <w:rPr>
                <w:rFonts w:ascii="Times New Roman" w:hAnsi="Times New Roman"/>
                <w:sz w:val="18"/>
                <w:szCs w:val="18"/>
              </w:rPr>
              <w:t>15600</w:t>
            </w:r>
          </w:p>
        </w:tc>
        <w:tc>
          <w:tcPr>
            <w:tcW w:w="1292" w:type="dxa"/>
            <w:vAlign w:val="center"/>
          </w:tcPr>
          <w:p>
            <w:pPr>
              <w:spacing w:line="260" w:lineRule="exact"/>
              <w:jc w:val="center"/>
              <w:rPr>
                <w:rFonts w:ascii="Times New Roman" w:hAnsi="Times New Roman"/>
                <w:sz w:val="18"/>
                <w:szCs w:val="18"/>
              </w:rPr>
            </w:pPr>
            <w:r>
              <w:rPr>
                <w:rFonts w:ascii="Times New Roman" w:hAnsi="Times New Roman"/>
                <w:sz w:val="18"/>
                <w:szCs w:val="18"/>
              </w:rPr>
              <w:t>2</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31200</w:t>
            </w:r>
          </w:p>
        </w:tc>
        <w:tc>
          <w:tcPr>
            <w:tcW w:w="960" w:type="dxa"/>
            <w:vAlign w:val="center"/>
          </w:tcPr>
          <w:p>
            <w:pPr>
              <w:spacing w:line="260" w:lineRule="exact"/>
              <w:jc w:val="center"/>
              <w:rPr>
                <w:rFonts w:ascii="Times New Roman" w:hAnsi="Times New Roman"/>
                <w:sz w:val="18"/>
                <w:szCs w:val="18"/>
              </w:rPr>
            </w:pPr>
            <w:r>
              <w:rPr>
                <w:rFonts w:ascii="Times New Roman" w:hAnsi="Times New Roman"/>
                <w:sz w:val="18"/>
                <w:szCs w:val="18"/>
              </w:rPr>
              <w:t>11388</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5</w:t>
            </w:r>
          </w:p>
        </w:tc>
        <w:tc>
          <w:tcPr>
            <w:tcW w:w="1104" w:type="dxa"/>
            <w:vAlign w:val="center"/>
          </w:tcPr>
          <w:p>
            <w:pPr>
              <w:spacing w:line="260" w:lineRule="exact"/>
              <w:jc w:val="center"/>
              <w:rPr>
                <w:rFonts w:ascii="Times New Roman" w:hAnsi="Times New Roman"/>
                <w:sz w:val="18"/>
                <w:szCs w:val="18"/>
              </w:rPr>
            </w:pPr>
            <w:r>
              <w:rPr>
                <w:rFonts w:ascii="Times New Roman" w:hAnsi="Times New Roman"/>
                <w:sz w:val="18"/>
                <w:szCs w:val="18"/>
              </w:rPr>
              <w:t>78000</w:t>
            </w:r>
          </w:p>
        </w:tc>
        <w:tc>
          <w:tcPr>
            <w:tcW w:w="984" w:type="dxa"/>
            <w:gridSpan w:val="2"/>
            <w:vAlign w:val="center"/>
          </w:tcPr>
          <w:p>
            <w:pPr>
              <w:spacing w:line="260" w:lineRule="exact"/>
              <w:jc w:val="center"/>
              <w:rPr>
                <w:rFonts w:ascii="Times New Roman" w:hAnsi="Times New Roman"/>
                <w:sz w:val="18"/>
                <w:szCs w:val="18"/>
              </w:rPr>
            </w:pPr>
            <w:r>
              <w:rPr>
                <w:rFonts w:ascii="Times New Roman" w:hAnsi="Times New Roman"/>
                <w:sz w:val="18"/>
                <w:szCs w:val="18"/>
              </w:rPr>
              <w:t>28470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spacing w:line="260" w:lineRule="exact"/>
              <w:jc w:val="center"/>
              <w:rPr>
                <w:rFonts w:ascii="Times New Roman" w:hAnsi="Times New Roman"/>
                <w:sz w:val="18"/>
                <w:szCs w:val="18"/>
              </w:rPr>
            </w:pPr>
          </w:p>
        </w:tc>
        <w:tc>
          <w:tcPr>
            <w:tcW w:w="936" w:type="dxa"/>
            <w:vAlign w:val="center"/>
          </w:tcPr>
          <w:p>
            <w:pPr>
              <w:spacing w:line="260" w:lineRule="exact"/>
              <w:jc w:val="center"/>
              <w:rPr>
                <w:rFonts w:ascii="Times New Roman" w:hAnsi="Times New Roman"/>
                <w:sz w:val="18"/>
                <w:szCs w:val="18"/>
              </w:rPr>
            </w:pPr>
            <w:r>
              <w:rPr>
                <w:rFonts w:ascii="Times New Roman" w:hAnsi="Times New Roman"/>
                <w:sz w:val="18"/>
                <w:szCs w:val="18"/>
              </w:rPr>
              <w:t>∑折合</w:t>
            </w:r>
          </w:p>
          <w:p>
            <w:pPr>
              <w:spacing w:line="260" w:lineRule="exact"/>
              <w:jc w:val="center"/>
              <w:rPr>
                <w:rFonts w:ascii="Times New Roman" w:hAnsi="Times New Roman"/>
                <w:sz w:val="18"/>
                <w:szCs w:val="18"/>
              </w:rPr>
            </w:pPr>
            <w:r>
              <w:rPr>
                <w:rFonts w:ascii="Times New Roman" w:hAnsi="Times New Roman"/>
                <w:sz w:val="18"/>
                <w:szCs w:val="18"/>
              </w:rPr>
              <w:t>大猪</w:t>
            </w:r>
          </w:p>
        </w:tc>
        <w:tc>
          <w:tcPr>
            <w:tcW w:w="802" w:type="dxa"/>
            <w:vAlign w:val="center"/>
          </w:tcPr>
          <w:p>
            <w:pPr>
              <w:spacing w:line="260" w:lineRule="exact"/>
              <w:jc w:val="center"/>
              <w:rPr>
                <w:rFonts w:ascii="Times New Roman" w:hAnsi="Times New Roman"/>
                <w:sz w:val="18"/>
                <w:szCs w:val="18"/>
              </w:rPr>
            </w:pPr>
            <w:r>
              <w:rPr>
                <w:rFonts w:ascii="Times New Roman" w:hAnsi="Times New Roman"/>
                <w:sz w:val="18"/>
                <w:szCs w:val="18"/>
              </w:rPr>
              <w:t>19900</w:t>
            </w:r>
          </w:p>
        </w:tc>
        <w:tc>
          <w:tcPr>
            <w:tcW w:w="1292" w:type="dxa"/>
            <w:vAlign w:val="center"/>
          </w:tcPr>
          <w:p>
            <w:pPr>
              <w:spacing w:line="260" w:lineRule="exact"/>
              <w:jc w:val="center"/>
              <w:rPr>
                <w:rFonts w:ascii="Times New Roman" w:hAnsi="Times New Roman"/>
                <w:sz w:val="18"/>
                <w:szCs w:val="18"/>
              </w:rPr>
            </w:pPr>
            <w:r>
              <w:rPr>
                <w:rFonts w:ascii="Times New Roman" w:hAnsi="Times New Roman"/>
                <w:sz w:val="18"/>
                <w:szCs w:val="18"/>
              </w:rPr>
              <w:t>－</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39800</w:t>
            </w:r>
          </w:p>
        </w:tc>
        <w:tc>
          <w:tcPr>
            <w:tcW w:w="960" w:type="dxa"/>
            <w:vAlign w:val="center"/>
          </w:tcPr>
          <w:p>
            <w:pPr>
              <w:spacing w:line="260" w:lineRule="exact"/>
              <w:jc w:val="center"/>
              <w:rPr>
                <w:rFonts w:ascii="Times New Roman" w:hAnsi="Times New Roman"/>
                <w:sz w:val="18"/>
                <w:szCs w:val="18"/>
              </w:rPr>
            </w:pPr>
            <w:r>
              <w:rPr>
                <w:rFonts w:ascii="Times New Roman" w:hAnsi="Times New Roman"/>
                <w:sz w:val="18"/>
                <w:szCs w:val="18"/>
              </w:rPr>
              <w:t>14527</w:t>
            </w:r>
          </w:p>
        </w:tc>
        <w:tc>
          <w:tcPr>
            <w:tcW w:w="1080" w:type="dxa"/>
            <w:vAlign w:val="center"/>
          </w:tcPr>
          <w:p>
            <w:pPr>
              <w:spacing w:line="260" w:lineRule="exact"/>
              <w:jc w:val="center"/>
              <w:rPr>
                <w:rFonts w:ascii="Times New Roman" w:hAnsi="Times New Roman"/>
                <w:sz w:val="18"/>
                <w:szCs w:val="18"/>
              </w:rPr>
            </w:pPr>
            <w:r>
              <w:rPr>
                <w:rFonts w:ascii="Times New Roman" w:hAnsi="Times New Roman"/>
                <w:sz w:val="18"/>
                <w:szCs w:val="18"/>
              </w:rPr>
              <w:t>－</w:t>
            </w:r>
          </w:p>
        </w:tc>
        <w:tc>
          <w:tcPr>
            <w:tcW w:w="1104" w:type="dxa"/>
            <w:vAlign w:val="center"/>
          </w:tcPr>
          <w:p>
            <w:pPr>
              <w:spacing w:line="260" w:lineRule="exact"/>
              <w:jc w:val="center"/>
              <w:rPr>
                <w:rFonts w:ascii="Times New Roman" w:hAnsi="Times New Roman"/>
                <w:sz w:val="18"/>
                <w:szCs w:val="18"/>
              </w:rPr>
            </w:pPr>
            <w:r>
              <w:rPr>
                <w:rFonts w:ascii="Times New Roman" w:hAnsi="Times New Roman"/>
                <w:sz w:val="18"/>
                <w:szCs w:val="18"/>
              </w:rPr>
              <w:t>88750</w:t>
            </w:r>
          </w:p>
        </w:tc>
        <w:tc>
          <w:tcPr>
            <w:tcW w:w="984" w:type="dxa"/>
            <w:gridSpan w:val="2"/>
            <w:vAlign w:val="center"/>
          </w:tcPr>
          <w:p>
            <w:pPr>
              <w:spacing w:line="260" w:lineRule="exact"/>
              <w:jc w:val="center"/>
              <w:rPr>
                <w:rFonts w:ascii="Times New Roman" w:hAnsi="Times New Roman"/>
                <w:sz w:val="18"/>
                <w:szCs w:val="18"/>
              </w:rPr>
            </w:pPr>
            <w:r>
              <w:rPr>
                <w:rFonts w:ascii="Times New Roman" w:hAnsi="Times New Roman"/>
                <w:sz w:val="18"/>
                <w:szCs w:val="18"/>
              </w:rPr>
              <w:t>32393.8</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6" w:type="dxa"/>
            <w:vAlign w:val="center"/>
          </w:tcPr>
          <w:p>
            <w:pPr>
              <w:spacing w:line="260" w:lineRule="exact"/>
              <w:jc w:val="center"/>
              <w:rPr>
                <w:rFonts w:ascii="Times New Roman" w:hAnsi="Times New Roman"/>
                <w:sz w:val="18"/>
                <w:szCs w:val="18"/>
              </w:rPr>
            </w:pPr>
          </w:p>
        </w:tc>
        <w:tc>
          <w:tcPr>
            <w:tcW w:w="936" w:type="dxa"/>
            <w:vAlign w:val="center"/>
          </w:tcPr>
          <w:p>
            <w:pPr>
              <w:spacing w:line="260" w:lineRule="exact"/>
              <w:jc w:val="center"/>
              <w:rPr>
                <w:rFonts w:ascii="Times New Roman" w:hAnsi="Times New Roman"/>
                <w:sz w:val="18"/>
                <w:szCs w:val="18"/>
              </w:rPr>
            </w:pPr>
            <w:r>
              <w:rPr>
                <w:rFonts w:ascii="Times New Roman" w:hAnsi="Times New Roman"/>
                <w:sz w:val="18"/>
                <w:szCs w:val="18"/>
              </w:rPr>
              <w:t>调整系数20%</w:t>
            </w:r>
          </w:p>
        </w:tc>
        <w:tc>
          <w:tcPr>
            <w:tcW w:w="802" w:type="dxa"/>
            <w:vAlign w:val="center"/>
          </w:tcPr>
          <w:p>
            <w:pPr>
              <w:spacing w:line="260" w:lineRule="exact"/>
              <w:jc w:val="center"/>
              <w:rPr>
                <w:rFonts w:ascii="Times New Roman" w:hAnsi="Times New Roman"/>
                <w:sz w:val="18"/>
                <w:szCs w:val="18"/>
              </w:rPr>
            </w:pPr>
          </w:p>
        </w:tc>
        <w:tc>
          <w:tcPr>
            <w:tcW w:w="1292" w:type="dxa"/>
            <w:vAlign w:val="center"/>
          </w:tcPr>
          <w:p>
            <w:pPr>
              <w:spacing w:line="260" w:lineRule="exact"/>
              <w:jc w:val="center"/>
              <w:rPr>
                <w:rFonts w:ascii="Times New Roman" w:hAnsi="Times New Roman"/>
                <w:sz w:val="18"/>
                <w:szCs w:val="18"/>
              </w:rPr>
            </w:pPr>
          </w:p>
        </w:tc>
        <w:tc>
          <w:tcPr>
            <w:tcW w:w="1080" w:type="dxa"/>
            <w:vAlign w:val="center"/>
          </w:tcPr>
          <w:p>
            <w:pPr>
              <w:spacing w:line="260" w:lineRule="exact"/>
              <w:jc w:val="center"/>
              <w:rPr>
                <w:rFonts w:ascii="Times New Roman" w:hAnsi="Times New Roman"/>
                <w:sz w:val="18"/>
                <w:szCs w:val="18"/>
              </w:rPr>
            </w:pPr>
          </w:p>
        </w:tc>
        <w:tc>
          <w:tcPr>
            <w:tcW w:w="960" w:type="dxa"/>
            <w:vAlign w:val="center"/>
          </w:tcPr>
          <w:p>
            <w:pPr>
              <w:spacing w:line="260" w:lineRule="exact"/>
              <w:jc w:val="center"/>
              <w:rPr>
                <w:rFonts w:ascii="Times New Roman" w:hAnsi="Times New Roman"/>
                <w:sz w:val="18"/>
                <w:szCs w:val="18"/>
              </w:rPr>
            </w:pPr>
          </w:p>
        </w:tc>
        <w:tc>
          <w:tcPr>
            <w:tcW w:w="1080" w:type="dxa"/>
            <w:vAlign w:val="center"/>
          </w:tcPr>
          <w:p>
            <w:pPr>
              <w:spacing w:line="260" w:lineRule="exact"/>
              <w:jc w:val="center"/>
              <w:rPr>
                <w:rFonts w:ascii="Times New Roman" w:hAnsi="Times New Roman"/>
                <w:sz w:val="18"/>
                <w:szCs w:val="18"/>
              </w:rPr>
            </w:pPr>
          </w:p>
        </w:tc>
        <w:tc>
          <w:tcPr>
            <w:tcW w:w="1104" w:type="dxa"/>
            <w:vAlign w:val="center"/>
          </w:tcPr>
          <w:p>
            <w:pPr>
              <w:spacing w:line="260" w:lineRule="exact"/>
              <w:jc w:val="center"/>
              <w:rPr>
                <w:rFonts w:ascii="Times New Roman" w:hAnsi="Times New Roman"/>
                <w:sz w:val="18"/>
                <w:szCs w:val="18"/>
              </w:rPr>
            </w:pPr>
            <w:r>
              <w:rPr>
                <w:rFonts w:ascii="Times New Roman" w:hAnsi="Times New Roman"/>
                <w:sz w:val="18"/>
                <w:szCs w:val="18"/>
              </w:rPr>
              <w:t>106500</w:t>
            </w:r>
          </w:p>
        </w:tc>
        <w:tc>
          <w:tcPr>
            <w:tcW w:w="984" w:type="dxa"/>
            <w:gridSpan w:val="2"/>
            <w:vAlign w:val="center"/>
          </w:tcPr>
          <w:p>
            <w:pPr>
              <w:spacing w:line="260" w:lineRule="exact"/>
              <w:jc w:val="center"/>
              <w:rPr>
                <w:rFonts w:ascii="Times New Roman" w:hAnsi="Times New Roman"/>
                <w:sz w:val="18"/>
                <w:szCs w:val="18"/>
              </w:rPr>
            </w:pPr>
            <w:r>
              <w:rPr>
                <w:rFonts w:ascii="Times New Roman" w:hAnsi="Times New Roman"/>
                <w:sz w:val="18"/>
                <w:szCs w:val="18"/>
              </w:rPr>
              <w:t>38872.6</w:t>
            </w:r>
          </w:p>
        </w:tc>
      </w:tr>
    </w:tbl>
    <w:p>
      <w:pPr>
        <w:tabs>
          <w:tab w:val="left" w:pos="810"/>
        </w:tabs>
        <w:spacing w:line="300" w:lineRule="atLeast"/>
        <w:rPr>
          <w:rFonts w:ascii="Times New Roman" w:hAnsi="Times New Roman" w:eastAsia="黑体"/>
          <w:bCs/>
          <w:sz w:val="18"/>
          <w:szCs w:val="18"/>
        </w:rPr>
      </w:pPr>
      <w:r>
        <w:rPr>
          <w:rFonts w:hint="eastAsia" w:ascii="宋体" w:hAnsi="宋体" w:cs="宋体"/>
          <w:sz w:val="18"/>
          <w:szCs w:val="18"/>
        </w:rPr>
        <w:t>※</w:t>
      </w:r>
      <w:r>
        <w:rPr>
          <w:rFonts w:ascii="Times New Roman" w:hAnsi="Times New Roman"/>
          <w:sz w:val="18"/>
          <w:szCs w:val="18"/>
        </w:rPr>
        <w:t>：年消耗量以365天计。</w:t>
      </w:r>
    </w:p>
    <w:p>
      <w:pPr>
        <w:pStyle w:val="104"/>
      </w:pPr>
      <w:r>
        <w:t>2、主要原辅料消耗及来源</w:t>
      </w:r>
    </w:p>
    <w:p>
      <w:pPr>
        <w:spacing w:line="480" w:lineRule="exact"/>
        <w:rPr>
          <w:rFonts w:ascii="Times New Roman" w:hAnsi="Times New Roman"/>
          <w:sz w:val="24"/>
          <w:szCs w:val="24"/>
        </w:rPr>
      </w:pPr>
      <w:r>
        <w:rPr>
          <w:rFonts w:ascii="Times New Roman" w:hAnsi="Times New Roman"/>
          <w:sz w:val="24"/>
          <w:szCs w:val="24"/>
        </w:rPr>
        <w:t>项目主要原辅材料用量及来源见表2.2-6。</w:t>
      </w:r>
    </w:p>
    <w:p>
      <w:pPr>
        <w:pStyle w:val="154"/>
        <w:adjustRightInd w:val="0"/>
        <w:spacing w:line="480" w:lineRule="exact"/>
        <w:ind w:firstLine="0"/>
        <w:jc w:val="center"/>
        <w:rPr>
          <w:rFonts w:ascii="Times New Roman" w:hAnsi="Times New Roman" w:eastAsia="黑体" w:cs="Times New Roman"/>
          <w:b w:val="0"/>
          <w:sz w:val="21"/>
          <w:szCs w:val="21"/>
        </w:rPr>
      </w:pPr>
      <w:r>
        <w:rPr>
          <w:rFonts w:ascii="Times New Roman" w:hAnsi="Times New Roman" w:eastAsia="黑体" w:cs="Times New Roman"/>
          <w:b w:val="0"/>
          <w:sz w:val="21"/>
          <w:szCs w:val="21"/>
        </w:rPr>
        <w:t>表2.2-6  项目主要原辅材料消耗表</w:t>
      </w:r>
    </w:p>
    <w:tbl>
      <w:tblPr>
        <w:tblStyle w:val="90"/>
        <w:tblW w:w="827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07"/>
        <w:gridCol w:w="2939"/>
        <w:gridCol w:w="1821"/>
        <w:gridCol w:w="250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Align w:val="center"/>
          </w:tcPr>
          <w:p>
            <w:pPr>
              <w:spacing w:line="260" w:lineRule="exact"/>
              <w:jc w:val="center"/>
              <w:rPr>
                <w:rFonts w:ascii="Times New Roman" w:hAnsi="Times New Roman"/>
                <w:sz w:val="18"/>
                <w:szCs w:val="18"/>
              </w:rPr>
            </w:pPr>
            <w:r>
              <w:rPr>
                <w:rFonts w:ascii="Times New Roman" w:hAnsi="Times New Roman"/>
                <w:sz w:val="18"/>
                <w:szCs w:val="18"/>
              </w:rPr>
              <w:t>项目</w:t>
            </w: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名称</w:t>
            </w:r>
          </w:p>
        </w:tc>
        <w:tc>
          <w:tcPr>
            <w:tcW w:w="1821" w:type="dxa"/>
            <w:vAlign w:val="center"/>
          </w:tcPr>
          <w:p>
            <w:pPr>
              <w:spacing w:line="260" w:lineRule="exact"/>
              <w:jc w:val="center"/>
              <w:rPr>
                <w:rFonts w:ascii="Times New Roman" w:hAnsi="Times New Roman"/>
                <w:sz w:val="18"/>
                <w:szCs w:val="18"/>
              </w:rPr>
            </w:pPr>
            <w:r>
              <w:rPr>
                <w:rFonts w:ascii="Times New Roman" w:hAnsi="Times New Roman"/>
                <w:sz w:val="18"/>
                <w:szCs w:val="18"/>
              </w:rPr>
              <w:t>消耗量（t/a）</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来源</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Align w:val="center"/>
          </w:tcPr>
          <w:p>
            <w:pPr>
              <w:spacing w:line="260" w:lineRule="exact"/>
              <w:jc w:val="center"/>
              <w:rPr>
                <w:rFonts w:ascii="Times New Roman" w:hAnsi="Times New Roman"/>
                <w:sz w:val="18"/>
                <w:szCs w:val="18"/>
              </w:rPr>
            </w:pPr>
            <w:r>
              <w:rPr>
                <w:rFonts w:ascii="Times New Roman" w:hAnsi="Times New Roman"/>
                <w:sz w:val="18"/>
                <w:szCs w:val="18"/>
              </w:rPr>
              <w:t>原料</w:t>
            </w: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仔猪</w:t>
            </w:r>
          </w:p>
        </w:tc>
        <w:tc>
          <w:tcPr>
            <w:tcW w:w="1821" w:type="dxa"/>
            <w:vAlign w:val="center"/>
          </w:tcPr>
          <w:p>
            <w:pPr>
              <w:spacing w:line="260" w:lineRule="exact"/>
              <w:jc w:val="center"/>
              <w:rPr>
                <w:rFonts w:ascii="Times New Roman" w:hAnsi="Times New Roman"/>
                <w:sz w:val="18"/>
                <w:szCs w:val="18"/>
              </w:rPr>
            </w:pPr>
            <w:r>
              <w:rPr>
                <w:rFonts w:ascii="Times New Roman" w:hAnsi="Times New Roman"/>
                <w:sz w:val="18"/>
                <w:szCs w:val="18"/>
              </w:rPr>
              <w:t>57720只</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集团繁育场提供</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Merge w:val="restart"/>
            <w:vAlign w:val="center"/>
          </w:tcPr>
          <w:p>
            <w:pPr>
              <w:spacing w:line="260" w:lineRule="exact"/>
              <w:jc w:val="center"/>
              <w:rPr>
                <w:rFonts w:ascii="Times New Roman" w:hAnsi="Times New Roman"/>
                <w:sz w:val="18"/>
                <w:szCs w:val="18"/>
              </w:rPr>
            </w:pPr>
            <w:r>
              <w:rPr>
                <w:rFonts w:ascii="Times New Roman" w:hAnsi="Times New Roman"/>
                <w:sz w:val="18"/>
                <w:szCs w:val="18"/>
              </w:rPr>
              <w:t>辅料</w:t>
            </w: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成品饲料</w:t>
            </w:r>
          </w:p>
        </w:tc>
        <w:tc>
          <w:tcPr>
            <w:tcW w:w="1821" w:type="dxa"/>
            <w:vMerge w:val="restart"/>
            <w:vAlign w:val="center"/>
          </w:tcPr>
          <w:p>
            <w:pPr>
              <w:spacing w:line="260" w:lineRule="exact"/>
              <w:jc w:val="center"/>
              <w:rPr>
                <w:rFonts w:ascii="Times New Roman" w:hAnsi="Times New Roman"/>
                <w:bCs/>
                <w:sz w:val="18"/>
                <w:szCs w:val="18"/>
              </w:rPr>
            </w:pPr>
            <w:r>
              <w:rPr>
                <w:rFonts w:ascii="Times New Roman" w:hAnsi="Times New Roman"/>
                <w:bCs/>
                <w:sz w:val="18"/>
                <w:szCs w:val="18"/>
              </w:rPr>
              <w:t>14527</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集团饲料公司提供</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Merge w:val="continue"/>
            <w:vAlign w:val="center"/>
          </w:tcPr>
          <w:p>
            <w:pPr>
              <w:spacing w:line="260" w:lineRule="exact"/>
              <w:jc w:val="center"/>
              <w:rPr>
                <w:rFonts w:ascii="Times New Roman" w:hAnsi="Times New Roman"/>
                <w:sz w:val="18"/>
                <w:szCs w:val="18"/>
              </w:rPr>
            </w:pP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微量元素、维生素等</w:t>
            </w:r>
          </w:p>
        </w:tc>
        <w:tc>
          <w:tcPr>
            <w:tcW w:w="1821" w:type="dxa"/>
            <w:vMerge w:val="continue"/>
            <w:vAlign w:val="center"/>
          </w:tcPr>
          <w:p>
            <w:pPr>
              <w:spacing w:line="260" w:lineRule="exact"/>
              <w:jc w:val="center"/>
              <w:rPr>
                <w:rFonts w:ascii="Times New Roman" w:hAnsi="Times New Roman"/>
                <w:sz w:val="18"/>
                <w:szCs w:val="18"/>
              </w:rPr>
            </w:pP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外购</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Merge w:val="restart"/>
            <w:vAlign w:val="center"/>
          </w:tcPr>
          <w:p>
            <w:pPr>
              <w:spacing w:line="260" w:lineRule="exact"/>
              <w:jc w:val="center"/>
              <w:rPr>
                <w:rFonts w:ascii="Times New Roman" w:hAnsi="Times New Roman"/>
                <w:sz w:val="18"/>
                <w:szCs w:val="18"/>
              </w:rPr>
            </w:pPr>
            <w:r>
              <w:rPr>
                <w:rFonts w:ascii="Times New Roman" w:hAnsi="Times New Roman"/>
                <w:sz w:val="18"/>
                <w:szCs w:val="18"/>
              </w:rPr>
              <w:t>其他</w:t>
            </w: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消毒剂（戊二醛、苯扎溴铵、月三苄甲氯铵、聚微酮碘等）</w:t>
            </w:r>
          </w:p>
        </w:tc>
        <w:tc>
          <w:tcPr>
            <w:tcW w:w="1821" w:type="dxa"/>
            <w:vAlign w:val="center"/>
          </w:tcPr>
          <w:p>
            <w:pPr>
              <w:spacing w:line="260" w:lineRule="exact"/>
              <w:jc w:val="center"/>
              <w:rPr>
                <w:rFonts w:ascii="Times New Roman" w:hAnsi="Times New Roman"/>
                <w:sz w:val="18"/>
                <w:szCs w:val="18"/>
              </w:rPr>
            </w:pPr>
            <w:r>
              <w:rPr>
                <w:rFonts w:ascii="Times New Roman" w:hAnsi="Times New Roman"/>
                <w:sz w:val="18"/>
                <w:szCs w:val="18"/>
              </w:rPr>
              <w:t>0.5</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外购</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Merge w:val="continue"/>
            <w:vAlign w:val="center"/>
          </w:tcPr>
          <w:p>
            <w:pPr>
              <w:spacing w:line="260" w:lineRule="exact"/>
              <w:jc w:val="center"/>
              <w:rPr>
                <w:rFonts w:ascii="Times New Roman" w:hAnsi="Times New Roman"/>
                <w:sz w:val="18"/>
                <w:szCs w:val="18"/>
              </w:rPr>
            </w:pP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疫苗、兽药</w:t>
            </w:r>
          </w:p>
        </w:tc>
        <w:tc>
          <w:tcPr>
            <w:tcW w:w="1821" w:type="dxa"/>
            <w:vAlign w:val="center"/>
          </w:tcPr>
          <w:p>
            <w:pPr>
              <w:spacing w:line="260" w:lineRule="exact"/>
              <w:jc w:val="center"/>
              <w:rPr>
                <w:rFonts w:ascii="Times New Roman" w:hAnsi="Times New Roman"/>
                <w:sz w:val="18"/>
                <w:szCs w:val="18"/>
              </w:rPr>
            </w:pPr>
            <w:r>
              <w:rPr>
                <w:rFonts w:ascii="Times New Roman" w:hAnsi="Times New Roman"/>
                <w:szCs w:val="21"/>
              </w:rPr>
              <w:t>/</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当地防疫站</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Merge w:val="restart"/>
            <w:vAlign w:val="center"/>
          </w:tcPr>
          <w:p>
            <w:pPr>
              <w:spacing w:line="260" w:lineRule="exact"/>
              <w:jc w:val="center"/>
              <w:rPr>
                <w:rFonts w:ascii="Times New Roman" w:hAnsi="Times New Roman"/>
                <w:sz w:val="18"/>
                <w:szCs w:val="18"/>
              </w:rPr>
            </w:pPr>
            <w:r>
              <w:rPr>
                <w:rFonts w:ascii="Times New Roman" w:hAnsi="Times New Roman"/>
                <w:sz w:val="18"/>
                <w:szCs w:val="18"/>
              </w:rPr>
              <w:t>能源</w:t>
            </w: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电</w:t>
            </w:r>
          </w:p>
        </w:tc>
        <w:tc>
          <w:tcPr>
            <w:tcW w:w="1821" w:type="dxa"/>
            <w:vAlign w:val="center"/>
          </w:tcPr>
          <w:p>
            <w:pPr>
              <w:spacing w:line="260" w:lineRule="exact"/>
              <w:jc w:val="center"/>
              <w:rPr>
                <w:rFonts w:ascii="Times New Roman" w:hAnsi="Times New Roman"/>
                <w:sz w:val="18"/>
                <w:szCs w:val="18"/>
              </w:rPr>
            </w:pPr>
            <w:r>
              <w:rPr>
                <w:rFonts w:ascii="Times New Roman" w:hAnsi="Times New Roman"/>
                <w:sz w:val="18"/>
                <w:szCs w:val="18"/>
              </w:rPr>
              <w:t>1000万Kwh/a</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由市政供电系统供给，另自备一台250KV变压器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07" w:type="dxa"/>
            <w:vMerge w:val="continue"/>
            <w:vAlign w:val="center"/>
          </w:tcPr>
          <w:p>
            <w:pPr>
              <w:spacing w:line="260" w:lineRule="exact"/>
              <w:jc w:val="center"/>
              <w:rPr>
                <w:rFonts w:ascii="Times New Roman" w:hAnsi="Times New Roman"/>
                <w:sz w:val="18"/>
                <w:szCs w:val="18"/>
              </w:rPr>
            </w:pPr>
          </w:p>
        </w:tc>
        <w:tc>
          <w:tcPr>
            <w:tcW w:w="2939" w:type="dxa"/>
            <w:vAlign w:val="center"/>
          </w:tcPr>
          <w:p>
            <w:pPr>
              <w:spacing w:line="260" w:lineRule="exact"/>
              <w:jc w:val="center"/>
              <w:rPr>
                <w:rFonts w:ascii="Times New Roman" w:hAnsi="Times New Roman"/>
                <w:sz w:val="18"/>
                <w:szCs w:val="18"/>
              </w:rPr>
            </w:pPr>
            <w:r>
              <w:rPr>
                <w:rFonts w:ascii="Times New Roman" w:hAnsi="Times New Roman"/>
                <w:sz w:val="18"/>
                <w:szCs w:val="18"/>
              </w:rPr>
              <w:t>水</w:t>
            </w:r>
          </w:p>
        </w:tc>
        <w:tc>
          <w:tcPr>
            <w:tcW w:w="1821" w:type="dxa"/>
            <w:vAlign w:val="center"/>
          </w:tcPr>
          <w:p>
            <w:pPr>
              <w:spacing w:line="260" w:lineRule="exact"/>
              <w:jc w:val="center"/>
              <w:rPr>
                <w:rFonts w:ascii="Times New Roman" w:hAnsi="Times New Roman"/>
                <w:sz w:val="18"/>
                <w:szCs w:val="18"/>
              </w:rPr>
            </w:pPr>
            <w:r>
              <w:rPr>
                <w:rFonts w:ascii="Times New Roman" w:hAnsi="Times New Roman"/>
                <w:sz w:val="18"/>
                <w:szCs w:val="18"/>
              </w:rPr>
              <w:t>40150</w:t>
            </w:r>
          </w:p>
        </w:tc>
        <w:tc>
          <w:tcPr>
            <w:tcW w:w="2505" w:type="dxa"/>
            <w:vAlign w:val="center"/>
          </w:tcPr>
          <w:p>
            <w:pPr>
              <w:spacing w:line="260" w:lineRule="exact"/>
              <w:jc w:val="center"/>
              <w:rPr>
                <w:rFonts w:ascii="Times New Roman" w:hAnsi="Times New Roman"/>
                <w:sz w:val="18"/>
                <w:szCs w:val="18"/>
              </w:rPr>
            </w:pPr>
            <w:r>
              <w:rPr>
                <w:rFonts w:ascii="Times New Roman" w:hAnsi="Times New Roman"/>
                <w:sz w:val="18"/>
                <w:szCs w:val="18"/>
              </w:rPr>
              <w:t>自来水</w:t>
            </w:r>
          </w:p>
        </w:tc>
      </w:tr>
    </w:tbl>
    <w:p>
      <w:pPr>
        <w:pStyle w:val="108"/>
      </w:pPr>
      <w:bookmarkStart w:id="109" w:name="_Toc9873324"/>
      <w:r>
        <w:t>2.2.7 供排水及用水平衡分析</w:t>
      </w:r>
      <w:bookmarkEnd w:id="109"/>
    </w:p>
    <w:p>
      <w:pPr>
        <w:spacing w:line="460" w:lineRule="atLeast"/>
        <w:ind w:firstLine="482" w:firstLineChars="200"/>
        <w:rPr>
          <w:rFonts w:ascii="Times New Roman" w:hAnsi="Times New Roman"/>
          <w:b/>
          <w:sz w:val="24"/>
          <w:szCs w:val="24"/>
        </w:rPr>
      </w:pPr>
      <w:r>
        <w:rPr>
          <w:rFonts w:ascii="Times New Roman" w:hAnsi="Times New Roman"/>
          <w:b/>
          <w:sz w:val="24"/>
          <w:szCs w:val="24"/>
        </w:rPr>
        <w:t>1、供水</w:t>
      </w:r>
    </w:p>
    <w:p>
      <w:pPr>
        <w:spacing w:line="460" w:lineRule="atLeast"/>
        <w:ind w:firstLine="480" w:firstLineChars="200"/>
        <w:rPr>
          <w:rFonts w:ascii="Times New Roman" w:hAnsi="Times New Roman"/>
          <w:sz w:val="24"/>
          <w:szCs w:val="24"/>
        </w:rPr>
      </w:pPr>
      <w:r>
        <w:rPr>
          <w:rFonts w:ascii="Times New Roman" w:hAnsi="Times New Roman"/>
          <w:sz w:val="24"/>
          <w:szCs w:val="24"/>
        </w:rPr>
        <w:t>项目供水采用场内地下水，总用水量约110.35m</w:t>
      </w:r>
      <w:r>
        <w:rPr>
          <w:rFonts w:ascii="Times New Roman" w:hAnsi="Times New Roman"/>
          <w:sz w:val="24"/>
          <w:szCs w:val="24"/>
          <w:vertAlign w:val="superscript"/>
        </w:rPr>
        <w:t>3</w:t>
      </w:r>
      <w:r>
        <w:rPr>
          <w:rFonts w:ascii="Times New Roman" w:hAnsi="Times New Roman"/>
          <w:sz w:val="24"/>
          <w:szCs w:val="24"/>
        </w:rPr>
        <w:t>/d。其中：猪只饮用水106m</w:t>
      </w:r>
      <w:r>
        <w:rPr>
          <w:rFonts w:ascii="Times New Roman" w:hAnsi="Times New Roman"/>
          <w:sz w:val="24"/>
          <w:szCs w:val="24"/>
          <w:vertAlign w:val="superscript"/>
        </w:rPr>
        <w:t>3</w:t>
      </w:r>
      <w:r>
        <w:rPr>
          <w:rFonts w:ascii="Times New Roman" w:hAnsi="Times New Roman"/>
          <w:sz w:val="24"/>
          <w:szCs w:val="24"/>
        </w:rPr>
        <w:t>/d，职工生活用水新增0.6m</w:t>
      </w:r>
      <w:r>
        <w:rPr>
          <w:rFonts w:ascii="Times New Roman" w:hAnsi="Times New Roman"/>
          <w:sz w:val="24"/>
          <w:szCs w:val="24"/>
          <w:vertAlign w:val="superscript"/>
        </w:rPr>
        <w:t>3</w:t>
      </w:r>
      <w:r>
        <w:rPr>
          <w:rFonts w:ascii="Times New Roman" w:hAnsi="Times New Roman"/>
          <w:sz w:val="24"/>
          <w:szCs w:val="24"/>
        </w:rPr>
        <w:t>/d，食堂用水新增1.25m</w:t>
      </w:r>
      <w:r>
        <w:rPr>
          <w:rFonts w:ascii="Times New Roman" w:hAnsi="Times New Roman"/>
          <w:sz w:val="24"/>
          <w:szCs w:val="24"/>
          <w:vertAlign w:val="superscript"/>
        </w:rPr>
        <w:t>3</w:t>
      </w:r>
      <w:r>
        <w:rPr>
          <w:rFonts w:ascii="Times New Roman" w:hAnsi="Times New Roman"/>
          <w:sz w:val="24"/>
          <w:szCs w:val="24"/>
        </w:rPr>
        <w:t>/d，消毒用水1 m</w:t>
      </w:r>
      <w:r>
        <w:rPr>
          <w:rFonts w:ascii="Times New Roman" w:hAnsi="Times New Roman"/>
          <w:sz w:val="24"/>
          <w:szCs w:val="24"/>
          <w:vertAlign w:val="superscript"/>
        </w:rPr>
        <w:t>3</w:t>
      </w:r>
      <w:r>
        <w:rPr>
          <w:rFonts w:ascii="Times New Roman" w:hAnsi="Times New Roman"/>
          <w:sz w:val="24"/>
          <w:szCs w:val="24"/>
        </w:rPr>
        <w:t>/d。本项目育肥猪不冲洗，夏季降温采用通风恒温。每次出栏后会对猪舍进行一次冲洗和消毒，冲洗用水量按照 6L/m</w:t>
      </w:r>
      <w:r>
        <w:rPr>
          <w:rFonts w:ascii="Times New Roman" w:hAnsi="Times New Roman"/>
          <w:sz w:val="24"/>
          <w:szCs w:val="24"/>
          <w:vertAlign w:val="superscript"/>
        </w:rPr>
        <w:t xml:space="preserve">2 </w:t>
      </w:r>
      <w:r>
        <w:rPr>
          <w:rFonts w:ascii="Times New Roman" w:hAnsi="Times New Roman"/>
          <w:sz w:val="24"/>
          <w:szCs w:val="24"/>
        </w:rPr>
        <w:t>·次计，每次需冲洗的猪舍建筑面积为24200m</w:t>
      </w:r>
      <w:r>
        <w:rPr>
          <w:rFonts w:ascii="Times New Roman" w:hAnsi="Times New Roman"/>
          <w:sz w:val="24"/>
          <w:szCs w:val="24"/>
          <w:vertAlign w:val="superscript"/>
        </w:rPr>
        <w:t>2</w:t>
      </w:r>
      <w:r>
        <w:rPr>
          <w:rFonts w:ascii="Times New Roman" w:hAnsi="Times New Roman"/>
          <w:sz w:val="24"/>
          <w:szCs w:val="24"/>
        </w:rPr>
        <w:t xml:space="preserve"> ，则猪舍冲洗用水量 145.2m </w:t>
      </w:r>
      <w:r>
        <w:rPr>
          <w:rFonts w:ascii="Times New Roman" w:hAnsi="Times New Roman"/>
          <w:sz w:val="24"/>
          <w:szCs w:val="24"/>
          <w:vertAlign w:val="superscript"/>
        </w:rPr>
        <w:t>3</w:t>
      </w:r>
      <w:r>
        <w:rPr>
          <w:rFonts w:ascii="Times New Roman" w:hAnsi="Times New Roman"/>
          <w:sz w:val="24"/>
          <w:szCs w:val="24"/>
        </w:rPr>
        <w:t xml:space="preserve"> /次。一年按 4次计算，年冲洗用水量为580.6m</w:t>
      </w:r>
      <w:r>
        <w:rPr>
          <w:rFonts w:ascii="Times New Roman" w:hAnsi="Times New Roman"/>
          <w:sz w:val="24"/>
          <w:szCs w:val="24"/>
          <w:vertAlign w:val="superscript"/>
        </w:rPr>
        <w:t>3</w:t>
      </w:r>
      <w:r>
        <w:rPr>
          <w:rFonts w:ascii="Times New Roman" w:hAnsi="Times New Roman"/>
          <w:sz w:val="24"/>
          <w:szCs w:val="24"/>
        </w:rPr>
        <w:t>，平均1.59m</w:t>
      </w:r>
      <w:r>
        <w:rPr>
          <w:rFonts w:ascii="Times New Roman" w:hAnsi="Times New Roman"/>
          <w:sz w:val="24"/>
          <w:szCs w:val="24"/>
          <w:vertAlign w:val="superscript"/>
        </w:rPr>
        <w:t>3</w:t>
      </w:r>
      <w:r>
        <w:rPr>
          <w:rFonts w:ascii="Times New Roman" w:hAnsi="Times New Roman"/>
          <w:sz w:val="24"/>
          <w:szCs w:val="24"/>
        </w:rPr>
        <w:t>/d，按15%损耗计算，排放量1.35 m</w:t>
      </w:r>
      <w:r>
        <w:rPr>
          <w:rFonts w:ascii="Times New Roman" w:hAnsi="Times New Roman"/>
          <w:sz w:val="24"/>
          <w:szCs w:val="24"/>
          <w:vertAlign w:val="superscript"/>
        </w:rPr>
        <w:t>3</w:t>
      </w:r>
      <w:r>
        <w:rPr>
          <w:rFonts w:ascii="Times New Roman" w:hAnsi="Times New Roman"/>
          <w:sz w:val="24"/>
          <w:szCs w:val="24"/>
        </w:rPr>
        <w:t>/d。</w:t>
      </w:r>
    </w:p>
    <w:p>
      <w:pPr>
        <w:spacing w:line="460" w:lineRule="exact"/>
        <w:ind w:firstLine="482" w:firstLineChars="200"/>
        <w:rPr>
          <w:rFonts w:ascii="Times New Roman" w:hAnsi="Times New Roman"/>
          <w:b/>
          <w:sz w:val="24"/>
          <w:szCs w:val="24"/>
        </w:rPr>
      </w:pPr>
      <w:r>
        <w:rPr>
          <w:rFonts w:ascii="Times New Roman" w:hAnsi="Times New Roman"/>
          <w:b/>
          <w:sz w:val="24"/>
          <w:szCs w:val="24"/>
        </w:rPr>
        <w:t>2、排水</w:t>
      </w:r>
    </w:p>
    <w:p>
      <w:pPr>
        <w:spacing w:line="460" w:lineRule="exact"/>
        <w:ind w:firstLine="480" w:firstLineChars="200"/>
        <w:rPr>
          <w:rFonts w:ascii="Times New Roman" w:hAnsi="Times New Roman"/>
          <w:sz w:val="24"/>
          <w:szCs w:val="24"/>
        </w:rPr>
      </w:pPr>
      <w:r>
        <w:rPr>
          <w:rFonts w:ascii="Times New Roman" w:hAnsi="Times New Roman"/>
          <w:sz w:val="24"/>
          <w:szCs w:val="24"/>
        </w:rPr>
        <w:t>本项目采用雨污分流制。</w:t>
      </w:r>
    </w:p>
    <w:p>
      <w:pPr>
        <w:spacing w:line="460" w:lineRule="exact"/>
        <w:ind w:firstLine="480" w:firstLineChars="200"/>
        <w:rPr>
          <w:rFonts w:ascii="Times New Roman" w:hAnsi="Times New Roman"/>
          <w:sz w:val="24"/>
          <w:szCs w:val="24"/>
        </w:rPr>
      </w:pPr>
      <w:r>
        <w:rPr>
          <w:rFonts w:ascii="Times New Roman" w:hAnsi="Times New Roman"/>
          <w:sz w:val="24"/>
          <w:szCs w:val="24"/>
        </w:rPr>
        <w:t>产生废水、废渣的场所如污水处理设施、干粪堆场等设遮雨棚；外排水沟加盖；圈舍、废水处理系统等地面全部进行硬化、防渗等处理。</w:t>
      </w:r>
    </w:p>
    <w:p>
      <w:pPr>
        <w:spacing w:line="460" w:lineRule="exact"/>
        <w:ind w:firstLine="480" w:firstLineChars="200"/>
        <w:rPr>
          <w:rFonts w:ascii="Times New Roman" w:hAnsi="Times New Roman"/>
          <w:sz w:val="24"/>
          <w:szCs w:val="24"/>
        </w:rPr>
      </w:pPr>
      <w:r>
        <w:rPr>
          <w:rFonts w:ascii="Times New Roman" w:hAnsi="Times New Roman"/>
          <w:sz w:val="24"/>
          <w:szCs w:val="24"/>
        </w:rPr>
        <w:t>本项目猪只尿液排泄量为65.67m</w:t>
      </w:r>
      <w:r>
        <w:rPr>
          <w:rFonts w:ascii="Times New Roman" w:hAnsi="Times New Roman"/>
          <w:sz w:val="24"/>
          <w:szCs w:val="24"/>
          <w:vertAlign w:val="superscript"/>
        </w:rPr>
        <w:t>3</w:t>
      </w:r>
      <w:r>
        <w:rPr>
          <w:rFonts w:ascii="Times New Roman" w:hAnsi="Times New Roman"/>
          <w:sz w:val="24"/>
          <w:szCs w:val="24"/>
        </w:rPr>
        <w:t>/d。本项目养殖废水量为尿液65.67+冲洗水1.35=67.02 m</w:t>
      </w:r>
      <w:r>
        <w:rPr>
          <w:rFonts w:ascii="Times New Roman" w:hAnsi="Times New Roman"/>
          <w:sz w:val="24"/>
          <w:szCs w:val="24"/>
          <w:vertAlign w:val="superscript"/>
        </w:rPr>
        <w:t>3</w:t>
      </w:r>
      <w:r>
        <w:rPr>
          <w:rFonts w:ascii="Times New Roman" w:hAnsi="Times New Roman"/>
          <w:sz w:val="24"/>
          <w:szCs w:val="24"/>
        </w:rPr>
        <w:t>/d。另外，按照70%人工清粪效率计算，其中有11.94m</w:t>
      </w:r>
      <w:r>
        <w:rPr>
          <w:rFonts w:ascii="Times New Roman" w:hAnsi="Times New Roman"/>
          <w:sz w:val="24"/>
          <w:szCs w:val="24"/>
          <w:vertAlign w:val="superscript"/>
        </w:rPr>
        <w:t>3</w:t>
      </w:r>
      <w:r>
        <w:rPr>
          <w:rFonts w:ascii="Times New Roman" w:hAnsi="Times New Roman"/>
          <w:sz w:val="24"/>
          <w:szCs w:val="24"/>
        </w:rPr>
        <w:t>/d，4358.1m</w:t>
      </w:r>
      <w:r>
        <w:rPr>
          <w:rFonts w:ascii="Times New Roman" w:hAnsi="Times New Roman"/>
          <w:sz w:val="24"/>
          <w:szCs w:val="24"/>
          <w:vertAlign w:val="superscript"/>
        </w:rPr>
        <w:t>3</w:t>
      </w:r>
      <w:r>
        <w:rPr>
          <w:rFonts w:ascii="Times New Roman" w:hAnsi="Times New Roman"/>
          <w:sz w:val="24"/>
          <w:szCs w:val="24"/>
        </w:rPr>
        <w:t>/a进入厌氧发酵池，最后需用于土地施肥。即养殖废水总量为78.96 m</w:t>
      </w:r>
      <w:r>
        <w:rPr>
          <w:rFonts w:ascii="Times New Roman" w:hAnsi="Times New Roman"/>
          <w:sz w:val="24"/>
          <w:szCs w:val="24"/>
          <w:vertAlign w:val="superscript"/>
        </w:rPr>
        <w:t>3</w:t>
      </w:r>
      <w:r>
        <w:rPr>
          <w:rFonts w:ascii="Times New Roman" w:hAnsi="Times New Roman"/>
          <w:sz w:val="24"/>
          <w:szCs w:val="24"/>
        </w:rPr>
        <w:t>/d，28820.4m</w:t>
      </w:r>
      <w:r>
        <w:rPr>
          <w:rFonts w:ascii="Times New Roman" w:hAnsi="Times New Roman"/>
          <w:sz w:val="24"/>
          <w:szCs w:val="24"/>
          <w:vertAlign w:val="superscript"/>
        </w:rPr>
        <w:t>3</w:t>
      </w:r>
      <w:r>
        <w:rPr>
          <w:rFonts w:ascii="Times New Roman" w:hAnsi="Times New Roman"/>
          <w:sz w:val="24"/>
          <w:szCs w:val="24"/>
        </w:rPr>
        <w:t>/a。另外，加上生活废水，消毒水，食堂废水后全厂废水80.63m</w:t>
      </w:r>
      <w:r>
        <w:rPr>
          <w:rFonts w:ascii="Times New Roman" w:hAnsi="Times New Roman"/>
          <w:sz w:val="24"/>
          <w:szCs w:val="24"/>
          <w:vertAlign w:val="superscript"/>
        </w:rPr>
        <w:t>3</w:t>
      </w:r>
      <w:r>
        <w:rPr>
          <w:rFonts w:ascii="Times New Roman" w:hAnsi="Times New Roman"/>
          <w:sz w:val="24"/>
          <w:szCs w:val="24"/>
        </w:rPr>
        <w:t>/d，29429.95m</w:t>
      </w:r>
      <w:r>
        <w:rPr>
          <w:rFonts w:ascii="Times New Roman" w:hAnsi="Times New Roman"/>
          <w:sz w:val="24"/>
          <w:szCs w:val="24"/>
          <w:vertAlign w:val="superscript"/>
        </w:rPr>
        <w:t>3</w:t>
      </w:r>
      <w:r>
        <w:rPr>
          <w:rFonts w:ascii="Times New Roman" w:hAnsi="Times New Roman"/>
          <w:sz w:val="24"/>
          <w:szCs w:val="24"/>
        </w:rPr>
        <w:t>/a。</w:t>
      </w:r>
    </w:p>
    <w:p>
      <w:pPr>
        <w:tabs>
          <w:tab w:val="left" w:pos="7225"/>
        </w:tabs>
        <w:snapToGrid w:val="0"/>
        <w:spacing w:line="300" w:lineRule="exact"/>
        <w:ind w:firstLine="403"/>
        <w:rPr>
          <w:rFonts w:ascii="Times New Roman" w:hAnsi="Times New Roman"/>
          <w:sz w:val="24"/>
        </w:rPr>
      </w:pPr>
      <w:r>
        <w:rPr>
          <w:rFonts w:ascii="Times New Roman" w:hAnsi="Times New Roman"/>
        </w:rPr>
        <mc:AlternateContent>
          <mc:Choice Requires="wpg">
            <w:drawing>
              <wp:anchor distT="0" distB="0" distL="114300" distR="114300" simplePos="0" relativeHeight="251670528" behindDoc="0" locked="0" layoutInCell="1" allowOverlap="1">
                <wp:simplePos x="0" y="0"/>
                <wp:positionH relativeFrom="column">
                  <wp:posOffset>207010</wp:posOffset>
                </wp:positionH>
                <wp:positionV relativeFrom="paragraph">
                  <wp:posOffset>127635</wp:posOffset>
                </wp:positionV>
                <wp:extent cx="5201920" cy="2801620"/>
                <wp:effectExtent l="0" t="0" r="17780" b="17780"/>
                <wp:wrapNone/>
                <wp:docPr id="233" name="组合 233"/>
                <wp:cNvGraphicFramePr/>
                <a:graphic xmlns:a="http://schemas.openxmlformats.org/drawingml/2006/main">
                  <a:graphicData uri="http://schemas.microsoft.com/office/word/2010/wordprocessingGroup">
                    <wpg:wgp>
                      <wpg:cNvGrpSpPr/>
                      <wpg:grpSpPr>
                        <a:xfrm>
                          <a:off x="0" y="0"/>
                          <a:ext cx="5201920" cy="2801620"/>
                          <a:chOff x="14999" y="36474"/>
                          <a:chExt cx="8192" cy="4412"/>
                        </a:xfrm>
                      </wpg:grpSpPr>
                      <wps:wsp>
                        <wps:cNvPr id="234" name="文本框 2775"/>
                        <wps:cNvSpPr txBox="1">
                          <a:spLocks noChangeArrowheads="1"/>
                        </wps:cNvSpPr>
                        <wps:spPr bwMode="auto">
                          <a:xfrm>
                            <a:off x="16779" y="37930"/>
                            <a:ext cx="1448" cy="467"/>
                          </a:xfrm>
                          <a:prstGeom prst="rect">
                            <a:avLst/>
                          </a:prstGeom>
                          <a:noFill/>
                          <a:ln w="9525">
                            <a:solidFill>
                              <a:srgbClr val="000000"/>
                            </a:solidFill>
                            <a:miter lim="800000"/>
                            <a:tailEnd type="none" w="sm" len="sm"/>
                          </a:ln>
                          <a:effectLst/>
                        </wps:spPr>
                        <wps:txbx>
                          <w:txbxContent>
                            <w:p>
                              <w:pPr>
                                <w:pStyle w:val="13"/>
                                <w:jc w:val="center"/>
                                <w:rPr>
                                  <w:rFonts w:ascii="宋体" w:hAnsi="宋体"/>
                                  <w:szCs w:val="21"/>
                                </w:rPr>
                              </w:pPr>
                              <w:r>
                                <w:rPr>
                                  <w:rFonts w:hint="eastAsia" w:ascii="宋体" w:hAnsi="宋体"/>
                                  <w:szCs w:val="21"/>
                                </w:rPr>
                                <w:t>猪只饮用水</w:t>
                              </w:r>
                            </w:p>
                          </w:txbxContent>
                        </wps:txbx>
                        <wps:bodyPr rot="0" vert="horz" wrap="square" lIns="0" tIns="0" rIns="0" bIns="0" anchor="t" anchorCtr="0" upright="1">
                          <a:noAutofit/>
                        </wps:bodyPr>
                      </wps:wsp>
                      <wps:wsp>
                        <wps:cNvPr id="235" name="任意多边形 2776"/>
                        <wps:cNvSpPr/>
                        <wps:spPr bwMode="auto">
                          <a:xfrm>
                            <a:off x="16899" y="37618"/>
                            <a:ext cx="547" cy="261"/>
                          </a:xfrm>
                          <a:custGeom>
                            <a:avLst/>
                            <a:gdLst>
                              <a:gd name="T0" fmla="*/ 0 w 390"/>
                              <a:gd name="T1" fmla="*/ 390 h 390"/>
                              <a:gd name="T2" fmla="*/ 166 w 390"/>
                              <a:gd name="T3" fmla="*/ 90 h 390"/>
                              <a:gd name="T4" fmla="*/ 196 w 390"/>
                              <a:gd name="T5" fmla="*/ 210 h 390"/>
                              <a:gd name="T6" fmla="*/ 390 w 390"/>
                              <a:gd name="T7" fmla="*/ 0 h 390"/>
                            </a:gdLst>
                            <a:ahLst/>
                            <a:cxnLst>
                              <a:cxn ang="0">
                                <a:pos x="T0" y="T1"/>
                              </a:cxn>
                              <a:cxn ang="0">
                                <a:pos x="T2" y="T3"/>
                              </a:cxn>
                              <a:cxn ang="0">
                                <a:pos x="T4" y="T5"/>
                              </a:cxn>
                              <a:cxn ang="0">
                                <a:pos x="T6" y="T7"/>
                              </a:cxn>
                            </a:cxnLst>
                            <a:rect l="0" t="0" r="r" b="b"/>
                            <a:pathLst>
                              <a:path w="390" h="390">
                                <a:moveTo>
                                  <a:pt x="0" y="390"/>
                                </a:moveTo>
                                <a:cubicBezTo>
                                  <a:pt x="66" y="255"/>
                                  <a:pt x="133" y="120"/>
                                  <a:pt x="166" y="90"/>
                                </a:cubicBezTo>
                                <a:cubicBezTo>
                                  <a:pt x="199" y="60"/>
                                  <a:pt x="159" y="225"/>
                                  <a:pt x="196" y="210"/>
                                </a:cubicBezTo>
                                <a:cubicBezTo>
                                  <a:pt x="233" y="195"/>
                                  <a:pt x="358" y="40"/>
                                  <a:pt x="390" y="0"/>
                                </a:cubicBezTo>
                              </a:path>
                            </a:pathLst>
                          </a:custGeom>
                          <a:noFill/>
                          <a:ln w="9525">
                            <a:solidFill>
                              <a:srgbClr val="000000"/>
                            </a:solidFill>
                            <a:round/>
                            <a:tailEnd type="triangle" w="sm" len="sm"/>
                          </a:ln>
                          <a:effectLst/>
                        </wps:spPr>
                        <wps:bodyPr rot="0" vert="horz" wrap="square" lIns="91440" tIns="45720" rIns="91440" bIns="45720" anchor="t" anchorCtr="0" upright="1">
                          <a:noAutofit/>
                        </wps:bodyPr>
                      </wps:wsp>
                      <wps:wsp>
                        <wps:cNvPr id="236" name="文本框 2777"/>
                        <wps:cNvSpPr txBox="1">
                          <a:spLocks noChangeArrowheads="1"/>
                        </wps:cNvSpPr>
                        <wps:spPr bwMode="auto">
                          <a:xfrm>
                            <a:off x="16231" y="37795"/>
                            <a:ext cx="444" cy="343"/>
                          </a:xfrm>
                          <a:prstGeom prst="rect">
                            <a:avLst/>
                          </a:prstGeom>
                          <a:noFill/>
                          <a:ln>
                            <a:noFill/>
                          </a:ln>
                          <a:effectLst/>
                        </wps:spPr>
                        <wps:txbx>
                          <w:txbxContent>
                            <w:p>
                              <w:pPr>
                                <w:rPr>
                                  <w:sz w:val="18"/>
                                  <w:szCs w:val="18"/>
                                </w:rPr>
                              </w:pPr>
                              <w:r>
                                <w:rPr>
                                  <w:rFonts w:hint="eastAsia"/>
                                  <w:sz w:val="18"/>
                                  <w:szCs w:val="18"/>
                                </w:rPr>
                                <w:t>106</w:t>
                              </w:r>
                            </w:p>
                          </w:txbxContent>
                        </wps:txbx>
                        <wps:bodyPr rot="0" vert="horz" wrap="square" lIns="0" tIns="0" rIns="0" bIns="0" anchor="t" anchorCtr="0" upright="1">
                          <a:noAutofit/>
                        </wps:bodyPr>
                      </wps:wsp>
                      <wps:wsp>
                        <wps:cNvPr id="237" name="文本框 2778"/>
                        <wps:cNvSpPr txBox="1">
                          <a:spLocks noChangeArrowheads="1"/>
                        </wps:cNvSpPr>
                        <wps:spPr bwMode="auto">
                          <a:xfrm>
                            <a:off x="17499" y="37514"/>
                            <a:ext cx="2040" cy="269"/>
                          </a:xfrm>
                          <a:prstGeom prst="rect">
                            <a:avLst/>
                          </a:prstGeom>
                          <a:noFill/>
                          <a:ln>
                            <a:noFill/>
                          </a:ln>
                          <a:effectLst/>
                        </wps:spPr>
                        <wps:txbx>
                          <w:txbxContent>
                            <w:p>
                              <w:pPr>
                                <w:spacing w:line="240" w:lineRule="auto"/>
                                <w:rPr>
                                  <w:sz w:val="18"/>
                                  <w:szCs w:val="18"/>
                                </w:rPr>
                              </w:pPr>
                              <w:r>
                                <w:rPr>
                                  <w:rFonts w:hint="eastAsia"/>
                                  <w:sz w:val="18"/>
                                  <w:szCs w:val="18"/>
                                </w:rPr>
                                <w:t>损耗40.33</w:t>
                              </w:r>
                            </w:p>
                          </w:txbxContent>
                        </wps:txbx>
                        <wps:bodyPr rot="0" vert="horz" wrap="square" lIns="0" tIns="0" rIns="0" bIns="0" anchor="t" anchorCtr="0" upright="1">
                          <a:noAutofit/>
                        </wps:bodyPr>
                      </wps:wsp>
                      <wps:wsp>
                        <wps:cNvPr id="238" name="文本框 2779"/>
                        <wps:cNvSpPr txBox="1">
                          <a:spLocks noChangeArrowheads="1"/>
                        </wps:cNvSpPr>
                        <wps:spPr bwMode="auto">
                          <a:xfrm>
                            <a:off x="18702" y="37812"/>
                            <a:ext cx="1007" cy="624"/>
                          </a:xfrm>
                          <a:prstGeom prst="rect">
                            <a:avLst/>
                          </a:prstGeom>
                          <a:noFill/>
                          <a:ln>
                            <a:noFill/>
                          </a:ln>
                          <a:effectLst/>
                        </wps:spPr>
                        <wps:txbx>
                          <w:txbxContent>
                            <w:p>
                              <w:pPr>
                                <w:spacing w:line="240" w:lineRule="auto"/>
                                <w:rPr>
                                  <w:sz w:val="18"/>
                                  <w:szCs w:val="18"/>
                                </w:rPr>
                              </w:pPr>
                              <w:r>
                                <w:rPr>
                                  <w:rFonts w:hint="eastAsia"/>
                                  <w:sz w:val="18"/>
                                  <w:szCs w:val="18"/>
                                </w:rPr>
                                <w:t xml:space="preserve">尿液65.67 </w:t>
                              </w:r>
                            </w:p>
                          </w:txbxContent>
                        </wps:txbx>
                        <wps:bodyPr rot="0" vert="horz" wrap="square" lIns="0" tIns="0" rIns="0" bIns="0" anchor="t" anchorCtr="0" upright="1">
                          <a:noAutofit/>
                        </wps:bodyPr>
                      </wps:wsp>
                      <wps:wsp>
                        <wps:cNvPr id="239" name="文本框 2780"/>
                        <wps:cNvSpPr txBox="1">
                          <a:spLocks noChangeArrowheads="1"/>
                        </wps:cNvSpPr>
                        <wps:spPr bwMode="auto">
                          <a:xfrm>
                            <a:off x="19419" y="40525"/>
                            <a:ext cx="960" cy="340"/>
                          </a:xfrm>
                          <a:prstGeom prst="rect">
                            <a:avLst/>
                          </a:prstGeom>
                          <a:noFill/>
                          <a:ln w="9525">
                            <a:solidFill>
                              <a:srgbClr val="000000"/>
                            </a:solidFill>
                            <a:miter lim="800000"/>
                            <a:tailEnd type="none" w="sm" len="sm"/>
                          </a:ln>
                          <a:effectLst/>
                        </wps:spPr>
                        <wps:txbx>
                          <w:txbxContent>
                            <w:p>
                              <w:pPr>
                                <w:spacing w:line="240" w:lineRule="auto"/>
                                <w:ind w:firstLine="105" w:firstLineChars="50"/>
                                <w:rPr>
                                  <w:rFonts w:ascii="宋体" w:hAnsi="宋体"/>
                                  <w:szCs w:val="21"/>
                                </w:rPr>
                              </w:pPr>
                              <w:r>
                                <w:rPr>
                                  <w:rFonts w:hint="eastAsia" w:ascii="宋体" w:hAnsi="宋体"/>
                                  <w:sz w:val="21"/>
                                  <w:szCs w:val="21"/>
                                </w:rPr>
                                <w:t>隔油池</w:t>
                              </w:r>
                            </w:p>
                          </w:txbxContent>
                        </wps:txbx>
                        <wps:bodyPr rot="0" vert="horz" wrap="square" lIns="0" tIns="0" rIns="0" bIns="0" anchor="t" anchorCtr="0" upright="1">
                          <a:noAutofit/>
                        </wps:bodyPr>
                      </wps:wsp>
                      <wps:wsp>
                        <wps:cNvPr id="240" name="文本框 2785"/>
                        <wps:cNvSpPr txBox="1">
                          <a:spLocks noChangeArrowheads="1"/>
                        </wps:cNvSpPr>
                        <wps:spPr bwMode="auto">
                          <a:xfrm>
                            <a:off x="19951" y="38034"/>
                            <a:ext cx="1440" cy="360"/>
                          </a:xfrm>
                          <a:prstGeom prst="rect">
                            <a:avLst/>
                          </a:prstGeom>
                          <a:noFill/>
                          <a:ln w="9525">
                            <a:solidFill>
                              <a:srgbClr val="000000"/>
                            </a:solidFill>
                            <a:miter lim="800000"/>
                            <a:tailEnd type="none" w="sm" len="sm"/>
                          </a:ln>
                          <a:effectLst/>
                        </wps:spPr>
                        <wps:txbx>
                          <w:txbxContent>
                            <w:p>
                              <w:pPr>
                                <w:spacing w:line="240" w:lineRule="auto"/>
                                <w:jc w:val="center"/>
                                <w:rPr>
                                  <w:rFonts w:ascii="宋体" w:hAnsi="宋体"/>
                                  <w:sz w:val="21"/>
                                  <w:szCs w:val="21"/>
                                </w:rPr>
                              </w:pPr>
                              <w:r>
                                <w:rPr>
                                  <w:rFonts w:hint="eastAsia" w:ascii="宋体" w:hAnsi="宋体"/>
                                  <w:sz w:val="21"/>
                                  <w:szCs w:val="21"/>
                                </w:rPr>
                                <w:t>深坑发酵</w:t>
                              </w:r>
                            </w:p>
                          </w:txbxContent>
                        </wps:txbx>
                        <wps:bodyPr rot="0" vert="horz" wrap="square" lIns="0" tIns="0" rIns="0" bIns="0" anchor="t" anchorCtr="0" upright="1">
                          <a:noAutofit/>
                        </wps:bodyPr>
                      </wps:wsp>
                      <wps:wsp>
                        <wps:cNvPr id="241" name="直线 2787"/>
                        <wps:cNvCnPr/>
                        <wps:spPr bwMode="auto">
                          <a:xfrm flipV="1">
                            <a:off x="15151" y="39608"/>
                            <a:ext cx="783" cy="8"/>
                          </a:xfrm>
                          <a:prstGeom prst="line">
                            <a:avLst/>
                          </a:prstGeom>
                          <a:noFill/>
                          <a:ln w="9525">
                            <a:solidFill>
                              <a:srgbClr val="000000"/>
                            </a:solidFill>
                            <a:round/>
                            <a:tailEnd type="triangle" w="sm" len="sm"/>
                          </a:ln>
                          <a:effectLst/>
                        </wps:spPr>
                        <wps:bodyPr/>
                      </wps:wsp>
                      <wps:wsp>
                        <wps:cNvPr id="242" name="文本框 2788"/>
                        <wps:cNvSpPr txBox="1">
                          <a:spLocks noChangeArrowheads="1"/>
                        </wps:cNvSpPr>
                        <wps:spPr bwMode="auto">
                          <a:xfrm>
                            <a:off x="14999" y="39249"/>
                            <a:ext cx="801" cy="305"/>
                          </a:xfrm>
                          <a:prstGeom prst="rect">
                            <a:avLst/>
                          </a:prstGeom>
                          <a:noFill/>
                          <a:ln>
                            <a:noFill/>
                          </a:ln>
                          <a:effectLst/>
                        </wps:spPr>
                        <wps:txbx>
                          <w:txbxContent>
                            <w:p>
                              <w:pPr>
                                <w:ind w:firstLine="180" w:firstLineChars="100"/>
                                <w:rPr>
                                  <w:color w:val="FF0000"/>
                                  <w:sz w:val="18"/>
                                  <w:szCs w:val="18"/>
                                </w:rPr>
                              </w:pPr>
                              <w:r>
                                <w:rPr>
                                  <w:rFonts w:hint="eastAsia"/>
                                  <w:sz w:val="18"/>
                                  <w:szCs w:val="18"/>
                                </w:rPr>
                                <w:t>110.35</w:t>
                              </w:r>
                            </w:p>
                          </w:txbxContent>
                        </wps:txbx>
                        <wps:bodyPr rot="0" vert="horz" wrap="square" lIns="0" tIns="0" rIns="0" bIns="0" anchor="t" anchorCtr="0" upright="1">
                          <a:noAutofit/>
                        </wps:bodyPr>
                      </wps:wsp>
                      <wps:wsp>
                        <wps:cNvPr id="243" name="文本框 2789"/>
                        <wps:cNvSpPr txBox="1">
                          <a:spLocks noChangeArrowheads="1"/>
                        </wps:cNvSpPr>
                        <wps:spPr bwMode="auto">
                          <a:xfrm>
                            <a:off x="15214" y="39602"/>
                            <a:ext cx="573" cy="390"/>
                          </a:xfrm>
                          <a:prstGeom prst="rect">
                            <a:avLst/>
                          </a:prstGeom>
                          <a:noFill/>
                          <a:ln>
                            <a:noFill/>
                          </a:ln>
                          <a:effectLst/>
                        </wps:spPr>
                        <wps:txbx>
                          <w:txbxContent>
                            <w:p>
                              <w:pPr>
                                <w:ind w:firstLine="90" w:firstLineChars="50"/>
                                <w:jc w:val="center"/>
                                <w:rPr>
                                  <w:rFonts w:ascii="宋体" w:hAnsi="宋体"/>
                                  <w:sz w:val="18"/>
                                  <w:szCs w:val="18"/>
                                </w:rPr>
                              </w:pPr>
                              <w:r>
                                <w:rPr>
                                  <w:rFonts w:hint="eastAsia" w:ascii="宋体" w:hAnsi="宋体"/>
                                  <w:sz w:val="18"/>
                                  <w:szCs w:val="18"/>
                                </w:rPr>
                                <w:t>水</w:t>
                              </w:r>
                            </w:p>
                          </w:txbxContent>
                        </wps:txbx>
                        <wps:bodyPr rot="0" vert="horz" wrap="square" lIns="0" tIns="0" rIns="0" bIns="0" anchor="t" anchorCtr="0" upright="1">
                          <a:noAutofit/>
                        </wps:bodyPr>
                      </wps:wsp>
                      <wps:wsp>
                        <wps:cNvPr id="244" name="直线 2791"/>
                        <wps:cNvCnPr/>
                        <wps:spPr bwMode="auto">
                          <a:xfrm>
                            <a:off x="15991" y="38242"/>
                            <a:ext cx="797" cy="0"/>
                          </a:xfrm>
                          <a:prstGeom prst="line">
                            <a:avLst/>
                          </a:prstGeom>
                          <a:noFill/>
                          <a:ln w="9525">
                            <a:solidFill>
                              <a:srgbClr val="000000"/>
                            </a:solidFill>
                            <a:round/>
                            <a:tailEnd type="triangle" w="sm" len="med"/>
                          </a:ln>
                          <a:effectLst/>
                        </wps:spPr>
                        <wps:bodyPr/>
                      </wps:wsp>
                      <wps:wsp>
                        <wps:cNvPr id="245" name="直线 2793"/>
                        <wps:cNvCnPr/>
                        <wps:spPr bwMode="auto">
                          <a:xfrm flipV="1">
                            <a:off x="18219" y="38138"/>
                            <a:ext cx="1800" cy="0"/>
                          </a:xfrm>
                          <a:prstGeom prst="line">
                            <a:avLst/>
                          </a:prstGeom>
                          <a:noFill/>
                          <a:ln w="9525">
                            <a:solidFill>
                              <a:srgbClr val="000000"/>
                            </a:solidFill>
                            <a:round/>
                            <a:tailEnd type="triangle" w="sm" len="med"/>
                          </a:ln>
                          <a:effectLst/>
                        </wps:spPr>
                        <wps:bodyPr/>
                      </wps:wsp>
                      <wps:wsp>
                        <wps:cNvPr id="246" name="文本框 2795"/>
                        <wps:cNvSpPr txBox="1">
                          <a:spLocks noChangeArrowheads="1"/>
                        </wps:cNvSpPr>
                        <wps:spPr bwMode="auto">
                          <a:xfrm>
                            <a:off x="16831" y="39092"/>
                            <a:ext cx="1546" cy="303"/>
                          </a:xfrm>
                          <a:prstGeom prst="rect">
                            <a:avLst/>
                          </a:prstGeom>
                          <a:noFill/>
                          <a:ln w="9525">
                            <a:solidFill>
                              <a:srgbClr val="000000"/>
                            </a:solidFill>
                            <a:miter lim="800000"/>
                            <a:tailEnd type="none" w="sm" len="sm"/>
                          </a:ln>
                          <a:effectLst/>
                        </wps:spPr>
                        <wps:txbx>
                          <w:txbxContent>
                            <w:p>
                              <w:pPr>
                                <w:spacing w:line="240" w:lineRule="auto"/>
                                <w:ind w:firstLine="105" w:firstLineChars="50"/>
                                <w:jc w:val="center"/>
                                <w:rPr>
                                  <w:rFonts w:ascii="宋体" w:hAnsi="宋体"/>
                                  <w:sz w:val="21"/>
                                  <w:szCs w:val="21"/>
                                </w:rPr>
                              </w:pPr>
                              <w:r>
                                <w:rPr>
                                  <w:rFonts w:hint="eastAsia" w:ascii="宋体" w:hAnsi="宋体"/>
                                  <w:sz w:val="21"/>
                                  <w:szCs w:val="21"/>
                                </w:rPr>
                                <w:t>职工生活用水</w:t>
                              </w:r>
                            </w:p>
                          </w:txbxContent>
                        </wps:txbx>
                        <wps:bodyPr rot="0" vert="horz" wrap="square" lIns="0" tIns="0" rIns="0" bIns="0" anchor="t" anchorCtr="0" upright="1">
                          <a:noAutofit/>
                        </wps:bodyPr>
                      </wps:wsp>
                      <wps:wsp>
                        <wps:cNvPr id="247" name="任意多边形 2796"/>
                        <wps:cNvSpPr/>
                        <wps:spPr bwMode="auto">
                          <a:xfrm>
                            <a:off x="17259" y="38778"/>
                            <a:ext cx="529" cy="330"/>
                          </a:xfrm>
                          <a:custGeom>
                            <a:avLst/>
                            <a:gdLst>
                              <a:gd name="T0" fmla="*/ 0 w 390"/>
                              <a:gd name="T1" fmla="*/ 390 h 390"/>
                              <a:gd name="T2" fmla="*/ 166 w 390"/>
                              <a:gd name="T3" fmla="*/ 90 h 390"/>
                              <a:gd name="T4" fmla="*/ 196 w 390"/>
                              <a:gd name="T5" fmla="*/ 210 h 390"/>
                              <a:gd name="T6" fmla="*/ 390 w 390"/>
                              <a:gd name="T7" fmla="*/ 0 h 390"/>
                            </a:gdLst>
                            <a:ahLst/>
                            <a:cxnLst>
                              <a:cxn ang="0">
                                <a:pos x="T0" y="T1"/>
                              </a:cxn>
                              <a:cxn ang="0">
                                <a:pos x="T2" y="T3"/>
                              </a:cxn>
                              <a:cxn ang="0">
                                <a:pos x="T4" y="T5"/>
                              </a:cxn>
                              <a:cxn ang="0">
                                <a:pos x="T6" y="T7"/>
                              </a:cxn>
                            </a:cxnLst>
                            <a:rect l="0" t="0" r="r" b="b"/>
                            <a:pathLst>
                              <a:path w="390" h="390">
                                <a:moveTo>
                                  <a:pt x="0" y="390"/>
                                </a:moveTo>
                                <a:cubicBezTo>
                                  <a:pt x="66" y="255"/>
                                  <a:pt x="133" y="120"/>
                                  <a:pt x="166" y="90"/>
                                </a:cubicBezTo>
                                <a:cubicBezTo>
                                  <a:pt x="199" y="60"/>
                                  <a:pt x="159" y="225"/>
                                  <a:pt x="196" y="210"/>
                                </a:cubicBezTo>
                                <a:cubicBezTo>
                                  <a:pt x="233" y="195"/>
                                  <a:pt x="358" y="40"/>
                                  <a:pt x="390" y="0"/>
                                </a:cubicBezTo>
                              </a:path>
                            </a:pathLst>
                          </a:custGeom>
                          <a:noFill/>
                          <a:ln w="9525">
                            <a:solidFill>
                              <a:srgbClr val="000000"/>
                            </a:solidFill>
                            <a:round/>
                            <a:tailEnd type="triangle" w="sm" len="sm"/>
                          </a:ln>
                          <a:effectLst/>
                        </wps:spPr>
                        <wps:bodyPr rot="0" vert="horz" wrap="square" lIns="91440" tIns="45720" rIns="91440" bIns="45720" anchor="t" anchorCtr="0" upright="1">
                          <a:noAutofit/>
                        </wps:bodyPr>
                      </wps:wsp>
                      <wps:wsp>
                        <wps:cNvPr id="248" name="文本框 2797"/>
                        <wps:cNvSpPr txBox="1">
                          <a:spLocks noChangeArrowheads="1"/>
                        </wps:cNvSpPr>
                        <wps:spPr bwMode="auto">
                          <a:xfrm>
                            <a:off x="19539" y="38866"/>
                            <a:ext cx="399" cy="398"/>
                          </a:xfrm>
                          <a:prstGeom prst="rect">
                            <a:avLst/>
                          </a:prstGeom>
                          <a:noFill/>
                          <a:ln>
                            <a:noFill/>
                          </a:ln>
                          <a:effectLst/>
                        </wps:spPr>
                        <wps:txbx>
                          <w:txbxContent>
                            <w:p>
                              <w:pPr>
                                <w:rPr>
                                  <w:sz w:val="18"/>
                                  <w:szCs w:val="18"/>
                                </w:rPr>
                              </w:pPr>
                              <w:r>
                                <w:rPr>
                                  <w:rFonts w:hint="eastAsia"/>
                                  <w:sz w:val="18"/>
                                  <w:szCs w:val="18"/>
                                </w:rPr>
                                <w:t>0.51</w:t>
                              </w:r>
                            </w:p>
                          </w:txbxContent>
                        </wps:txbx>
                        <wps:bodyPr rot="0" vert="horz" wrap="square" lIns="0" tIns="0" rIns="0" bIns="0" anchor="t" anchorCtr="0" upright="1">
                          <a:noAutofit/>
                        </wps:bodyPr>
                      </wps:wsp>
                      <wps:wsp>
                        <wps:cNvPr id="249" name="文本框 2798"/>
                        <wps:cNvSpPr txBox="1">
                          <a:spLocks noChangeArrowheads="1"/>
                        </wps:cNvSpPr>
                        <wps:spPr bwMode="auto">
                          <a:xfrm>
                            <a:off x="16231" y="38892"/>
                            <a:ext cx="411" cy="306"/>
                          </a:xfrm>
                          <a:prstGeom prst="rect">
                            <a:avLst/>
                          </a:prstGeom>
                          <a:noFill/>
                          <a:ln>
                            <a:noFill/>
                          </a:ln>
                          <a:effectLst/>
                        </wps:spPr>
                        <wps:txbx>
                          <w:txbxContent>
                            <w:p>
                              <w:pPr>
                                <w:rPr>
                                  <w:sz w:val="18"/>
                                  <w:szCs w:val="18"/>
                                </w:rPr>
                              </w:pPr>
                              <w:r>
                                <w:rPr>
                                  <w:rFonts w:hint="eastAsia"/>
                                  <w:sz w:val="18"/>
                                  <w:szCs w:val="18"/>
                                </w:rPr>
                                <w:t>0.6</w:t>
                              </w:r>
                            </w:p>
                          </w:txbxContent>
                        </wps:txbx>
                        <wps:bodyPr rot="0" vert="horz" wrap="square" lIns="0" tIns="0" rIns="0" bIns="0" anchor="t" anchorCtr="0" upright="1">
                          <a:noAutofit/>
                        </wps:bodyPr>
                      </wps:wsp>
                      <wps:wsp>
                        <wps:cNvPr id="250" name="直线 2799"/>
                        <wps:cNvCnPr/>
                        <wps:spPr bwMode="auto">
                          <a:xfrm>
                            <a:off x="18271" y="39282"/>
                            <a:ext cx="2468" cy="0"/>
                          </a:xfrm>
                          <a:prstGeom prst="line">
                            <a:avLst/>
                          </a:prstGeom>
                          <a:noFill/>
                          <a:ln w="9525">
                            <a:solidFill>
                              <a:srgbClr val="000000"/>
                            </a:solidFill>
                            <a:round/>
                            <a:tailEnd type="none" w="sm" len="med"/>
                          </a:ln>
                          <a:effectLst/>
                        </wps:spPr>
                        <wps:bodyPr/>
                      </wps:wsp>
                      <wps:wsp>
                        <wps:cNvPr id="251" name="直线 2801"/>
                        <wps:cNvCnPr/>
                        <wps:spPr bwMode="auto">
                          <a:xfrm>
                            <a:off x="15991" y="39291"/>
                            <a:ext cx="840" cy="0"/>
                          </a:xfrm>
                          <a:prstGeom prst="line">
                            <a:avLst/>
                          </a:prstGeom>
                          <a:noFill/>
                          <a:ln w="9525">
                            <a:solidFill>
                              <a:srgbClr val="000000"/>
                            </a:solidFill>
                            <a:round/>
                            <a:tailEnd type="triangle" w="sm" len="med"/>
                          </a:ln>
                          <a:effectLst/>
                        </wps:spPr>
                        <wps:bodyPr/>
                      </wps:wsp>
                      <wps:wsp>
                        <wps:cNvPr id="252" name="文本框 2818"/>
                        <wps:cNvSpPr txBox="1">
                          <a:spLocks noChangeArrowheads="1"/>
                        </wps:cNvSpPr>
                        <wps:spPr bwMode="auto">
                          <a:xfrm>
                            <a:off x="16899" y="40546"/>
                            <a:ext cx="1440" cy="340"/>
                          </a:xfrm>
                          <a:prstGeom prst="rect">
                            <a:avLst/>
                          </a:prstGeom>
                          <a:noFill/>
                          <a:ln w="9525">
                            <a:solidFill>
                              <a:srgbClr val="000000"/>
                            </a:solidFill>
                            <a:miter lim="800000"/>
                            <a:tailEnd type="none" w="sm" len="sm"/>
                          </a:ln>
                          <a:effectLst/>
                        </wps:spPr>
                        <wps:txbx>
                          <w:txbxContent>
                            <w:p>
                              <w:pPr>
                                <w:spacing w:line="240" w:lineRule="auto"/>
                                <w:ind w:firstLine="105" w:firstLineChars="50"/>
                                <w:jc w:val="center"/>
                                <w:rPr>
                                  <w:rFonts w:ascii="宋体" w:hAnsi="宋体"/>
                                  <w:sz w:val="21"/>
                                  <w:szCs w:val="21"/>
                                </w:rPr>
                              </w:pPr>
                              <w:r>
                                <w:rPr>
                                  <w:rFonts w:hint="eastAsia" w:ascii="宋体" w:hAnsi="宋体"/>
                                  <w:sz w:val="21"/>
                                  <w:szCs w:val="21"/>
                                </w:rPr>
                                <w:t>食堂用水</w:t>
                              </w:r>
                            </w:p>
                          </w:txbxContent>
                        </wps:txbx>
                        <wps:bodyPr rot="0" vert="horz" wrap="square" lIns="0" tIns="0" rIns="0" bIns="0" anchor="t" anchorCtr="0" upright="1">
                          <a:noAutofit/>
                        </wps:bodyPr>
                      </wps:wsp>
                      <wps:wsp>
                        <wps:cNvPr id="253" name="任意多边形 2819"/>
                        <wps:cNvSpPr/>
                        <wps:spPr bwMode="auto">
                          <a:xfrm>
                            <a:off x="17619" y="40247"/>
                            <a:ext cx="529" cy="299"/>
                          </a:xfrm>
                          <a:custGeom>
                            <a:avLst/>
                            <a:gdLst>
                              <a:gd name="T0" fmla="*/ 0 w 390"/>
                              <a:gd name="T1" fmla="*/ 390 h 390"/>
                              <a:gd name="T2" fmla="*/ 166 w 390"/>
                              <a:gd name="T3" fmla="*/ 90 h 390"/>
                              <a:gd name="T4" fmla="*/ 196 w 390"/>
                              <a:gd name="T5" fmla="*/ 210 h 390"/>
                              <a:gd name="T6" fmla="*/ 390 w 390"/>
                              <a:gd name="T7" fmla="*/ 0 h 390"/>
                            </a:gdLst>
                            <a:ahLst/>
                            <a:cxnLst>
                              <a:cxn ang="0">
                                <a:pos x="T0" y="T1"/>
                              </a:cxn>
                              <a:cxn ang="0">
                                <a:pos x="T2" y="T3"/>
                              </a:cxn>
                              <a:cxn ang="0">
                                <a:pos x="T4" y="T5"/>
                              </a:cxn>
                              <a:cxn ang="0">
                                <a:pos x="T6" y="T7"/>
                              </a:cxn>
                            </a:cxnLst>
                            <a:rect l="0" t="0" r="r" b="b"/>
                            <a:pathLst>
                              <a:path w="390" h="390">
                                <a:moveTo>
                                  <a:pt x="0" y="390"/>
                                </a:moveTo>
                                <a:cubicBezTo>
                                  <a:pt x="66" y="255"/>
                                  <a:pt x="133" y="120"/>
                                  <a:pt x="166" y="90"/>
                                </a:cubicBezTo>
                                <a:cubicBezTo>
                                  <a:pt x="199" y="60"/>
                                  <a:pt x="159" y="225"/>
                                  <a:pt x="196" y="210"/>
                                </a:cubicBezTo>
                                <a:cubicBezTo>
                                  <a:pt x="233" y="195"/>
                                  <a:pt x="358" y="40"/>
                                  <a:pt x="390" y="0"/>
                                </a:cubicBezTo>
                              </a:path>
                            </a:pathLst>
                          </a:custGeom>
                          <a:noFill/>
                          <a:ln w="9525">
                            <a:solidFill>
                              <a:srgbClr val="000000"/>
                            </a:solidFill>
                            <a:round/>
                            <a:tailEnd type="triangle" w="sm" len="sm"/>
                          </a:ln>
                          <a:effectLst/>
                        </wps:spPr>
                        <wps:bodyPr rot="0" vert="horz" wrap="square" lIns="91440" tIns="45720" rIns="91440" bIns="45720" anchor="t" anchorCtr="0" upright="1">
                          <a:noAutofit/>
                        </wps:bodyPr>
                      </wps:wsp>
                      <wps:wsp>
                        <wps:cNvPr id="254" name="文本框 2820"/>
                        <wps:cNvSpPr txBox="1">
                          <a:spLocks noChangeArrowheads="1"/>
                        </wps:cNvSpPr>
                        <wps:spPr bwMode="auto">
                          <a:xfrm>
                            <a:off x="17979" y="40234"/>
                            <a:ext cx="398" cy="326"/>
                          </a:xfrm>
                          <a:prstGeom prst="rect">
                            <a:avLst/>
                          </a:prstGeom>
                          <a:noFill/>
                          <a:ln>
                            <a:noFill/>
                          </a:ln>
                          <a:effectLst/>
                        </wps:spPr>
                        <wps:txbx>
                          <w:txbxContent>
                            <w:p>
                              <w:pPr>
                                <w:rPr>
                                  <w:sz w:val="18"/>
                                  <w:szCs w:val="18"/>
                                </w:rPr>
                              </w:pPr>
                              <w:r>
                                <w:rPr>
                                  <w:rFonts w:hint="eastAsia"/>
                                  <w:sz w:val="18"/>
                                  <w:szCs w:val="18"/>
                                </w:rPr>
                                <w:t>0.19</w:t>
                              </w:r>
                            </w:p>
                          </w:txbxContent>
                        </wps:txbx>
                        <wps:bodyPr rot="0" vert="horz" wrap="square" lIns="0" tIns="0" rIns="0" bIns="0" anchor="t" anchorCtr="0" upright="1">
                          <a:noAutofit/>
                        </wps:bodyPr>
                      </wps:wsp>
                      <wps:wsp>
                        <wps:cNvPr id="255" name="直线 2821"/>
                        <wps:cNvCnPr/>
                        <wps:spPr bwMode="auto">
                          <a:xfrm>
                            <a:off x="15991" y="40126"/>
                            <a:ext cx="840" cy="0"/>
                          </a:xfrm>
                          <a:prstGeom prst="line">
                            <a:avLst/>
                          </a:prstGeom>
                          <a:noFill/>
                          <a:ln w="9525">
                            <a:solidFill>
                              <a:srgbClr val="000000"/>
                            </a:solidFill>
                            <a:round/>
                            <a:tailEnd type="triangle" w="sm" len="med"/>
                          </a:ln>
                          <a:effectLst/>
                        </wps:spPr>
                        <wps:bodyPr/>
                      </wps:wsp>
                      <wps:wsp>
                        <wps:cNvPr id="134" name="直线 2822"/>
                        <wps:cNvCnPr/>
                        <wps:spPr bwMode="auto">
                          <a:xfrm>
                            <a:off x="18339" y="40733"/>
                            <a:ext cx="1080" cy="0"/>
                          </a:xfrm>
                          <a:prstGeom prst="line">
                            <a:avLst/>
                          </a:prstGeom>
                          <a:noFill/>
                          <a:ln w="9525">
                            <a:solidFill>
                              <a:srgbClr val="000000"/>
                            </a:solidFill>
                            <a:round/>
                            <a:tailEnd type="triangle" w="sm" len="med"/>
                          </a:ln>
                          <a:effectLst/>
                        </wps:spPr>
                        <wps:bodyPr/>
                      </wps:wsp>
                      <wps:wsp>
                        <wps:cNvPr id="135" name="文本框 2823"/>
                        <wps:cNvSpPr txBox="1">
                          <a:spLocks noChangeArrowheads="1"/>
                        </wps:cNvSpPr>
                        <wps:spPr bwMode="auto">
                          <a:xfrm>
                            <a:off x="16299" y="40446"/>
                            <a:ext cx="411" cy="306"/>
                          </a:xfrm>
                          <a:prstGeom prst="rect">
                            <a:avLst/>
                          </a:prstGeom>
                          <a:noFill/>
                          <a:ln>
                            <a:noFill/>
                          </a:ln>
                          <a:effectLst/>
                        </wps:spPr>
                        <wps:txbx>
                          <w:txbxContent>
                            <w:p>
                              <w:pPr>
                                <w:rPr>
                                  <w:sz w:val="18"/>
                                  <w:szCs w:val="18"/>
                                </w:rPr>
                              </w:pPr>
                              <w:r>
                                <w:rPr>
                                  <w:rFonts w:hint="eastAsia"/>
                                  <w:sz w:val="18"/>
                                  <w:szCs w:val="18"/>
                                </w:rPr>
                                <w:t>1.25</w:t>
                              </w:r>
                            </w:p>
                          </w:txbxContent>
                        </wps:txbx>
                        <wps:bodyPr rot="0" vert="horz" wrap="square" lIns="0" tIns="0" rIns="0" bIns="0" anchor="t" anchorCtr="0" upright="1">
                          <a:noAutofit/>
                        </wps:bodyPr>
                      </wps:wsp>
                      <wps:wsp>
                        <wps:cNvPr id="141" name="文本框 2824"/>
                        <wps:cNvSpPr txBox="1">
                          <a:spLocks noChangeArrowheads="1"/>
                        </wps:cNvSpPr>
                        <wps:spPr bwMode="auto">
                          <a:xfrm>
                            <a:off x="18579" y="40247"/>
                            <a:ext cx="411" cy="454"/>
                          </a:xfrm>
                          <a:prstGeom prst="rect">
                            <a:avLst/>
                          </a:prstGeom>
                          <a:noFill/>
                          <a:ln>
                            <a:noFill/>
                          </a:ln>
                          <a:effectLst/>
                        </wps:spPr>
                        <wps:txbx>
                          <w:txbxContent>
                            <w:p>
                              <w:pPr>
                                <w:rPr>
                                  <w:sz w:val="18"/>
                                  <w:szCs w:val="18"/>
                                </w:rPr>
                              </w:pPr>
                              <w:r>
                                <w:rPr>
                                  <w:rFonts w:hint="eastAsia"/>
                                  <w:sz w:val="18"/>
                                  <w:szCs w:val="18"/>
                                </w:rPr>
                                <w:t>1.06</w:t>
                              </w:r>
                            </w:p>
                          </w:txbxContent>
                        </wps:txbx>
                        <wps:bodyPr rot="0" vert="horz" wrap="square" lIns="0" tIns="0" rIns="0" bIns="0" anchor="t" anchorCtr="0" upright="1">
                          <a:noAutofit/>
                        </wps:bodyPr>
                      </wps:wsp>
                      <wps:wsp>
                        <wps:cNvPr id="142" name="文本框 2826"/>
                        <wps:cNvSpPr txBox="1">
                          <a:spLocks noChangeArrowheads="1"/>
                        </wps:cNvSpPr>
                        <wps:spPr bwMode="auto">
                          <a:xfrm>
                            <a:off x="22111" y="37930"/>
                            <a:ext cx="1080" cy="936"/>
                          </a:xfrm>
                          <a:prstGeom prst="rect">
                            <a:avLst/>
                          </a:prstGeom>
                          <a:noFill/>
                          <a:ln>
                            <a:noFill/>
                          </a:ln>
                          <a:effectLst/>
                        </wps:spPr>
                        <wps:txbx>
                          <w:txbxContent>
                            <w:p>
                              <w:pPr>
                                <w:spacing w:line="240" w:lineRule="auto"/>
                                <w:rPr>
                                  <w:sz w:val="21"/>
                                  <w:szCs w:val="21"/>
                                </w:rPr>
                              </w:pPr>
                              <w:r>
                                <w:rPr>
                                  <w:rFonts w:hint="eastAsia"/>
                                  <w:sz w:val="21"/>
                                  <w:szCs w:val="21"/>
                                </w:rPr>
                                <w:t>农田水肥</w:t>
                              </w:r>
                            </w:p>
                            <w:p>
                              <w:pPr>
                                <w:spacing w:line="240" w:lineRule="auto"/>
                                <w:rPr>
                                  <w:sz w:val="21"/>
                                  <w:szCs w:val="21"/>
                                </w:rPr>
                              </w:pPr>
                              <w:r>
                                <w:rPr>
                                  <w:rFonts w:hint="eastAsia"/>
                                  <w:sz w:val="21"/>
                                  <w:szCs w:val="21"/>
                                </w:rPr>
                                <w:t>综合利用</w:t>
                              </w:r>
                            </w:p>
                          </w:txbxContent>
                        </wps:txbx>
                        <wps:bodyPr rot="0" vert="horz" wrap="square" lIns="0" tIns="0" rIns="0" bIns="0" anchor="t" anchorCtr="0" upright="1">
                          <a:noAutofit/>
                        </wps:bodyPr>
                      </wps:wsp>
                      <wps:wsp>
                        <wps:cNvPr id="143" name="文本框 2829"/>
                        <wps:cNvSpPr txBox="1">
                          <a:spLocks noChangeArrowheads="1"/>
                        </wps:cNvSpPr>
                        <wps:spPr bwMode="auto">
                          <a:xfrm>
                            <a:off x="16779" y="36994"/>
                            <a:ext cx="1200" cy="360"/>
                          </a:xfrm>
                          <a:prstGeom prst="rect">
                            <a:avLst/>
                          </a:prstGeom>
                          <a:noFill/>
                          <a:ln w="9525">
                            <a:solidFill>
                              <a:srgbClr val="000000"/>
                            </a:solidFill>
                            <a:miter lim="800000"/>
                            <a:tailEnd type="none" w="sm" len="sm"/>
                          </a:ln>
                          <a:effectLst/>
                        </wps:spPr>
                        <wps:txbx>
                          <w:txbxContent>
                            <w:p>
                              <w:pPr>
                                <w:spacing w:line="240" w:lineRule="auto"/>
                                <w:jc w:val="center"/>
                                <w:rPr>
                                  <w:rFonts w:ascii="宋体" w:hAnsi="宋体"/>
                                  <w:sz w:val="21"/>
                                  <w:szCs w:val="21"/>
                                </w:rPr>
                              </w:pPr>
                              <w:r>
                                <w:rPr>
                                  <w:rFonts w:hint="eastAsia" w:ascii="宋体" w:hAnsi="宋体"/>
                                  <w:sz w:val="21"/>
                                  <w:szCs w:val="21"/>
                                </w:rPr>
                                <w:t>冲洗</w:t>
                              </w:r>
                            </w:p>
                          </w:txbxContent>
                        </wps:txbx>
                        <wps:bodyPr rot="0" vert="horz" wrap="square" lIns="0" tIns="0" rIns="0" bIns="0" anchor="t" anchorCtr="0" upright="1">
                          <a:noAutofit/>
                        </wps:bodyPr>
                      </wps:wsp>
                      <wps:wsp>
                        <wps:cNvPr id="144" name="文本框 2831"/>
                        <wps:cNvSpPr txBox="1">
                          <a:spLocks noChangeArrowheads="1"/>
                        </wps:cNvSpPr>
                        <wps:spPr bwMode="auto">
                          <a:xfrm>
                            <a:off x="16059" y="36786"/>
                            <a:ext cx="840" cy="327"/>
                          </a:xfrm>
                          <a:prstGeom prst="rect">
                            <a:avLst/>
                          </a:prstGeom>
                          <a:noFill/>
                          <a:ln>
                            <a:noFill/>
                          </a:ln>
                          <a:effectLst/>
                        </wps:spPr>
                        <wps:txbx>
                          <w:txbxContent>
                            <w:p>
                              <w:pPr>
                                <w:rPr>
                                  <w:sz w:val="18"/>
                                  <w:szCs w:val="18"/>
                                </w:rPr>
                              </w:pPr>
                              <w:r>
                                <w:rPr>
                                  <w:rFonts w:hint="eastAsia"/>
                                  <w:sz w:val="18"/>
                                  <w:szCs w:val="18"/>
                                </w:rPr>
                                <w:t>1.59</w:t>
                              </w:r>
                            </w:p>
                          </w:txbxContent>
                        </wps:txbx>
                        <wps:bodyPr rot="0" vert="horz" wrap="square" lIns="0" tIns="0" rIns="0" bIns="0" anchor="t" anchorCtr="0" upright="1">
                          <a:noAutofit/>
                        </wps:bodyPr>
                      </wps:wsp>
                      <wps:wsp>
                        <wps:cNvPr id="145" name="直线 2861"/>
                        <wps:cNvCnPr/>
                        <wps:spPr bwMode="auto">
                          <a:xfrm>
                            <a:off x="21391" y="38242"/>
                            <a:ext cx="720" cy="0"/>
                          </a:xfrm>
                          <a:prstGeom prst="line">
                            <a:avLst/>
                          </a:prstGeom>
                          <a:noFill/>
                          <a:ln w="9525">
                            <a:solidFill>
                              <a:srgbClr val="000000"/>
                            </a:solidFill>
                            <a:round/>
                            <a:tailEnd type="triangle" w="med" len="med"/>
                          </a:ln>
                          <a:effectLst/>
                        </wps:spPr>
                        <wps:bodyPr/>
                      </wps:wsp>
                      <wps:wsp>
                        <wps:cNvPr id="146" name="直线 2865"/>
                        <wps:cNvCnPr/>
                        <wps:spPr bwMode="auto">
                          <a:xfrm>
                            <a:off x="20311" y="39282"/>
                            <a:ext cx="480" cy="0"/>
                          </a:xfrm>
                          <a:prstGeom prst="line">
                            <a:avLst/>
                          </a:prstGeom>
                          <a:noFill/>
                          <a:ln w="9525">
                            <a:solidFill>
                              <a:srgbClr val="000000"/>
                            </a:solidFill>
                            <a:round/>
                          </a:ln>
                          <a:effectLst/>
                        </wps:spPr>
                        <wps:bodyPr/>
                      </wps:wsp>
                      <wps:wsp>
                        <wps:cNvPr id="147" name="直线 2866"/>
                        <wps:cNvCnPr/>
                        <wps:spPr bwMode="auto">
                          <a:xfrm flipV="1">
                            <a:off x="20791" y="38346"/>
                            <a:ext cx="0" cy="936"/>
                          </a:xfrm>
                          <a:prstGeom prst="line">
                            <a:avLst/>
                          </a:prstGeom>
                          <a:noFill/>
                          <a:ln w="9525">
                            <a:solidFill>
                              <a:srgbClr val="000000"/>
                            </a:solidFill>
                            <a:round/>
                            <a:tailEnd type="triangle" w="med" len="med"/>
                          </a:ln>
                          <a:effectLst/>
                        </wps:spPr>
                        <wps:bodyPr/>
                      </wps:wsp>
                      <wps:wsp>
                        <wps:cNvPr id="148" name="文本框 2869"/>
                        <wps:cNvSpPr txBox="1">
                          <a:spLocks noChangeArrowheads="1"/>
                        </wps:cNvSpPr>
                        <wps:spPr bwMode="auto">
                          <a:xfrm>
                            <a:off x="21511" y="37839"/>
                            <a:ext cx="527" cy="608"/>
                          </a:xfrm>
                          <a:prstGeom prst="rect">
                            <a:avLst/>
                          </a:prstGeom>
                          <a:noFill/>
                          <a:ln>
                            <a:noFill/>
                          </a:ln>
                          <a:effectLst/>
                        </wps:spPr>
                        <wps:txbx>
                          <w:txbxContent>
                            <w:p>
                              <w:r>
                                <w:rPr>
                                  <w:rFonts w:hint="eastAsia"/>
                                  <w:sz w:val="21"/>
                                  <w:szCs w:val="21"/>
                                </w:rPr>
                                <w:t>80.63</w:t>
                              </w:r>
                            </w:p>
                          </w:txbxContent>
                        </wps:txbx>
                        <wps:bodyPr rot="0" vert="horz" wrap="square" lIns="0" tIns="0" rIns="0" bIns="0" anchor="t" anchorCtr="0" upright="1">
                          <a:noAutofit/>
                        </wps:bodyPr>
                      </wps:wsp>
                      <wps:wsp>
                        <wps:cNvPr id="150" name="直线 2919"/>
                        <wps:cNvCnPr/>
                        <wps:spPr bwMode="auto">
                          <a:xfrm>
                            <a:off x="15939" y="37202"/>
                            <a:ext cx="797" cy="0"/>
                          </a:xfrm>
                          <a:prstGeom prst="line">
                            <a:avLst/>
                          </a:prstGeom>
                          <a:noFill/>
                          <a:ln w="9525">
                            <a:solidFill>
                              <a:srgbClr val="000000"/>
                            </a:solidFill>
                            <a:round/>
                            <a:tailEnd type="triangle" w="sm" len="med"/>
                          </a:ln>
                          <a:effectLst/>
                        </wps:spPr>
                        <wps:bodyPr/>
                      </wps:wsp>
                      <wps:wsp>
                        <wps:cNvPr id="151" name="直线 2920"/>
                        <wps:cNvCnPr/>
                        <wps:spPr bwMode="auto">
                          <a:xfrm>
                            <a:off x="15939" y="37202"/>
                            <a:ext cx="0" cy="3552"/>
                          </a:xfrm>
                          <a:prstGeom prst="line">
                            <a:avLst/>
                          </a:prstGeom>
                          <a:noFill/>
                          <a:ln w="9525">
                            <a:solidFill>
                              <a:srgbClr val="000000"/>
                            </a:solidFill>
                            <a:round/>
                          </a:ln>
                          <a:effectLst/>
                        </wps:spPr>
                        <wps:bodyPr/>
                      </wps:wsp>
                      <wps:wsp>
                        <wps:cNvPr id="152" name="直线 2921"/>
                        <wps:cNvCnPr/>
                        <wps:spPr bwMode="auto">
                          <a:xfrm>
                            <a:off x="17979" y="37202"/>
                            <a:ext cx="2520" cy="0"/>
                          </a:xfrm>
                          <a:prstGeom prst="line">
                            <a:avLst/>
                          </a:prstGeom>
                          <a:noFill/>
                          <a:ln w="9525">
                            <a:solidFill>
                              <a:srgbClr val="000000"/>
                            </a:solidFill>
                            <a:round/>
                            <a:tailEnd type="triangle" w="sm" len="med"/>
                          </a:ln>
                          <a:effectLst/>
                        </wps:spPr>
                        <wps:bodyPr/>
                      </wps:wsp>
                      <wps:wsp>
                        <wps:cNvPr id="153" name="文本框 2922"/>
                        <wps:cNvSpPr txBox="1">
                          <a:spLocks noChangeArrowheads="1"/>
                        </wps:cNvSpPr>
                        <wps:spPr bwMode="auto">
                          <a:xfrm>
                            <a:off x="18699" y="36682"/>
                            <a:ext cx="840" cy="327"/>
                          </a:xfrm>
                          <a:prstGeom prst="rect">
                            <a:avLst/>
                          </a:prstGeom>
                          <a:noFill/>
                          <a:ln>
                            <a:noFill/>
                          </a:ln>
                          <a:effectLst/>
                        </wps:spPr>
                        <wps:txbx>
                          <w:txbxContent>
                            <w:p>
                              <w:pPr>
                                <w:rPr>
                                  <w:sz w:val="18"/>
                                  <w:szCs w:val="18"/>
                                </w:rPr>
                              </w:pPr>
                              <w:r>
                                <w:rPr>
                                  <w:rFonts w:hint="eastAsia"/>
                                  <w:sz w:val="18"/>
                                  <w:szCs w:val="18"/>
                                </w:rPr>
                                <w:t>1.35</w:t>
                              </w:r>
                            </w:p>
                          </w:txbxContent>
                        </wps:txbx>
                        <wps:bodyPr rot="0" vert="horz" wrap="square" lIns="0" tIns="0" rIns="0" bIns="0" anchor="t" anchorCtr="0" upright="1">
                          <a:noAutofit/>
                        </wps:bodyPr>
                      </wps:wsp>
                      <wps:wsp>
                        <wps:cNvPr id="154" name="任意多边形 2923"/>
                        <wps:cNvSpPr/>
                        <wps:spPr bwMode="auto">
                          <a:xfrm>
                            <a:off x="17259" y="36682"/>
                            <a:ext cx="547" cy="261"/>
                          </a:xfrm>
                          <a:custGeom>
                            <a:avLst/>
                            <a:gdLst>
                              <a:gd name="T0" fmla="*/ 0 w 390"/>
                              <a:gd name="T1" fmla="*/ 390 h 390"/>
                              <a:gd name="T2" fmla="*/ 166 w 390"/>
                              <a:gd name="T3" fmla="*/ 90 h 390"/>
                              <a:gd name="T4" fmla="*/ 196 w 390"/>
                              <a:gd name="T5" fmla="*/ 210 h 390"/>
                              <a:gd name="T6" fmla="*/ 390 w 390"/>
                              <a:gd name="T7" fmla="*/ 0 h 390"/>
                            </a:gdLst>
                            <a:ahLst/>
                            <a:cxnLst>
                              <a:cxn ang="0">
                                <a:pos x="T0" y="T1"/>
                              </a:cxn>
                              <a:cxn ang="0">
                                <a:pos x="T2" y="T3"/>
                              </a:cxn>
                              <a:cxn ang="0">
                                <a:pos x="T4" y="T5"/>
                              </a:cxn>
                              <a:cxn ang="0">
                                <a:pos x="T6" y="T7"/>
                              </a:cxn>
                            </a:cxnLst>
                            <a:rect l="0" t="0" r="r" b="b"/>
                            <a:pathLst>
                              <a:path w="390" h="390">
                                <a:moveTo>
                                  <a:pt x="0" y="390"/>
                                </a:moveTo>
                                <a:cubicBezTo>
                                  <a:pt x="66" y="255"/>
                                  <a:pt x="133" y="120"/>
                                  <a:pt x="166" y="90"/>
                                </a:cubicBezTo>
                                <a:cubicBezTo>
                                  <a:pt x="199" y="60"/>
                                  <a:pt x="159" y="225"/>
                                  <a:pt x="196" y="210"/>
                                </a:cubicBezTo>
                                <a:cubicBezTo>
                                  <a:pt x="233" y="195"/>
                                  <a:pt x="358" y="40"/>
                                  <a:pt x="390" y="0"/>
                                </a:cubicBezTo>
                              </a:path>
                            </a:pathLst>
                          </a:custGeom>
                          <a:noFill/>
                          <a:ln w="9525">
                            <a:solidFill>
                              <a:srgbClr val="000000"/>
                            </a:solidFill>
                            <a:round/>
                            <a:tailEnd type="triangle" w="sm" len="sm"/>
                          </a:ln>
                          <a:effectLst/>
                        </wps:spPr>
                        <wps:bodyPr rot="0" vert="horz" wrap="square" lIns="91440" tIns="45720" rIns="91440" bIns="45720" anchor="t" anchorCtr="0" upright="1">
                          <a:noAutofit/>
                        </wps:bodyPr>
                      </wps:wsp>
                      <wps:wsp>
                        <wps:cNvPr id="155" name="文本框 2927"/>
                        <wps:cNvSpPr txBox="1">
                          <a:spLocks noChangeArrowheads="1"/>
                        </wps:cNvSpPr>
                        <wps:spPr bwMode="auto">
                          <a:xfrm>
                            <a:off x="17859" y="36474"/>
                            <a:ext cx="466" cy="247"/>
                          </a:xfrm>
                          <a:prstGeom prst="rect">
                            <a:avLst/>
                          </a:prstGeom>
                          <a:noFill/>
                          <a:ln>
                            <a:noFill/>
                          </a:ln>
                          <a:effectLst/>
                        </wps:spPr>
                        <wps:txbx>
                          <w:txbxContent>
                            <w:p>
                              <w:pPr>
                                <w:spacing w:line="240" w:lineRule="auto"/>
                                <w:rPr>
                                  <w:sz w:val="18"/>
                                  <w:szCs w:val="18"/>
                                </w:rPr>
                              </w:pPr>
                              <w:r>
                                <w:rPr>
                                  <w:rFonts w:hint="eastAsia"/>
                                  <w:sz w:val="18"/>
                                  <w:szCs w:val="18"/>
                                </w:rPr>
                                <w:t>0.24</w:t>
                              </w:r>
                            </w:p>
                          </w:txbxContent>
                        </wps:txbx>
                        <wps:bodyPr rot="0" vert="horz" wrap="square" lIns="0" tIns="0" rIns="0" bIns="0" anchor="t" anchorCtr="0" upright="1">
                          <a:noAutofit/>
                        </wps:bodyPr>
                      </wps:wsp>
                      <wps:wsp>
                        <wps:cNvPr id="156" name="直线 2928"/>
                        <wps:cNvCnPr/>
                        <wps:spPr bwMode="auto">
                          <a:xfrm>
                            <a:off x="20499" y="37202"/>
                            <a:ext cx="0" cy="832"/>
                          </a:xfrm>
                          <a:prstGeom prst="line">
                            <a:avLst/>
                          </a:prstGeom>
                          <a:noFill/>
                          <a:ln w="9525">
                            <a:solidFill>
                              <a:srgbClr val="000000"/>
                            </a:solidFill>
                            <a:round/>
                            <a:tailEnd type="triangle" w="med" len="med"/>
                          </a:ln>
                          <a:effectLst/>
                        </wps:spPr>
                        <wps:bodyPr/>
                      </wps:wsp>
                      <wps:wsp>
                        <wps:cNvPr id="157" name="文本框 2929"/>
                        <wps:cNvSpPr txBox="1">
                          <a:spLocks noChangeArrowheads="1"/>
                        </wps:cNvSpPr>
                        <wps:spPr bwMode="auto">
                          <a:xfrm>
                            <a:off x="21339" y="38554"/>
                            <a:ext cx="960" cy="416"/>
                          </a:xfrm>
                          <a:prstGeom prst="rect">
                            <a:avLst/>
                          </a:prstGeom>
                          <a:noFill/>
                          <a:ln>
                            <a:noFill/>
                          </a:ln>
                          <a:effectLst/>
                        </wps:spPr>
                        <wps:txbx>
                          <w:txbxContent>
                            <w:p>
                              <w:pPr>
                                <w:rPr>
                                  <w:szCs w:val="18"/>
                                </w:rPr>
                              </w:pPr>
                            </w:p>
                          </w:txbxContent>
                        </wps:txbx>
                        <wps:bodyPr rot="0" vert="horz" wrap="square" lIns="0" tIns="0" rIns="0" bIns="0" anchor="t" anchorCtr="0" upright="1">
                          <a:noAutofit/>
                        </wps:bodyPr>
                      </wps:wsp>
                      <wps:wsp>
                        <wps:cNvPr id="158" name="直线 3008"/>
                        <wps:cNvCnPr/>
                        <wps:spPr bwMode="auto">
                          <a:xfrm>
                            <a:off x="15939" y="40754"/>
                            <a:ext cx="960" cy="0"/>
                          </a:xfrm>
                          <a:prstGeom prst="line">
                            <a:avLst/>
                          </a:prstGeom>
                          <a:noFill/>
                          <a:ln w="9525">
                            <a:solidFill>
                              <a:srgbClr val="000000"/>
                            </a:solidFill>
                            <a:round/>
                            <a:tailEnd type="triangle" w="sm" len="med"/>
                          </a:ln>
                          <a:effectLst/>
                        </wps:spPr>
                        <wps:bodyPr/>
                      </wps:wsp>
                      <wps:wsp>
                        <wps:cNvPr id="159" name="文本框 3009"/>
                        <wps:cNvSpPr txBox="1">
                          <a:spLocks noChangeArrowheads="1"/>
                        </wps:cNvSpPr>
                        <wps:spPr bwMode="auto">
                          <a:xfrm>
                            <a:off x="16179" y="39714"/>
                            <a:ext cx="411" cy="306"/>
                          </a:xfrm>
                          <a:prstGeom prst="rect">
                            <a:avLst/>
                          </a:prstGeom>
                          <a:noFill/>
                          <a:ln>
                            <a:noFill/>
                          </a:ln>
                          <a:effectLst/>
                        </wps:spPr>
                        <wps:txbx>
                          <w:txbxContent>
                            <w:p>
                              <w:pPr>
                                <w:rPr>
                                  <w:sz w:val="18"/>
                                  <w:szCs w:val="18"/>
                                </w:rPr>
                              </w:pPr>
                              <w:r>
                                <w:rPr>
                                  <w:rFonts w:hint="eastAsia"/>
                                  <w:sz w:val="18"/>
                                  <w:szCs w:val="18"/>
                                </w:rPr>
                                <w:t>1</w:t>
                              </w:r>
                            </w:p>
                          </w:txbxContent>
                        </wps:txbx>
                        <wps:bodyPr rot="0" vert="horz" wrap="square" lIns="0" tIns="0" rIns="0" bIns="0" anchor="t" anchorCtr="0" upright="1">
                          <a:noAutofit/>
                        </wps:bodyPr>
                      </wps:wsp>
                      <wps:wsp>
                        <wps:cNvPr id="192" name="文本框 3010"/>
                        <wps:cNvSpPr txBox="1">
                          <a:spLocks noChangeArrowheads="1"/>
                        </wps:cNvSpPr>
                        <wps:spPr bwMode="auto">
                          <a:xfrm>
                            <a:off x="16899" y="39922"/>
                            <a:ext cx="1440" cy="303"/>
                          </a:xfrm>
                          <a:prstGeom prst="rect">
                            <a:avLst/>
                          </a:prstGeom>
                          <a:noFill/>
                          <a:ln w="9525">
                            <a:solidFill>
                              <a:srgbClr val="000000"/>
                            </a:solidFill>
                            <a:miter lim="800000"/>
                            <a:tailEnd type="none" w="sm" len="sm"/>
                          </a:ln>
                          <a:effectLst/>
                        </wps:spPr>
                        <wps:txbx>
                          <w:txbxContent>
                            <w:p>
                              <w:pPr>
                                <w:spacing w:line="240" w:lineRule="auto"/>
                                <w:ind w:firstLine="105" w:firstLineChars="50"/>
                                <w:jc w:val="center"/>
                                <w:rPr>
                                  <w:rFonts w:ascii="宋体" w:hAnsi="宋体"/>
                                  <w:sz w:val="21"/>
                                  <w:szCs w:val="21"/>
                                </w:rPr>
                              </w:pPr>
                              <w:r>
                                <w:rPr>
                                  <w:rFonts w:hint="eastAsia" w:ascii="宋体" w:hAnsi="宋体"/>
                                  <w:sz w:val="21"/>
                                  <w:szCs w:val="21"/>
                                </w:rPr>
                                <w:t>消毒水</w:t>
                              </w:r>
                            </w:p>
                          </w:txbxContent>
                        </wps:txbx>
                        <wps:bodyPr rot="0" vert="horz" wrap="square" lIns="0" tIns="0" rIns="0" bIns="0" anchor="t" anchorCtr="0" upright="1">
                          <a:noAutofit/>
                        </wps:bodyPr>
                      </wps:wsp>
                      <wps:wsp>
                        <wps:cNvPr id="193" name="直线 3011"/>
                        <wps:cNvCnPr/>
                        <wps:spPr bwMode="auto">
                          <a:xfrm>
                            <a:off x="20379" y="40754"/>
                            <a:ext cx="840" cy="0"/>
                          </a:xfrm>
                          <a:prstGeom prst="line">
                            <a:avLst/>
                          </a:prstGeom>
                          <a:noFill/>
                          <a:ln w="9525">
                            <a:solidFill>
                              <a:srgbClr val="000000"/>
                            </a:solidFill>
                            <a:round/>
                          </a:ln>
                          <a:effectLst/>
                        </wps:spPr>
                        <wps:bodyPr/>
                      </wps:wsp>
                      <wps:wsp>
                        <wps:cNvPr id="194" name="直线 3014"/>
                        <wps:cNvCnPr/>
                        <wps:spPr bwMode="auto">
                          <a:xfrm flipV="1">
                            <a:off x="21219" y="38362"/>
                            <a:ext cx="0" cy="2392"/>
                          </a:xfrm>
                          <a:prstGeom prst="line">
                            <a:avLst/>
                          </a:prstGeom>
                          <a:noFill/>
                          <a:ln w="9525">
                            <a:solidFill>
                              <a:srgbClr val="000000"/>
                            </a:solidFill>
                            <a:round/>
                            <a:tailEnd type="triangle" w="med" len="med"/>
                          </a:ln>
                          <a:effectLst/>
                        </wps:spPr>
                        <wps:bodyPr/>
                      </wps:wsp>
                      <wps:wsp>
                        <wps:cNvPr id="195" name="直线 3017"/>
                        <wps:cNvCnPr/>
                        <wps:spPr bwMode="auto">
                          <a:xfrm>
                            <a:off x="18339" y="40130"/>
                            <a:ext cx="2880" cy="0"/>
                          </a:xfrm>
                          <a:prstGeom prst="line">
                            <a:avLst/>
                          </a:prstGeom>
                          <a:noFill/>
                          <a:ln w="9525">
                            <a:solidFill>
                              <a:srgbClr val="000000"/>
                            </a:solidFill>
                            <a:round/>
                            <a:tailEnd type="triangle" w="med" len="med"/>
                          </a:ln>
                          <a:effectLst/>
                        </wps:spPr>
                        <wps:bodyPr/>
                      </wps:wsp>
                      <wps:wsp>
                        <wps:cNvPr id="196" name="文本框 3018"/>
                        <wps:cNvSpPr txBox="1">
                          <a:spLocks noChangeArrowheads="1"/>
                        </wps:cNvSpPr>
                        <wps:spPr bwMode="auto">
                          <a:xfrm>
                            <a:off x="19298" y="39688"/>
                            <a:ext cx="411" cy="390"/>
                          </a:xfrm>
                          <a:prstGeom prst="rect">
                            <a:avLst/>
                          </a:prstGeom>
                          <a:noFill/>
                          <a:ln>
                            <a:noFill/>
                          </a:ln>
                          <a:effectLst/>
                        </wps:spPr>
                        <wps:txbx>
                          <w:txbxContent>
                            <w:p>
                              <w:pPr>
                                <w:rPr>
                                  <w:sz w:val="18"/>
                                  <w:szCs w:val="18"/>
                                </w:rPr>
                              </w:pPr>
                              <w:r>
                                <w:rPr>
                                  <w:rFonts w:hint="eastAsia"/>
                                  <w:sz w:val="18"/>
                                  <w:szCs w:val="18"/>
                                </w:rPr>
                                <w:t>0.1</w:t>
                              </w:r>
                            </w:p>
                          </w:txbxContent>
                        </wps:txbx>
                        <wps:bodyPr rot="0" vert="horz" wrap="square" lIns="0" tIns="0" rIns="0" bIns="0" anchor="t" anchorCtr="0" upright="1">
                          <a:noAutofit/>
                        </wps:bodyPr>
                      </wps:wsp>
                      <wps:wsp>
                        <wps:cNvPr id="256" name="文本框 3019"/>
                        <wps:cNvSpPr txBox="1">
                          <a:spLocks noChangeArrowheads="1"/>
                        </wps:cNvSpPr>
                        <wps:spPr bwMode="auto">
                          <a:xfrm>
                            <a:off x="17979" y="38570"/>
                            <a:ext cx="398" cy="326"/>
                          </a:xfrm>
                          <a:prstGeom prst="rect">
                            <a:avLst/>
                          </a:prstGeom>
                          <a:noFill/>
                          <a:ln>
                            <a:noFill/>
                          </a:ln>
                          <a:effectLst/>
                        </wps:spPr>
                        <wps:txbx>
                          <w:txbxContent>
                            <w:p>
                              <w:pPr>
                                <w:rPr>
                                  <w:sz w:val="18"/>
                                  <w:szCs w:val="18"/>
                                </w:rPr>
                              </w:pPr>
                              <w:r>
                                <w:rPr>
                                  <w:rFonts w:hint="eastAsia"/>
                                  <w:sz w:val="18"/>
                                  <w:szCs w:val="18"/>
                                </w:rPr>
                                <w:t>0.09</w:t>
                              </w:r>
                            </w:p>
                          </w:txbxContent>
                        </wps:txbx>
                        <wps:bodyPr rot="0" vert="horz" wrap="square" lIns="0" tIns="0" rIns="0" bIns="0" anchor="t" anchorCtr="0" upright="1">
                          <a:noAutofit/>
                        </wps:bodyPr>
                      </wps:wsp>
                      <wps:wsp>
                        <wps:cNvPr id="257" name="文本框 3020"/>
                        <wps:cNvSpPr txBox="1">
                          <a:spLocks noChangeArrowheads="1"/>
                        </wps:cNvSpPr>
                        <wps:spPr bwMode="auto">
                          <a:xfrm>
                            <a:off x="17739" y="39506"/>
                            <a:ext cx="398" cy="326"/>
                          </a:xfrm>
                          <a:prstGeom prst="rect">
                            <a:avLst/>
                          </a:prstGeom>
                          <a:noFill/>
                          <a:ln>
                            <a:noFill/>
                          </a:ln>
                          <a:effectLst/>
                        </wps:spPr>
                        <wps:txbx>
                          <w:txbxContent>
                            <w:p>
                              <w:pPr>
                                <w:rPr>
                                  <w:sz w:val="18"/>
                                  <w:szCs w:val="18"/>
                                </w:rPr>
                              </w:pPr>
                              <w:r>
                                <w:rPr>
                                  <w:rFonts w:hint="eastAsia"/>
                                  <w:sz w:val="18"/>
                                  <w:szCs w:val="18"/>
                                </w:rPr>
                                <w:t>0.9</w:t>
                              </w:r>
                            </w:p>
                          </w:txbxContent>
                        </wps:txbx>
                        <wps:bodyPr rot="0" vert="horz" wrap="square" lIns="0" tIns="0" rIns="0" bIns="0" anchor="t" anchorCtr="0" upright="1">
                          <a:noAutofit/>
                        </wps:bodyPr>
                      </wps:wsp>
                      <wps:wsp>
                        <wps:cNvPr id="258" name="任意多边形 3021"/>
                        <wps:cNvSpPr/>
                        <wps:spPr bwMode="auto">
                          <a:xfrm>
                            <a:off x="17139" y="39506"/>
                            <a:ext cx="529" cy="330"/>
                          </a:xfrm>
                          <a:custGeom>
                            <a:avLst/>
                            <a:gdLst>
                              <a:gd name="T0" fmla="*/ 0 w 390"/>
                              <a:gd name="T1" fmla="*/ 390 h 390"/>
                              <a:gd name="T2" fmla="*/ 166 w 390"/>
                              <a:gd name="T3" fmla="*/ 90 h 390"/>
                              <a:gd name="T4" fmla="*/ 196 w 390"/>
                              <a:gd name="T5" fmla="*/ 210 h 390"/>
                              <a:gd name="T6" fmla="*/ 390 w 390"/>
                              <a:gd name="T7" fmla="*/ 0 h 390"/>
                            </a:gdLst>
                            <a:ahLst/>
                            <a:cxnLst>
                              <a:cxn ang="0">
                                <a:pos x="T0" y="T1"/>
                              </a:cxn>
                              <a:cxn ang="0">
                                <a:pos x="T2" y="T3"/>
                              </a:cxn>
                              <a:cxn ang="0">
                                <a:pos x="T4" y="T5"/>
                              </a:cxn>
                              <a:cxn ang="0">
                                <a:pos x="T6" y="T7"/>
                              </a:cxn>
                            </a:cxnLst>
                            <a:rect l="0" t="0" r="r" b="b"/>
                            <a:pathLst>
                              <a:path w="390" h="390">
                                <a:moveTo>
                                  <a:pt x="0" y="390"/>
                                </a:moveTo>
                                <a:cubicBezTo>
                                  <a:pt x="66" y="255"/>
                                  <a:pt x="133" y="120"/>
                                  <a:pt x="166" y="90"/>
                                </a:cubicBezTo>
                                <a:cubicBezTo>
                                  <a:pt x="199" y="60"/>
                                  <a:pt x="159" y="225"/>
                                  <a:pt x="196" y="210"/>
                                </a:cubicBezTo>
                                <a:cubicBezTo>
                                  <a:pt x="233" y="195"/>
                                  <a:pt x="358" y="40"/>
                                  <a:pt x="390" y="0"/>
                                </a:cubicBezTo>
                              </a:path>
                            </a:pathLst>
                          </a:custGeom>
                          <a:noFill/>
                          <a:ln w="9525">
                            <a:solidFill>
                              <a:srgbClr val="000000"/>
                            </a:solidFill>
                            <a:round/>
                            <a:tailEnd type="triangle" w="sm" len="sm"/>
                          </a:ln>
                          <a:effectLst/>
                        </wps:spPr>
                        <wps:bodyPr rot="0" vert="horz" wrap="square" lIns="91440" tIns="45720" rIns="91440" bIns="45720" anchor="t" anchorCtr="0" upright="1">
                          <a:noAutofit/>
                        </wps:bodyPr>
                      </wps:wsp>
                      <wps:wsp>
                        <wps:cNvPr id="259" name="直线 3066"/>
                        <wps:cNvCnPr/>
                        <wps:spPr bwMode="auto">
                          <a:xfrm>
                            <a:off x="20930" y="37196"/>
                            <a:ext cx="0" cy="832"/>
                          </a:xfrm>
                          <a:prstGeom prst="line">
                            <a:avLst/>
                          </a:prstGeom>
                          <a:noFill/>
                          <a:ln w="9525">
                            <a:solidFill>
                              <a:srgbClr val="000000"/>
                            </a:solidFill>
                            <a:round/>
                            <a:tailEnd type="triangle" w="med" len="med"/>
                          </a:ln>
                          <a:effectLst/>
                        </wps:spPr>
                        <wps:bodyPr/>
                      </wps:wsp>
                      <wps:wsp>
                        <wps:cNvPr id="260" name="文本框 3067"/>
                        <wps:cNvSpPr txBox="1">
                          <a:spLocks noChangeArrowheads="1"/>
                        </wps:cNvSpPr>
                        <wps:spPr bwMode="auto">
                          <a:xfrm>
                            <a:off x="20465" y="36682"/>
                            <a:ext cx="1071" cy="476"/>
                          </a:xfrm>
                          <a:prstGeom prst="rect">
                            <a:avLst/>
                          </a:prstGeom>
                          <a:noFill/>
                          <a:ln>
                            <a:noFill/>
                          </a:ln>
                          <a:effectLst/>
                        </wps:spPr>
                        <wps:txbx>
                          <w:txbxContent>
                            <w:p>
                              <w:pPr>
                                <w:rPr>
                                  <w:sz w:val="18"/>
                                  <w:szCs w:val="18"/>
                                </w:rPr>
                              </w:pPr>
                              <w:r>
                                <w:rPr>
                                  <w:rFonts w:hint="eastAsia"/>
                                  <w:sz w:val="18"/>
                                  <w:szCs w:val="18"/>
                                </w:rPr>
                                <w:t>粪便11.94</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6.3pt;margin-top:10.05pt;height:220.6pt;width:409.6pt;z-index:251670528;mso-width-relative:page;mso-height-relative:page;" coordorigin="14999,36474" coordsize="8192,4412" o:gfxdata="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">
                <o:lock v:ext="edit" aspectratio="f"/>
                <v:shape id="文本框 2775" o:spid="_x0000_s1026" o:spt="202" type="#_x0000_t202" style="position:absolute;left:16779;top:37930;height:467;width:1448;" filled="f" stroked="t" coordsize="21600,21600" o:gfxdata="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LCY+/&#10;AAAA3AAAAA8AAAAAAAAAAQAgAAAAIgAAAGRycy9kb3ducmV2LnhtbFBLAQIUABQAAAAIAIdO4kAz&#10;LwWeOwAAADkAAAAQAAAAAAAAAAEAIAAAAA4BAABkcnMvc2hhcGV4bWwueG1sUEsFBgAAAAAGAAYA&#10;WwEAALgDAAAAAA==&#10;">
                  <v:fill on="f" focussize="0,0"/>
                  <v:stroke color="#000000" miterlimit="8" joinstyle="miter" endarrowwidth="narrow" endarrowlength="short"/>
                  <v:imagedata o:title=""/>
                  <o:lock v:ext="edit" aspectratio="f"/>
                  <v:textbox inset="0mm,0mm,0mm,0mm">
                    <w:txbxContent>
                      <w:p>
                        <w:pPr>
                          <w:pStyle w:val="13"/>
                          <w:jc w:val="center"/>
                          <w:rPr>
                            <w:rFonts w:ascii="宋体" w:hAnsi="宋体"/>
                            <w:szCs w:val="21"/>
                          </w:rPr>
                        </w:pPr>
                        <w:r>
                          <w:rPr>
                            <w:rFonts w:hint="eastAsia" w:ascii="宋体" w:hAnsi="宋体"/>
                            <w:szCs w:val="21"/>
                          </w:rPr>
                          <w:t>猪只饮用水</w:t>
                        </w:r>
                      </w:p>
                    </w:txbxContent>
                  </v:textbox>
                </v:shape>
                <v:shape id="任意多边形 2776" o:spid="_x0000_s1026" o:spt="100" style="position:absolute;left:16899;top:37618;height:261;width:547;" filled="f" stroked="t" coordsize="390,390" o:gfxdata="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87f74A&#10;AADcAAAADwAAAAAAAAABACAAAAAiAAAAZHJzL2Rvd25yZXYueG1sUEsBAhQAFAAAAAgAh07iQDMv&#10;BZ47AAAAOQAAABAAAAAAAAAAAQAgAAAADQEAAGRycy9zaGFwZXhtbC54bWxQSwUGAAAAAAYABgBb&#10;AQAAtwMAAAAA&#10;" path="m0,390c66,255,133,120,166,90c199,60,159,225,196,210c233,195,358,40,390,0e">
                  <v:path o:connectlocs="0,261;232,60;274,140;547,0" o:connectangles="0,0,0,0"/>
                  <v:fill on="f" focussize="0,0"/>
                  <v:stroke color="#000000" joinstyle="round" endarrow="block" endarrowwidth="narrow" endarrowlength="short"/>
                  <v:imagedata o:title=""/>
                  <o:lock v:ext="edit" aspectratio="f"/>
                </v:shape>
                <v:shape id="文本框 2777" o:spid="_x0000_s1026" o:spt="202" type="#_x0000_t202" style="position:absolute;left:16231;top:37795;height:343;width:444;"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106</w:t>
                        </w:r>
                      </w:p>
                    </w:txbxContent>
                  </v:textbox>
                </v:shape>
                <v:shape id="文本框 2778" o:spid="_x0000_s1026" o:spt="202" type="#_x0000_t202" style="position:absolute;left:17499;top:37514;height:269;width:2040;"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rPr>
                            <w:sz w:val="18"/>
                            <w:szCs w:val="18"/>
                          </w:rPr>
                        </w:pPr>
                        <w:r>
                          <w:rPr>
                            <w:rFonts w:hint="eastAsia"/>
                            <w:sz w:val="18"/>
                            <w:szCs w:val="18"/>
                          </w:rPr>
                          <w:t>损耗40.33</w:t>
                        </w:r>
                      </w:p>
                    </w:txbxContent>
                  </v:textbox>
                </v:shape>
                <v:shape id="文本框 2779" o:spid="_x0000_s1026" o:spt="202" type="#_x0000_t202" style="position:absolute;left:18702;top:37812;height:624;width:1007;" filled="f" stroked="f" coordsize="21600,21600" o:gfxdata="UEsDBAoAAAAAAIdO4kAAAAAAAAAAAAAAAAAEAAAAZHJzL1BLAwQUAAAACACHTuJATL/xpbwAAADc&#10;AAAADwAAAGRycy9kb3ducmV2LnhtbEVPW2vCMBR+H/gfwhH2NhMd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8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auto"/>
                          <w:rPr>
                            <w:sz w:val="18"/>
                            <w:szCs w:val="18"/>
                          </w:rPr>
                        </w:pPr>
                        <w:r>
                          <w:rPr>
                            <w:rFonts w:hint="eastAsia"/>
                            <w:sz w:val="18"/>
                            <w:szCs w:val="18"/>
                          </w:rPr>
                          <w:t xml:space="preserve">尿液65.67 </w:t>
                        </w:r>
                      </w:p>
                    </w:txbxContent>
                  </v:textbox>
                </v:shape>
                <v:shape id="文本框 2780" o:spid="_x0000_s1026" o:spt="202" type="#_x0000_t202" style="position:absolute;left:19419;top:40525;height:340;width:960;" filled="f" stroked="t" coordsize="21600,21600" o:gfxdata="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qYR&#10;wAAAANwAAAAPAAAAAAAAAAEAIAAAACIAAABkcnMvZG93bnJldi54bWxQSwECFAAUAAAACACHTuJA&#10;My8FnjsAAAA5AAAAEAAAAAAAAAABACAAAAAPAQAAZHJzL3NoYXBleG1sLnhtbFBLBQYAAAAABgAG&#10;AFsBAAC5AwAAAAA=&#10;">
                  <v:fill on="f" focussize="0,0"/>
                  <v:stroke color="#000000" miterlimit="8" joinstyle="miter" endarrowwidth="narrow" endarrowlength="short"/>
                  <v:imagedata o:title=""/>
                  <o:lock v:ext="edit" aspectratio="f"/>
                  <v:textbox inset="0mm,0mm,0mm,0mm">
                    <w:txbxContent>
                      <w:p>
                        <w:pPr>
                          <w:spacing w:line="240" w:lineRule="auto"/>
                          <w:ind w:firstLine="105" w:firstLineChars="50"/>
                          <w:rPr>
                            <w:rFonts w:ascii="宋体" w:hAnsi="宋体"/>
                            <w:szCs w:val="21"/>
                          </w:rPr>
                        </w:pPr>
                        <w:r>
                          <w:rPr>
                            <w:rFonts w:hint="eastAsia" w:ascii="宋体" w:hAnsi="宋体"/>
                            <w:sz w:val="21"/>
                            <w:szCs w:val="21"/>
                          </w:rPr>
                          <w:t>隔油池</w:t>
                        </w:r>
                      </w:p>
                    </w:txbxContent>
                  </v:textbox>
                </v:shape>
                <v:shape id="文本框 2785" o:spid="_x0000_s1026" o:spt="202" type="#_x0000_t202" style="position:absolute;left:19951;top:38034;height:360;width:1440;" filled="f" stroked="t" coordsize="21600,21600" o:gfxdata="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nzxvQAA&#10;ANwAAAAPAAAAAAAAAAEAIAAAACIAAABkcnMvZG93bnJldi54bWxQSwECFAAUAAAACACHTuJAMy8F&#10;njsAAAA5AAAAEAAAAAAAAAABACAAAAAMAQAAZHJzL3NoYXBleG1sLnhtbFBLBQYAAAAABgAGAFsB&#10;AAC2AwAAAAA=&#10;">
                  <v:fill on="f" focussize="0,0"/>
                  <v:stroke color="#000000" miterlimit="8" joinstyle="miter" endarrowwidth="narrow" endarrowlength="short"/>
                  <v:imagedata o:title=""/>
                  <o:lock v:ext="edit" aspectratio="f"/>
                  <v:textbox inset="0mm,0mm,0mm,0mm">
                    <w:txbxContent>
                      <w:p>
                        <w:pPr>
                          <w:spacing w:line="240" w:lineRule="auto"/>
                          <w:jc w:val="center"/>
                          <w:rPr>
                            <w:rFonts w:ascii="宋体" w:hAnsi="宋体"/>
                            <w:sz w:val="21"/>
                            <w:szCs w:val="21"/>
                          </w:rPr>
                        </w:pPr>
                        <w:r>
                          <w:rPr>
                            <w:rFonts w:hint="eastAsia" w:ascii="宋体" w:hAnsi="宋体"/>
                            <w:sz w:val="21"/>
                            <w:szCs w:val="21"/>
                          </w:rPr>
                          <w:t>深坑发酵</w:t>
                        </w:r>
                      </w:p>
                    </w:txbxContent>
                  </v:textbox>
                </v:shape>
                <v:line id="直线 2787" o:spid="_x0000_s1026" o:spt="20" style="position:absolute;left:15151;top:39608;flip:y;height:8;width:783;" filled="f" stroked="t" coordsize="21600,21600" o:gfxdata="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Rw5&#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shape id="文本框 2788" o:spid="_x0000_s1026" o:spt="202" type="#_x0000_t202" style="position:absolute;left:14999;top:39249;height:305;width:801;"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color w:val="FF0000"/>
                            <w:sz w:val="18"/>
                            <w:szCs w:val="18"/>
                          </w:rPr>
                        </w:pPr>
                        <w:r>
                          <w:rPr>
                            <w:rFonts w:hint="eastAsia"/>
                            <w:sz w:val="18"/>
                            <w:szCs w:val="18"/>
                          </w:rPr>
                          <w:t>110.35</w:t>
                        </w:r>
                      </w:p>
                    </w:txbxContent>
                  </v:textbox>
                </v:shape>
                <v:shape id="文本框 2789" o:spid="_x0000_s1026" o:spt="202" type="#_x0000_t202" style="position:absolute;left:15214;top:39602;height:390;width:573;"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0" w:firstLineChars="50"/>
                          <w:jc w:val="center"/>
                          <w:rPr>
                            <w:rFonts w:ascii="宋体" w:hAnsi="宋体"/>
                            <w:sz w:val="18"/>
                            <w:szCs w:val="18"/>
                          </w:rPr>
                        </w:pPr>
                        <w:r>
                          <w:rPr>
                            <w:rFonts w:hint="eastAsia" w:ascii="宋体" w:hAnsi="宋体"/>
                            <w:sz w:val="18"/>
                            <w:szCs w:val="18"/>
                          </w:rPr>
                          <w:t>水</w:t>
                        </w:r>
                      </w:p>
                    </w:txbxContent>
                  </v:textbox>
                </v:shape>
                <v:line id="直线 2791" o:spid="_x0000_s1026" o:spt="20" style="position:absolute;left:15991;top:38242;height:0;width:797;" filled="f" stroked="t" coordsize="21600,21600" o:gfxdata="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fM0&#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线 2793" o:spid="_x0000_s1026" o:spt="20" style="position:absolute;left:18219;top:38138;flip:y;height:0;width:1800;" filled="f" stroked="t" coordsize="21600,21600" o:gfxdata="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FNp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文本框 2795" o:spid="_x0000_s1026" o:spt="202" type="#_x0000_t202" style="position:absolute;left:16831;top:39092;height:303;width:1546;" filled="f" stroked="t" coordsize="21600,21600" o:gfxdata="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k0Ee&#10;wAAAANwAAAAPAAAAAAAAAAEAIAAAACIAAABkcnMvZG93bnJldi54bWxQSwECFAAUAAAACACHTuJA&#10;My8FnjsAAAA5AAAAEAAAAAAAAAABACAAAAAPAQAAZHJzL3NoYXBleG1sLnhtbFBLBQYAAAAABgAG&#10;AFsBAAC5AwAAAAA=&#10;">
                  <v:fill on="f" focussize="0,0"/>
                  <v:stroke color="#000000" miterlimit="8" joinstyle="miter" endarrowwidth="narrow" endarrowlength="short"/>
                  <v:imagedata o:title=""/>
                  <o:lock v:ext="edit" aspectratio="f"/>
                  <v:textbox inset="0mm,0mm,0mm,0mm">
                    <w:txbxContent>
                      <w:p>
                        <w:pPr>
                          <w:spacing w:line="240" w:lineRule="auto"/>
                          <w:ind w:firstLine="105" w:firstLineChars="50"/>
                          <w:jc w:val="center"/>
                          <w:rPr>
                            <w:rFonts w:ascii="宋体" w:hAnsi="宋体"/>
                            <w:sz w:val="21"/>
                            <w:szCs w:val="21"/>
                          </w:rPr>
                        </w:pPr>
                        <w:r>
                          <w:rPr>
                            <w:rFonts w:hint="eastAsia" w:ascii="宋体" w:hAnsi="宋体"/>
                            <w:sz w:val="21"/>
                            <w:szCs w:val="21"/>
                          </w:rPr>
                          <w:t>职工生活用水</w:t>
                        </w:r>
                      </w:p>
                    </w:txbxContent>
                  </v:textbox>
                </v:shape>
                <v:shape id="任意多边形 2796" o:spid="_x0000_s1026" o:spt="100" style="position:absolute;left:17259;top:38778;height:330;width:529;" filled="f" stroked="t" coordsize="390,390" o:gfxdata="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dz7r4A&#10;AADcAAAADwAAAAAAAAABACAAAAAiAAAAZHJzL2Rvd25yZXYueG1sUEsBAhQAFAAAAAgAh07iQDMv&#10;BZ47AAAAOQAAABAAAAAAAAAAAQAgAAAADQEAAGRycy9zaGFwZXhtbC54bWxQSwUGAAAAAAYABgBb&#10;AQAAtwMAAAAA&#10;" path="m0,390c66,255,133,120,166,90c199,60,159,225,196,210c233,195,358,40,390,0e">
                  <v:path o:connectlocs="0,330;225,76;265,177;529,0" o:connectangles="0,0,0,0"/>
                  <v:fill on="f" focussize="0,0"/>
                  <v:stroke color="#000000" joinstyle="round" endarrow="block" endarrowwidth="narrow" endarrowlength="short"/>
                  <v:imagedata o:title=""/>
                  <o:lock v:ext="edit" aspectratio="f"/>
                </v:shape>
                <v:shape id="文本框 2797" o:spid="_x0000_s1026" o:spt="202" type="#_x0000_t202" style="position:absolute;left:19539;top:38866;height:398;width:399;"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0.51</w:t>
                        </w:r>
                      </w:p>
                    </w:txbxContent>
                  </v:textbox>
                </v:shape>
                <v:shape id="文本框 2798" o:spid="_x0000_s1026" o:spt="202" type="#_x0000_t202" style="position:absolute;left:16231;top:38892;height:306;width:411;"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0.6</w:t>
                        </w:r>
                      </w:p>
                    </w:txbxContent>
                  </v:textbox>
                </v:shape>
                <v:line id="直线 2799" o:spid="_x0000_s1026" o:spt="20" style="position:absolute;left:18271;top:39282;height:0;width:2468;" filled="f" stroked="t" coordsize="21600,21600" o:gfxdata="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tFQy8AAAA&#10;3AAAAA8AAAAAAAAAAQAgAAAAIgAAAGRycy9kb3ducmV2LnhtbFBLAQIUABQAAAAIAIdO4kAzLwWe&#10;OwAAADkAAAAQAAAAAAAAAAEAIAAAAAsBAABkcnMvc2hhcGV4bWwueG1sUEsFBgAAAAAGAAYAWwEA&#10;ALUDAAAAAA==&#10;">
                  <v:fill on="f" focussize="0,0"/>
                  <v:stroke color="#000000" joinstyle="round" endarrowwidth="narrow"/>
                  <v:imagedata o:title=""/>
                  <o:lock v:ext="edit" aspectratio="f"/>
                </v:line>
                <v:line id="直线 2801" o:spid="_x0000_s1026" o:spt="20" style="position:absolute;left:15991;top:39291;height:0;width:840;" filled="f" stroked="t" coordsize="21600,21600" o:gfxdata="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8Zx&#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文本框 2818" o:spid="_x0000_s1026" o:spt="202" type="#_x0000_t202" style="position:absolute;left:16899;top:40546;height:340;width:1440;" filled="f" stroked="t" coordsize="21600,21600" o:gfxdata="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cdHA&#10;wAAAANwAAAAPAAAAAAAAAAEAIAAAACIAAABkcnMvZG93bnJldi54bWxQSwECFAAUAAAACACHTuJA&#10;My8FnjsAAAA5AAAAEAAAAAAAAAABACAAAAAPAQAAZHJzL3NoYXBleG1sLnhtbFBLBQYAAAAABgAG&#10;AFsBAAC5AwAAAAA=&#10;">
                  <v:fill on="f" focussize="0,0"/>
                  <v:stroke color="#000000" miterlimit="8" joinstyle="miter" endarrowwidth="narrow" endarrowlength="short"/>
                  <v:imagedata o:title=""/>
                  <o:lock v:ext="edit" aspectratio="f"/>
                  <v:textbox inset="0mm,0mm,0mm,0mm">
                    <w:txbxContent>
                      <w:p>
                        <w:pPr>
                          <w:spacing w:line="240" w:lineRule="auto"/>
                          <w:ind w:firstLine="105" w:firstLineChars="50"/>
                          <w:jc w:val="center"/>
                          <w:rPr>
                            <w:rFonts w:ascii="宋体" w:hAnsi="宋体"/>
                            <w:sz w:val="21"/>
                            <w:szCs w:val="21"/>
                          </w:rPr>
                        </w:pPr>
                        <w:r>
                          <w:rPr>
                            <w:rFonts w:hint="eastAsia" w:ascii="宋体" w:hAnsi="宋体"/>
                            <w:sz w:val="21"/>
                            <w:szCs w:val="21"/>
                          </w:rPr>
                          <w:t>食堂用水</w:t>
                        </w:r>
                      </w:p>
                    </w:txbxContent>
                  </v:textbox>
                </v:shape>
                <v:shape id="任意多边形 2819" o:spid="_x0000_s1026" o:spt="100" style="position:absolute;left:17619;top:40247;height:299;width:529;" filled="f" stroked="t" coordsize="390,390" o:gfxdata="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XjML4A&#10;AADcAAAADwAAAAAAAAABACAAAAAiAAAAZHJzL2Rvd25yZXYueG1sUEsBAhQAFAAAAAgAh07iQDMv&#10;BZ47AAAAOQAAABAAAAAAAAAAAQAgAAAADQEAAGRycy9zaGFwZXhtbC54bWxQSwUGAAAAAAYABgBb&#10;AQAAtwMAAAAA&#10;" path="m0,390c66,255,133,120,166,90c199,60,159,225,196,210c233,195,358,40,390,0e">
                  <v:path o:connectlocs="0,299;225,69;265,161;529,0" o:connectangles="0,0,0,0"/>
                  <v:fill on="f" focussize="0,0"/>
                  <v:stroke color="#000000" joinstyle="round" endarrow="block" endarrowwidth="narrow" endarrowlength="short"/>
                  <v:imagedata o:title=""/>
                  <o:lock v:ext="edit" aspectratio="f"/>
                </v:shape>
                <v:shape id="文本框 2820" o:spid="_x0000_s1026" o:spt="202" type="#_x0000_t202" style="position:absolute;left:17979;top:40234;height:326;width:398;"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0.19</w:t>
                        </w:r>
                      </w:p>
                    </w:txbxContent>
                  </v:textbox>
                </v:shape>
                <v:line id="直线 2821" o:spid="_x0000_s1026" o:spt="20" style="position:absolute;left:15991;top:40126;height:0;width:840;" filled="f" stroked="t" coordsize="21600,21600" o:gfxdata="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AMBy&#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线 2822" o:spid="_x0000_s1026" o:spt="20" style="position:absolute;left:18339;top:40733;height:0;width:1080;" filled="f" stroked="t" coordsize="21600,21600" o:gfxdata="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bhN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文本框 2823" o:spid="_x0000_s1026" o:spt="202" type="#_x0000_t202" style="position:absolute;left:16299;top:40446;height:306;width:411;"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1.25</w:t>
                        </w:r>
                      </w:p>
                    </w:txbxContent>
                  </v:textbox>
                </v:shape>
                <v:shape id="文本框 2824" o:spid="_x0000_s1026" o:spt="202" type="#_x0000_t202" style="position:absolute;left:18579;top:40247;height:454;width:411;"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1.06</w:t>
                        </w:r>
                      </w:p>
                    </w:txbxContent>
                  </v:textbox>
                </v:shape>
                <v:shape id="文本框 2826" o:spid="_x0000_s1026" o:spt="202" type="#_x0000_t202" style="position:absolute;left:22111;top:37930;height:936;width:1080;"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auto"/>
                          <w:rPr>
                            <w:sz w:val="21"/>
                            <w:szCs w:val="21"/>
                          </w:rPr>
                        </w:pPr>
                        <w:r>
                          <w:rPr>
                            <w:rFonts w:hint="eastAsia"/>
                            <w:sz w:val="21"/>
                            <w:szCs w:val="21"/>
                          </w:rPr>
                          <w:t>农田水肥</w:t>
                        </w:r>
                      </w:p>
                      <w:p>
                        <w:pPr>
                          <w:spacing w:line="240" w:lineRule="auto"/>
                          <w:rPr>
                            <w:sz w:val="21"/>
                            <w:szCs w:val="21"/>
                          </w:rPr>
                        </w:pPr>
                        <w:r>
                          <w:rPr>
                            <w:rFonts w:hint="eastAsia"/>
                            <w:sz w:val="21"/>
                            <w:szCs w:val="21"/>
                          </w:rPr>
                          <w:t>综合利用</w:t>
                        </w:r>
                      </w:p>
                    </w:txbxContent>
                  </v:textbox>
                </v:shape>
                <v:shape id="文本框 2829" o:spid="_x0000_s1026" o:spt="202" type="#_x0000_t202" style="position:absolute;left:16779;top:36994;height:360;width:1200;" filled="f" stroked="t" coordsize="21600,21600" o:gfxdata="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Bg/q8AAAA&#10;3AAAAA8AAAAAAAAAAQAgAAAAIgAAAGRycy9kb3ducmV2LnhtbFBLAQIUABQAAAAIAIdO4kAzLwWe&#10;OwAAADkAAAAQAAAAAAAAAAEAIAAAAAsBAABkcnMvc2hhcGV4bWwueG1sUEsFBgAAAAAGAAYAWwEA&#10;ALUDAAAAAA==&#10;">
                  <v:fill on="f" focussize="0,0"/>
                  <v:stroke color="#000000" miterlimit="8" joinstyle="miter" endarrowwidth="narrow" endarrowlength="short"/>
                  <v:imagedata o:title=""/>
                  <o:lock v:ext="edit" aspectratio="f"/>
                  <v:textbox inset="0mm,0mm,0mm,0mm">
                    <w:txbxContent>
                      <w:p>
                        <w:pPr>
                          <w:spacing w:line="240" w:lineRule="auto"/>
                          <w:jc w:val="center"/>
                          <w:rPr>
                            <w:rFonts w:ascii="宋体" w:hAnsi="宋体"/>
                            <w:sz w:val="21"/>
                            <w:szCs w:val="21"/>
                          </w:rPr>
                        </w:pPr>
                        <w:r>
                          <w:rPr>
                            <w:rFonts w:hint="eastAsia" w:ascii="宋体" w:hAnsi="宋体"/>
                            <w:sz w:val="21"/>
                            <w:szCs w:val="21"/>
                          </w:rPr>
                          <w:t>冲洗</w:t>
                        </w:r>
                      </w:p>
                    </w:txbxContent>
                  </v:textbox>
                </v:shape>
                <v:shape id="文本框 2831" o:spid="_x0000_s1026" o:spt="202" type="#_x0000_t202" style="position:absolute;left:16059;top:36786;height:327;width:840;"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1.59</w:t>
                        </w:r>
                      </w:p>
                    </w:txbxContent>
                  </v:textbox>
                </v:shape>
                <v:line id="直线 2861" o:spid="_x0000_s1026" o:spt="20" style="position:absolute;left:21391;top:38242;height:0;width:720;" filled="f" stroked="t" coordsize="21600,21600"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865" o:spid="_x0000_s1026" o:spt="20" style="position:absolute;left:20311;top:39282;height:0;width:48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866" o:spid="_x0000_s1026" o:spt="20" style="position:absolute;left:20791;top:38346;flip:y;height:936;width:0;"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869" o:spid="_x0000_s1026" o:spt="202" type="#_x0000_t202" style="position:absolute;left:21511;top:37839;height:608;width:527;"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sz w:val="21"/>
                            <w:szCs w:val="21"/>
                          </w:rPr>
                          <w:t>80.63</w:t>
                        </w:r>
                      </w:p>
                    </w:txbxContent>
                  </v:textbox>
                </v:shape>
                <v:line id="直线 2919" o:spid="_x0000_s1026" o:spt="20" style="position:absolute;left:15939;top:37202;height:0;width:797;" filled="f" stroked="t" coordsize="21600,21600" o:gfxdata="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UgKW&#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线 2920" o:spid="_x0000_s1026" o:spt="20" style="position:absolute;left:15939;top:37202;height:3552;width:0;"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921" o:spid="_x0000_s1026" o:spt="20" style="position:absolute;left:17979;top:37202;height:0;width:2520;" filled="f" stroked="t" coordsize="21600,21600" o:gfxdata="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Dl6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文本框 2922" o:spid="_x0000_s1026" o:spt="202" type="#_x0000_t202" style="position:absolute;left:18699;top:36682;height:327;width:840;"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1.35</w:t>
                        </w:r>
                      </w:p>
                    </w:txbxContent>
                  </v:textbox>
                </v:shape>
                <v:shape id="任意多边形 2923" o:spid="_x0000_s1026" o:spt="100" style="position:absolute;left:17259;top:36682;height:261;width:547;" filled="f" stroked="t" coordsize="390,390" o:gfxdata="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uRo4ugAAANwA&#10;AAAPAAAAAAAAAAEAIAAAACIAAABkcnMvZG93bnJldi54bWxQSwECFAAUAAAACACHTuJAMy8FnjsA&#10;AAA5AAAAEAAAAAAAAAABACAAAAAJAQAAZHJzL3NoYXBleG1sLnhtbFBLBQYAAAAABgAGAFsBAACz&#10;AwAAAAA=&#10;" path="m0,390c66,255,133,120,166,90c199,60,159,225,196,210c233,195,358,40,390,0e">
                  <v:path o:connectlocs="0,261;232,60;274,140;547,0" o:connectangles="0,0,0,0"/>
                  <v:fill on="f" focussize="0,0"/>
                  <v:stroke color="#000000" joinstyle="round" endarrow="block" endarrowwidth="narrow" endarrowlength="short"/>
                  <v:imagedata o:title=""/>
                  <o:lock v:ext="edit" aspectratio="f"/>
                </v:shape>
                <v:shape id="文本框 2927" o:spid="_x0000_s1026" o:spt="202" type="#_x0000_t202" style="position:absolute;left:17859;top:36474;height:247;width:466;"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auto"/>
                          <w:rPr>
                            <w:sz w:val="18"/>
                            <w:szCs w:val="18"/>
                          </w:rPr>
                        </w:pPr>
                        <w:r>
                          <w:rPr>
                            <w:rFonts w:hint="eastAsia"/>
                            <w:sz w:val="18"/>
                            <w:szCs w:val="18"/>
                          </w:rPr>
                          <w:t>0.24</w:t>
                        </w:r>
                      </w:p>
                    </w:txbxContent>
                  </v:textbox>
                </v:shape>
                <v:line id="直线 2928" o:spid="_x0000_s1026" o:spt="20" style="position:absolute;left:20499;top:37202;height:832;width:0;" filled="f" stroked="t" coordsize="21600,21600" o:gfxdata="UEsDBAoAAAAAAIdO4kAAAAAAAAAAAAAAAAAEAAAAZHJzL1BLAwQUAAAACACHTuJAFavsRL0AAADc&#10;AAAADwAAAGRycy9kb3ducmV2LnhtbEVPS2vCQBC+C/6HZQRvukmh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x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929" o:spid="_x0000_s1026" o:spt="202" type="#_x0000_t202" style="position:absolute;left:21339;top:38554;height:416;width:960;"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Cs w:val="18"/>
                          </w:rPr>
                        </w:pPr>
                      </w:p>
                    </w:txbxContent>
                  </v:textbox>
                </v:shape>
                <v:line id="直线 3008" o:spid="_x0000_s1026" o:spt="20" style="position:absolute;left:15939;top:40754;height:0;width:960;" filled="f" stroked="t" coordsize="21600,21600" o:gfxdata="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JA6Q&#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文本框 3009" o:spid="_x0000_s1026" o:spt="202" type="#_x0000_t202" style="position:absolute;left:16179;top:39714;height:306;width:411;"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1</w:t>
                        </w:r>
                      </w:p>
                    </w:txbxContent>
                  </v:textbox>
                </v:shape>
                <v:shape id="文本框 3010" o:spid="_x0000_s1026" o:spt="202" type="#_x0000_t202" style="position:absolute;left:16899;top:39922;height:303;width:1440;" filled="f" stroked="t" coordsize="21600,21600" o:gfxdata="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0KJr4A&#10;AADcAAAADwAAAAAAAAABACAAAAAiAAAAZHJzL2Rvd25yZXYueG1sUEsBAhQAFAAAAAgAh07iQDMv&#10;BZ47AAAAOQAAABAAAAAAAAAAAQAgAAAADQEAAGRycy9zaGFwZXhtbC54bWxQSwUGAAAAAAYABgBb&#10;AQAAtwMAAAAA&#10;">
                  <v:fill on="f" focussize="0,0"/>
                  <v:stroke color="#000000" miterlimit="8" joinstyle="miter" endarrowwidth="narrow" endarrowlength="short"/>
                  <v:imagedata o:title=""/>
                  <o:lock v:ext="edit" aspectratio="f"/>
                  <v:textbox inset="0mm,0mm,0mm,0mm">
                    <w:txbxContent>
                      <w:p>
                        <w:pPr>
                          <w:spacing w:line="240" w:lineRule="auto"/>
                          <w:ind w:firstLine="105" w:firstLineChars="50"/>
                          <w:jc w:val="center"/>
                          <w:rPr>
                            <w:rFonts w:ascii="宋体" w:hAnsi="宋体"/>
                            <w:sz w:val="21"/>
                            <w:szCs w:val="21"/>
                          </w:rPr>
                        </w:pPr>
                        <w:r>
                          <w:rPr>
                            <w:rFonts w:hint="eastAsia" w:ascii="宋体" w:hAnsi="宋体"/>
                            <w:sz w:val="21"/>
                            <w:szCs w:val="21"/>
                          </w:rPr>
                          <w:t>消毒水</w:t>
                        </w:r>
                      </w:p>
                    </w:txbxContent>
                  </v:textbox>
                </v:shape>
                <v:line id="直线 3011" o:spid="_x0000_s1026" o:spt="20" style="position:absolute;left:20379;top:40754;height:0;width:840;" filled="f" stroked="t" coordsize="21600,21600"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14" o:spid="_x0000_s1026" o:spt="20" style="position:absolute;left:21219;top:38362;flip:y;height:2392;width:0;" filled="f" stroked="t" coordsize="21600,21600" o:gfxdata="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mG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017" o:spid="_x0000_s1026" o:spt="20" style="position:absolute;left:18339;top:40130;height:0;width:2880;"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18" o:spid="_x0000_s1026" o:spt="202" type="#_x0000_t202" style="position:absolute;left:19298;top:39688;height:390;width:411;"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0.1</w:t>
                        </w:r>
                      </w:p>
                    </w:txbxContent>
                  </v:textbox>
                </v:shape>
                <v:shape id="文本框 3019" o:spid="_x0000_s1026" o:spt="202" type="#_x0000_t202" style="position:absolute;left:17979;top:38570;height:326;width:398;"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0.09</w:t>
                        </w:r>
                      </w:p>
                    </w:txbxContent>
                  </v:textbox>
                </v:shape>
                <v:shape id="文本框 3020" o:spid="_x0000_s1026" o:spt="202" type="#_x0000_t202" style="position:absolute;left:17739;top:39506;height:326;width:398;"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0.9</w:t>
                        </w:r>
                      </w:p>
                    </w:txbxContent>
                  </v:textbox>
                </v:shape>
                <v:shape id="任意多边形 3021" o:spid="_x0000_s1026" o:spt="100" style="position:absolute;left:17139;top:39506;height:330;width:529;" filled="f" stroked="t" coordsize="390,390" o:gfxdata="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FxQbsAAADc&#10;AAAADwAAAAAAAAABACAAAAAiAAAAZHJzL2Rvd25yZXYueG1sUEsBAhQAFAAAAAgAh07iQDMvBZ47&#10;AAAAOQAAABAAAAAAAAAAAQAgAAAACgEAAGRycy9zaGFwZXhtbC54bWxQSwUGAAAAAAYABgBbAQAA&#10;tAMAAAAA&#10;" path="m0,390c66,255,133,120,166,90c199,60,159,225,196,210c233,195,358,40,390,0e">
                  <v:path o:connectlocs="0,330;225,76;265,177;529,0" o:connectangles="0,0,0,0"/>
                  <v:fill on="f" focussize="0,0"/>
                  <v:stroke color="#000000" joinstyle="round" endarrow="block" endarrowwidth="narrow" endarrowlength="short"/>
                  <v:imagedata o:title=""/>
                  <o:lock v:ext="edit" aspectratio="f"/>
                </v:shape>
                <v:line id="直线 3066" o:spid="_x0000_s1026" o:spt="20" style="position:absolute;left:20930;top:37196;height:832;width:0;" filled="f" stroked="t" coordsize="21600,21600" o:gfxdata="UEsDBAoAAAAAAIdO4kAAAAAAAAAAAAAAAAAEAAAAZHJzL1BLAwQUAAAACACHTuJAvxEZSsAAAADc&#10;AAAADwAAAGRycy9kb3ducmV2LnhtbEWPT2vCQBTE7wW/w/IEb3UTQ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l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067" o:spid="_x0000_s1026" o:spt="202" type="#_x0000_t202" style="position:absolute;left:20465;top:36682;height:476;width:1071;" filled="f" stroked="f" coordsize="21600,21600"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18"/>
                            <w:szCs w:val="18"/>
                          </w:rPr>
                        </w:pPr>
                        <w:r>
                          <w:rPr>
                            <w:rFonts w:hint="eastAsia"/>
                            <w:sz w:val="18"/>
                            <w:szCs w:val="18"/>
                          </w:rPr>
                          <w:t>粪便11.94</w:t>
                        </w:r>
                      </w:p>
                    </w:txbxContent>
                  </v:textbox>
                </v:shape>
              </v:group>
            </w:pict>
          </mc:Fallback>
        </mc:AlternateContent>
      </w:r>
      <w:r>
        <w:rPr>
          <w:rFonts w:ascii="Times New Roman" w:hAnsi="Times New Roman"/>
          <w:sz w:val="24"/>
        </w:rPr>
        <w:t>项目水量平衡见图2.2-1。</w:t>
      </w:r>
    </w:p>
    <w:p>
      <w:pPr>
        <w:tabs>
          <w:tab w:val="left" w:pos="7225"/>
        </w:tabs>
        <w:snapToGrid w:val="0"/>
        <w:spacing w:line="300" w:lineRule="exact"/>
        <w:ind w:firstLine="403"/>
        <w:rPr>
          <w:rFonts w:ascii="Times New Roman" w:hAnsi="Times New Roman"/>
          <w:sz w:val="24"/>
        </w:rPr>
      </w:pPr>
    </w:p>
    <w:p>
      <w:pPr>
        <w:tabs>
          <w:tab w:val="left" w:pos="7225"/>
        </w:tabs>
        <w:snapToGrid w:val="0"/>
        <w:spacing w:line="300" w:lineRule="exact"/>
        <w:ind w:firstLine="403"/>
        <w:rPr>
          <w:rFonts w:ascii="Times New Roman" w:hAnsi="Times New Roman"/>
          <w:sz w:val="24"/>
        </w:rPr>
      </w:pPr>
    </w:p>
    <w:p>
      <w:pPr>
        <w:tabs>
          <w:tab w:val="left" w:pos="7225"/>
        </w:tabs>
        <w:snapToGrid w:val="0"/>
        <w:spacing w:line="300" w:lineRule="exact"/>
        <w:ind w:firstLine="403"/>
        <w:rPr>
          <w:rFonts w:ascii="Times New Roman" w:hAnsi="Times New Roman"/>
          <w:sz w:val="24"/>
        </w:rPr>
      </w:pPr>
    </w:p>
    <w:p>
      <w:pPr>
        <w:tabs>
          <w:tab w:val="left" w:pos="7225"/>
        </w:tabs>
        <w:snapToGrid w:val="0"/>
        <w:spacing w:line="300" w:lineRule="exact"/>
        <w:ind w:firstLine="403"/>
        <w:rPr>
          <w:rFonts w:ascii="Times New Roman" w:hAnsi="Times New Roman"/>
          <w:sz w:val="24"/>
        </w:rPr>
      </w:pPr>
    </w:p>
    <w:p>
      <w:pPr>
        <w:tabs>
          <w:tab w:val="left" w:pos="7225"/>
        </w:tabs>
        <w:snapToGrid w:val="0"/>
        <w:spacing w:line="300" w:lineRule="exact"/>
        <w:ind w:firstLine="403"/>
        <w:rPr>
          <w:rFonts w:ascii="Times New Roman" w:hAnsi="Times New Roman"/>
          <w:sz w:val="24"/>
        </w:rPr>
      </w:pPr>
    </w:p>
    <w:p>
      <w:pPr>
        <w:tabs>
          <w:tab w:val="left" w:pos="7225"/>
        </w:tabs>
        <w:snapToGrid w:val="0"/>
        <w:spacing w:line="300" w:lineRule="exact"/>
        <w:ind w:firstLine="403"/>
        <w:rPr>
          <w:rFonts w:ascii="Times New Roman" w:hAnsi="Times New Roman"/>
          <w:sz w:val="24"/>
        </w:rPr>
      </w:pPr>
    </w:p>
    <w:p>
      <w:pPr>
        <w:tabs>
          <w:tab w:val="left" w:pos="7225"/>
        </w:tabs>
        <w:snapToGrid w:val="0"/>
        <w:spacing w:line="300" w:lineRule="exact"/>
        <w:ind w:firstLine="403"/>
        <w:rPr>
          <w:rFonts w:ascii="Times New Roman" w:hAnsi="Times New Roman"/>
        </w:rPr>
      </w:pPr>
    </w:p>
    <w:p>
      <w:pPr>
        <w:tabs>
          <w:tab w:val="left" w:pos="7225"/>
        </w:tabs>
        <w:snapToGrid w:val="0"/>
        <w:spacing w:line="300" w:lineRule="exact"/>
        <w:ind w:firstLine="403"/>
        <w:rPr>
          <w:rFonts w:ascii="Times New Roman" w:hAnsi="Times New Roman"/>
        </w:rPr>
      </w:pPr>
    </w:p>
    <w:p>
      <w:pPr>
        <w:tabs>
          <w:tab w:val="left" w:pos="7225"/>
        </w:tabs>
        <w:snapToGrid w:val="0"/>
        <w:spacing w:line="300" w:lineRule="exact"/>
        <w:ind w:firstLine="403"/>
        <w:rPr>
          <w:rFonts w:ascii="Times New Roman" w:hAnsi="Times New Roman"/>
        </w:rPr>
      </w:pPr>
    </w:p>
    <w:p>
      <w:pPr>
        <w:tabs>
          <w:tab w:val="left" w:pos="7225"/>
        </w:tabs>
        <w:snapToGrid w:val="0"/>
        <w:spacing w:line="300" w:lineRule="exact"/>
        <w:ind w:firstLine="403"/>
        <w:rPr>
          <w:rFonts w:ascii="Times New Roman" w:hAnsi="Times New Roman"/>
        </w:rPr>
      </w:pPr>
    </w:p>
    <w:p>
      <w:pPr>
        <w:tabs>
          <w:tab w:val="left" w:pos="7225"/>
        </w:tabs>
        <w:snapToGrid w:val="0"/>
        <w:spacing w:line="300" w:lineRule="exact"/>
        <w:ind w:firstLine="403"/>
        <w:rPr>
          <w:rFonts w:ascii="Times New Roman" w:hAnsi="Times New Roman"/>
        </w:rPr>
      </w:pPr>
    </w:p>
    <w:p>
      <w:pPr>
        <w:tabs>
          <w:tab w:val="left" w:pos="7225"/>
        </w:tabs>
        <w:snapToGrid w:val="0"/>
        <w:spacing w:line="300" w:lineRule="exact"/>
        <w:ind w:firstLine="403"/>
        <w:rPr>
          <w:rFonts w:ascii="Times New Roman" w:hAnsi="Times New Roman"/>
        </w:rPr>
      </w:pPr>
    </w:p>
    <w:p>
      <w:pPr>
        <w:pStyle w:val="154"/>
        <w:spacing w:line="460" w:lineRule="exact"/>
        <w:ind w:firstLine="120" w:firstLineChars="50"/>
        <w:jc w:val="center"/>
        <w:rPr>
          <w:rFonts w:ascii="Times New Roman" w:hAnsi="Times New Roman" w:cs="Times New Roman"/>
        </w:rPr>
      </w:pPr>
    </w:p>
    <w:p>
      <w:pPr>
        <w:pStyle w:val="154"/>
        <w:spacing w:line="460" w:lineRule="exact"/>
        <w:ind w:firstLine="105" w:firstLineChars="50"/>
        <w:jc w:val="center"/>
        <w:rPr>
          <w:rFonts w:ascii="Times New Roman" w:hAnsi="Times New Roman" w:cs="Times New Roman"/>
          <w:sz w:val="21"/>
          <w:szCs w:val="21"/>
        </w:rPr>
      </w:pPr>
    </w:p>
    <w:p>
      <w:pPr>
        <w:pStyle w:val="154"/>
        <w:spacing w:line="460" w:lineRule="exact"/>
        <w:ind w:firstLine="105" w:firstLineChars="50"/>
        <w:jc w:val="center"/>
        <w:rPr>
          <w:rFonts w:ascii="Times New Roman" w:hAnsi="Times New Roman" w:eastAsia="黑体" w:cs="Times New Roman"/>
          <w:b w:val="0"/>
          <w:bCs w:val="0"/>
          <w:sz w:val="21"/>
          <w:szCs w:val="21"/>
        </w:rPr>
      </w:pPr>
      <w:r>
        <w:rPr>
          <w:rFonts w:ascii="Times New Roman" w:hAnsi="Times New Roman" w:eastAsia="黑体" w:cs="Times New Roman"/>
          <w:b w:val="0"/>
          <w:sz w:val="21"/>
          <w:szCs w:val="21"/>
        </w:rPr>
        <w:t>图2.2-1 本项目新增水量平衡图</w:t>
      </w:r>
      <w:r>
        <w:rPr>
          <w:rFonts w:ascii="Times New Roman" w:hAnsi="Times New Roman" w:eastAsia="黑体" w:cs="Times New Roman"/>
          <w:b w:val="0"/>
          <w:bCs w:val="0"/>
          <w:sz w:val="21"/>
          <w:szCs w:val="21"/>
        </w:rPr>
        <w:t>（单位：m</w:t>
      </w:r>
      <w:r>
        <w:rPr>
          <w:rFonts w:ascii="Times New Roman" w:hAnsi="Times New Roman" w:eastAsia="黑体" w:cs="Times New Roman"/>
          <w:b w:val="0"/>
          <w:bCs w:val="0"/>
          <w:sz w:val="21"/>
          <w:szCs w:val="21"/>
          <w:vertAlign w:val="superscript"/>
        </w:rPr>
        <w:t>3</w:t>
      </w:r>
      <w:r>
        <w:rPr>
          <w:rFonts w:ascii="Times New Roman" w:hAnsi="Times New Roman" w:eastAsia="黑体" w:cs="Times New Roman"/>
          <w:b w:val="0"/>
          <w:bCs w:val="0"/>
          <w:sz w:val="21"/>
          <w:szCs w:val="21"/>
        </w:rPr>
        <w:t>/d）</w:t>
      </w:r>
    </w:p>
    <w:p>
      <w:pPr>
        <w:pStyle w:val="108"/>
      </w:pPr>
      <w:bookmarkStart w:id="110" w:name="_Toc9873325"/>
      <w:r>
        <w:t>2.2.8 猪舍设计</w:t>
      </w:r>
      <w:bookmarkEnd w:id="110"/>
    </w:p>
    <w:p>
      <w:pPr>
        <w:spacing w:line="440" w:lineRule="exact"/>
        <w:ind w:firstLine="480" w:firstLineChars="200"/>
        <w:rPr>
          <w:rFonts w:ascii="Times New Roman" w:hAnsi="Times New Roman"/>
          <w:sz w:val="24"/>
          <w:szCs w:val="24"/>
        </w:rPr>
      </w:pPr>
      <w:r>
        <w:rPr>
          <w:rFonts w:ascii="Times New Roman" w:hAnsi="Times New Roman"/>
          <w:sz w:val="24"/>
          <w:szCs w:val="24"/>
        </w:rPr>
        <w:t>本项目猪舍设计方案与一期相同。采用封闭式圈舍、地面为全漏缝地板，自动化喂料系统，猪只自主饮水系统，猪舍全部采用恒温负压垂直通风系统。夏天通过进风口水帘负压通风进行降温，猪舍外的空气通过水帘进入舍内达到降温目的，水帘用水为循环水；保育舍冬天局部采用保暖灯保暖。猪舍全自动喂料系统、猪只自主饮水系统可以减少不必要的饮水消耗，减少猪只非饮水浪费；全漏缝地板可使猪只粪便、尿液直接落下，进入粪污发酵深坑。在进行简单人工清粪后，可以做到不采用水冲的方式，保持圈舍地面干净。</w:t>
      </w:r>
    </w:p>
    <w:p>
      <w:pPr>
        <w:spacing w:line="440" w:lineRule="exact"/>
        <w:ind w:firstLine="480" w:firstLineChars="200"/>
        <w:rPr>
          <w:rFonts w:ascii="Times New Roman" w:hAnsi="Times New Roman"/>
          <w:sz w:val="24"/>
          <w:szCs w:val="24"/>
        </w:rPr>
      </w:pPr>
      <w:r>
        <w:rPr>
          <w:rFonts w:ascii="Times New Roman" w:hAnsi="Times New Roman"/>
          <w:sz w:val="24"/>
          <w:szCs w:val="24"/>
        </w:rPr>
        <w:t>育肥猪的体重、自身的产热量和需要的通风量三者的关系成正比，因此育肥舍在夏季会启动进风口水帘，并加大通风量，保证在炎热季节能有效降低猪舍温度。整栋圈舍处于负压的状态，圈舍的废气扇将空气“吸”到室外，室外的空气就会自动的从屋檐下方（夏季增加水帘进风口）进入到室内，垂直的通过猪的身体进入到粪坑内，通风的效率远高于水平通风。整个通风系统由Maximus控制系统进行控制，设定标准程序或指定程序后，该系统根据圈舍内温度、湿度，氨气浓度等参数进行自动控制，使每一个阶段的猪群都有自己最合适的通风率，保证每个阶段的猪群都在自己最舒适的生长环境里。</w:t>
      </w:r>
    </w:p>
    <w:p>
      <w:pPr>
        <w:spacing w:line="430" w:lineRule="exact"/>
        <w:ind w:firstLine="480" w:firstLineChars="200"/>
        <w:rPr>
          <w:rFonts w:ascii="Times New Roman" w:hAnsi="Times New Roman"/>
          <w:sz w:val="24"/>
          <w:szCs w:val="24"/>
        </w:rPr>
      </w:pPr>
      <w:r>
        <w:rPr>
          <w:rFonts w:ascii="Times New Roman" w:hAnsi="Times New Roman"/>
          <w:sz w:val="24"/>
          <w:szCs w:val="24"/>
        </w:rPr>
        <w:t>全自动喂料系统，饲料储存在圈舍外的料塔内，通过管道输送到圈舍内，饲喂量和饲喂时间由程序控制，减少人力投入。由于采用了全漏缝地板，在整个饲养期几乎不用冲洗猪圈，猪粪水的主要来源是生猪尿液。同时严格控制养猪的耗水量，让猪使用自动饮水器，减少了猪饮水时的滴漏，圈舍装有水表计量，而且该工艺猪粪水产量少，日排粪水量少，减轻了粪水还田的压力。</w:t>
      </w:r>
    </w:p>
    <w:p>
      <w:pPr>
        <w:spacing w:line="430" w:lineRule="exact"/>
        <w:ind w:firstLine="480" w:firstLineChars="200"/>
        <w:rPr>
          <w:rFonts w:ascii="Times New Roman" w:hAnsi="Times New Roman"/>
          <w:sz w:val="24"/>
          <w:szCs w:val="24"/>
        </w:rPr>
      </w:pPr>
      <w:r>
        <w:rPr>
          <w:rFonts w:ascii="Times New Roman" w:hAnsi="Times New Roman"/>
          <w:sz w:val="24"/>
          <w:szCs w:val="24"/>
        </w:rPr>
        <w:t>在进风口增加水帘，一方面降低猪舍的温度，另一方面利用氨气易溶于水的原理，增加一条通过水雾降低氨气浓度的措施；同时在猪饲料中添加丝兰粉。丝兰粉是一种天然沙漠植物，欧州和美国大型养殖公司或宠物饲料中都采用此方案降低粪便中的臭味。添加丝兰后能将猪粪便中氨的浓度降低90%。</w:t>
      </w:r>
    </w:p>
    <w:p>
      <w:pPr>
        <w:spacing w:line="430" w:lineRule="exact"/>
        <w:ind w:firstLine="480" w:firstLineChars="200"/>
        <w:rPr>
          <w:rFonts w:ascii="Times New Roman" w:hAnsi="Times New Roman"/>
          <w:sz w:val="24"/>
          <w:szCs w:val="24"/>
        </w:rPr>
      </w:pPr>
      <w:r>
        <w:rPr>
          <w:rFonts w:ascii="Times New Roman" w:hAnsi="Times New Roman"/>
          <w:sz w:val="24"/>
          <w:szCs w:val="24"/>
        </w:rPr>
        <w:t>猪舍内在不同点位配置氨气探头，由中央控制器控制，当相应点位的氨气浓度达到警示值时，中央控制器就会控制相对应区域的喷淋系统启动，将空气中的氨气用水雾结合成一水合氨，水雾喷淋系统启动一定时间后，中央控制器控制猪舍的换气风机启动。因猪舍为全密闭，结合猪舍的深坑设计，风机启动后，室内形成负压，室外空气通过屋顶进入舍内，再从屋顶进入室内，然后从室内到地板下深坑，最后从深坑通过耳房并从风机排出室外。在耳房中配置氨气浓度探头，当此点的氨气浓度高于设定值时，耳房墙壁边布置的雾化喷淋系统将启动，将氨气与水分子结合为一水合氨，并利用一水合氨(NH</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O)密度大于空气的原理，让一水合氨(NH</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自然降落到地坑中，并与粪坑中的酸性物质产生化学反应形成铵盐，从而也控制了外排氨气的浓度。为进一步控制外排废气，在耳房风机口安装活性炭吸附装置，氨和硫化氢等恶臭气体经过活性炭吸附，外排浓度可以较大程度的降低。</w:t>
      </w:r>
    </w:p>
    <w:p>
      <w:pPr>
        <w:spacing w:line="440" w:lineRule="exact"/>
        <w:ind w:firstLine="480" w:firstLineChars="200"/>
        <w:rPr>
          <w:rFonts w:ascii="Times New Roman" w:hAnsi="Times New Roman"/>
          <w:sz w:val="24"/>
          <w:szCs w:val="24"/>
        </w:rPr>
      </w:pPr>
      <w:r>
        <w:rPr>
          <w:rFonts w:ascii="Times New Roman" w:hAnsi="Times New Roman"/>
          <w:sz w:val="24"/>
          <w:szCs w:val="24"/>
        </w:rPr>
        <w:t>圈舍的设计工艺在满足生产的前提下，大幅度减少劳动力，减少冲洗用水用量，实现高效率生产和污染物减排。本项目圈舍设计效果在其一期项目的实施过程中得到了比较完整的验证，同时也取得了完善监测数据，具有一定先进性和可靠性。</w:t>
      </w: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p>
    <w:p>
      <w:pPr>
        <w:spacing w:line="430" w:lineRule="exact"/>
        <w:ind w:firstLine="480" w:firstLineChars="200"/>
        <w:rPr>
          <w:rFonts w:ascii="Times New Roman" w:hAnsi="Times New Roman"/>
          <w:sz w:val="24"/>
          <w:szCs w:val="24"/>
        </w:rPr>
      </w:pPr>
      <w:r>
        <w:rPr>
          <w:rFonts w:ascii="Times New Roman" w:hAnsi="Times New Roman"/>
          <w:sz w:val="24"/>
          <w:szCs w:val="24"/>
        </w:rPr>
        <w:t>项目猪舍通风示意图如下：</w:t>
      </w: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r>
        <w:rPr>
          <w:rFonts w:ascii="Times New Roman" w:hAnsi="Times New Roman"/>
          <w:sz w:val="24"/>
          <w:szCs w:val="24"/>
        </w:rPr>
        <mc:AlternateContent>
          <mc:Choice Requires="wpg">
            <w:drawing>
              <wp:anchor distT="0" distB="0" distL="114300" distR="114300" simplePos="0" relativeHeight="251672576" behindDoc="0" locked="0" layoutInCell="1" allowOverlap="1">
                <wp:simplePos x="0" y="0"/>
                <wp:positionH relativeFrom="column">
                  <wp:posOffset>381000</wp:posOffset>
                </wp:positionH>
                <wp:positionV relativeFrom="paragraph">
                  <wp:posOffset>-132080</wp:posOffset>
                </wp:positionV>
                <wp:extent cx="4446905" cy="3599815"/>
                <wp:effectExtent l="0" t="1270" r="1270" b="0"/>
                <wp:wrapNone/>
                <wp:docPr id="261" name="组合 261"/>
                <wp:cNvGraphicFramePr/>
                <a:graphic xmlns:a="http://schemas.openxmlformats.org/drawingml/2006/main">
                  <a:graphicData uri="http://schemas.microsoft.com/office/word/2010/wordprocessingGroup">
                    <wpg:wgp>
                      <wpg:cNvGrpSpPr/>
                      <wpg:grpSpPr>
                        <a:xfrm>
                          <a:off x="0" y="0"/>
                          <a:ext cx="4446905" cy="3599815"/>
                          <a:chOff x="2397" y="1232"/>
                          <a:chExt cx="7003" cy="4975"/>
                        </a:xfrm>
                      </wpg:grpSpPr>
                      <pic:pic xmlns:pic="http://schemas.openxmlformats.org/drawingml/2006/picture">
                        <pic:nvPicPr>
                          <pic:cNvPr id="262" name="图片 2918" descr="AirWorks空气流通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2397" y="1232"/>
                            <a:ext cx="7003" cy="4975"/>
                          </a:xfrm>
                          <a:prstGeom prst="rect">
                            <a:avLst/>
                          </a:prstGeom>
                          <a:noFill/>
                          <a:ln>
                            <a:noFill/>
                          </a:ln>
                          <a:effectLst/>
                        </pic:spPr>
                      </pic:pic>
                      <wps:wsp>
                        <wps:cNvPr id="263" name="矩形 3027"/>
                        <wps:cNvSpPr>
                          <a:spLocks noChangeArrowheads="1"/>
                        </wps:cNvSpPr>
                        <wps:spPr bwMode="auto">
                          <a:xfrm>
                            <a:off x="2757" y="4952"/>
                            <a:ext cx="1440" cy="936"/>
                          </a:xfrm>
                          <a:prstGeom prst="rect">
                            <a:avLst/>
                          </a:prstGeom>
                          <a:solidFill>
                            <a:srgbClr val="FFFFFF"/>
                          </a:solidFill>
                          <a:ln>
                            <a:noFill/>
                          </a:ln>
                          <a:effectLst/>
                        </wps:spPr>
                        <wps:bodyPr rot="0" vert="horz" wrap="square" lIns="91440" tIns="45720" rIns="91440" bIns="45720" anchor="t" anchorCtr="0" upright="1">
                          <a:noAutofit/>
                        </wps:bodyPr>
                      </wps:wsp>
                      <wps:wsp>
                        <wps:cNvPr id="264" name="矩形 3030"/>
                        <wps:cNvSpPr>
                          <a:spLocks noChangeArrowheads="1"/>
                        </wps:cNvSpPr>
                        <wps:spPr bwMode="auto">
                          <a:xfrm>
                            <a:off x="7677" y="4848"/>
                            <a:ext cx="1440" cy="936"/>
                          </a:xfrm>
                          <a:prstGeom prst="rect">
                            <a:avLst/>
                          </a:prstGeom>
                          <a:solidFill>
                            <a:srgbClr val="FFFFFF"/>
                          </a:solidFill>
                          <a:ln>
                            <a:noFill/>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0pt;margin-top:-10.4pt;height:283.45pt;width:350.15pt;z-index:251672576;mso-width-relative:page;mso-height-relative:page;" coordorigin="2397,1232" coordsize="7003,4975" o:gfxdata="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">
                <o:lock v:ext="edit" aspectratio="f"/>
                <v:shape id="图片 2918" o:spid="_x0000_s1026" o:spt="75" alt="AirWorks空气流通图" type="#_x0000_t75" style="position:absolute;left:2397;top:1232;height:4975;width:7003;" filled="f" o:preferrelative="t" stroked="f" coordsize="21600,21600" o:gfxdata="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t4UC8AAAA&#10;3AAAAA8AAAAAAAAAAQAgAAAAIgAAAGRycy9kb3ducmV2LnhtbFBLAQIUABQAAAAIAIdO4kAzLwWe&#10;OwAAADkAAAAQAAAAAAAAAAEAIAAAAAsBAABkcnMvc2hhcGV4bWwueG1sUEsFBgAAAAAGAAYAWwEA&#10;ALUDAAAAAA==&#10;">
                  <v:fill on="f" focussize="0,0"/>
                  <v:stroke on="f"/>
                  <v:imagedata r:id="rId25" o:title=""/>
                  <o:lock v:ext="edit" aspectratio="t"/>
                </v:shape>
                <v:rect id="矩形 3027" o:spid="_x0000_s1026" o:spt="1" style="position:absolute;left:2757;top:4952;height:936;width:1440;" fillcolor="#FFFFFF" filled="t" stroked="f" coordsize="21600,21600" o:gfxdata="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r0WvQAA&#10;ANwAAAAPAAAAAAAAAAEAIAAAACIAAABkcnMvZG93bnJldi54bWxQSwECFAAUAAAACACHTuJAMy8F&#10;njsAAAA5AAAAEAAAAAAAAAABACAAAAAMAQAAZHJzL3NoYXBleG1sLnhtbFBLBQYAAAAABgAGAFsB&#10;AAC2AwAAAAA=&#10;">
                  <v:fill on="t" focussize="0,0"/>
                  <v:stroke on="f"/>
                  <v:imagedata o:title=""/>
                  <o:lock v:ext="edit" aspectratio="f"/>
                </v:rect>
                <v:rect id="矩形 3030" o:spid="_x0000_s1026" o:spt="1" style="position:absolute;left:7677;top:4848;height:936;width:1440;" fillcolor="#FFFFFF" filled="t" stroked="f" coordsize="21600,21600" o:gfxdata="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lYr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p>
    <w:p>
      <w:pPr>
        <w:spacing w:line="440" w:lineRule="exact"/>
        <w:ind w:firstLine="480" w:firstLineChars="200"/>
        <w:rPr>
          <w:rFonts w:ascii="Times New Roman" w:hAnsi="Times New Roman"/>
          <w:sz w:val="24"/>
          <w:szCs w:val="24"/>
        </w:rPr>
      </w:pPr>
    </w:p>
    <w:p>
      <w:pPr>
        <w:snapToGrid w:val="0"/>
        <w:spacing w:before="156" w:beforeLines="50" w:line="440" w:lineRule="exact"/>
        <w:rPr>
          <w:rFonts w:ascii="Times New Roman" w:hAnsi="Times New Roman" w:eastAsia="黑体"/>
          <w:bCs/>
          <w:sz w:val="24"/>
          <w:szCs w:val="24"/>
        </w:rPr>
      </w:pPr>
    </w:p>
    <w:p>
      <w:pPr>
        <w:snapToGrid w:val="0"/>
        <w:spacing w:before="156" w:beforeLines="50" w:line="440" w:lineRule="exact"/>
        <w:rPr>
          <w:rFonts w:ascii="Times New Roman" w:hAnsi="Times New Roman" w:eastAsia="黑体"/>
          <w:bCs/>
          <w:sz w:val="24"/>
          <w:szCs w:val="24"/>
        </w:rPr>
      </w:pPr>
    </w:p>
    <w:p>
      <w:pPr>
        <w:snapToGrid w:val="0"/>
        <w:spacing w:before="156" w:beforeLines="50" w:line="440" w:lineRule="exact"/>
        <w:rPr>
          <w:rFonts w:ascii="Times New Roman" w:hAnsi="Times New Roman" w:eastAsia="黑体"/>
          <w:bCs/>
          <w:sz w:val="24"/>
          <w:szCs w:val="24"/>
        </w:rPr>
      </w:pPr>
    </w:p>
    <w:p>
      <w:pPr>
        <w:snapToGrid w:val="0"/>
        <w:spacing w:before="156" w:beforeLines="50" w:line="440" w:lineRule="exact"/>
        <w:rPr>
          <w:rFonts w:ascii="Times New Roman" w:hAnsi="Times New Roman" w:eastAsia="黑体"/>
          <w:bCs/>
          <w:sz w:val="24"/>
          <w:szCs w:val="24"/>
        </w:rPr>
      </w:pPr>
    </w:p>
    <w:p>
      <w:pPr>
        <w:snapToGrid w:val="0"/>
        <w:spacing w:before="156" w:beforeLines="50" w:line="440" w:lineRule="exact"/>
        <w:jc w:val="center"/>
        <w:rPr>
          <w:rFonts w:ascii="Times New Roman" w:hAnsi="Times New Roman" w:eastAsia="黑体"/>
          <w:bCs/>
          <w:sz w:val="24"/>
          <w:szCs w:val="24"/>
        </w:rPr>
      </w:pPr>
    </w:p>
    <w:p>
      <w:pPr>
        <w:snapToGrid w:val="0"/>
        <w:spacing w:before="156" w:beforeLines="50" w:line="440" w:lineRule="exact"/>
        <w:jc w:val="center"/>
        <w:rPr>
          <w:rFonts w:ascii="Times New Roman" w:hAnsi="Times New Roman" w:eastAsia="黑体"/>
          <w:bCs/>
          <w:sz w:val="24"/>
          <w:szCs w:val="24"/>
        </w:rPr>
      </w:pPr>
    </w:p>
    <w:p>
      <w:pPr>
        <w:snapToGrid w:val="0"/>
        <w:spacing w:before="156" w:beforeLines="50" w:line="440" w:lineRule="exact"/>
        <w:jc w:val="center"/>
        <w:rPr>
          <w:rFonts w:ascii="Times New Roman" w:hAnsi="Times New Roman" w:eastAsia="黑体"/>
          <w:bCs/>
          <w:sz w:val="21"/>
          <w:szCs w:val="24"/>
        </w:rPr>
      </w:pPr>
      <w:r>
        <w:rPr>
          <w:rFonts w:ascii="Times New Roman" w:hAnsi="Times New Roman" w:eastAsia="黑体"/>
          <w:bCs/>
          <w:sz w:val="21"/>
          <w:szCs w:val="24"/>
        </w:rPr>
        <w:t>图2.2-2   圈舍通风系统</w:t>
      </w:r>
    </w:p>
    <w:p>
      <w:pPr>
        <w:pStyle w:val="108"/>
      </w:pPr>
      <w:bookmarkStart w:id="111" w:name="_Toc9873326"/>
      <w:r>
        <w:t>2.2.9 平面布置合理性分析</w:t>
      </w:r>
      <w:bookmarkEnd w:id="111"/>
    </w:p>
    <w:p>
      <w:pPr>
        <w:spacing w:line="460" w:lineRule="exact"/>
        <w:ind w:firstLine="460" w:firstLineChars="192"/>
        <w:rPr>
          <w:rFonts w:ascii="Times New Roman" w:hAnsi="Times New Roman" w:eastAsia="等线"/>
          <w:sz w:val="24"/>
          <w:szCs w:val="24"/>
        </w:rPr>
      </w:pPr>
      <w:r>
        <w:rPr>
          <w:rFonts w:ascii="Times New Roman" w:hAnsi="Times New Roman"/>
          <w:sz w:val="24"/>
          <w:szCs w:val="24"/>
        </w:rPr>
        <w:t>本次扩建利用一期预留场地，建设保育舍和育肥舍，在圈舍下方建造深坑发酵蓄液池。办公区、粪污处理区利用好一期现有设施。本报告对全厂总平面布局上的合理性进行分析。</w:t>
      </w:r>
    </w:p>
    <w:p>
      <w:pPr>
        <w:spacing w:line="460" w:lineRule="exact"/>
        <w:ind w:firstLine="460" w:firstLineChars="192"/>
        <w:rPr>
          <w:rFonts w:ascii="Times New Roman" w:hAnsi="Times New Roman"/>
          <w:sz w:val="24"/>
          <w:szCs w:val="24"/>
        </w:rPr>
      </w:pPr>
      <w:r>
        <w:rPr>
          <w:rFonts w:ascii="Times New Roman" w:hAnsi="Times New Roman"/>
          <w:sz w:val="24"/>
          <w:szCs w:val="24"/>
        </w:rPr>
        <w:t>办公区：位于厂区西南面角，主要设置办公室、职工宿舍、食堂、会议室、物资存储区等。</w:t>
      </w:r>
    </w:p>
    <w:p>
      <w:pPr>
        <w:spacing w:line="460" w:lineRule="exact"/>
        <w:ind w:firstLine="460" w:firstLineChars="192"/>
        <w:rPr>
          <w:rFonts w:ascii="Times New Roman" w:hAnsi="Times New Roman" w:eastAsia="等线"/>
          <w:sz w:val="24"/>
          <w:szCs w:val="24"/>
        </w:rPr>
      </w:pPr>
      <w:r>
        <w:rPr>
          <w:rFonts w:ascii="Times New Roman" w:hAnsi="Times New Roman"/>
          <w:sz w:val="24"/>
          <w:szCs w:val="24"/>
        </w:rPr>
        <w:t>现有保育舍位于办公区的北面，现有育肥舍位于办公区东面，期间通过篮球场、道路以及绿化带进行隔离，减少对办公区的影响。拟建二期圈舍全部位于整个厂区北面，位于办公生活区的北面。</w:t>
      </w:r>
    </w:p>
    <w:p>
      <w:pPr>
        <w:spacing w:line="460" w:lineRule="exact"/>
        <w:ind w:firstLine="460" w:firstLineChars="192"/>
        <w:rPr>
          <w:rFonts w:ascii="Times New Roman" w:hAnsi="Times New Roman"/>
          <w:sz w:val="24"/>
          <w:szCs w:val="24"/>
        </w:rPr>
      </w:pPr>
      <w:r>
        <w:rPr>
          <w:rFonts w:ascii="Times New Roman" w:hAnsi="Times New Roman"/>
          <w:sz w:val="24"/>
          <w:szCs w:val="24"/>
        </w:rPr>
        <w:t>干粪堆场位于场地中部，毗邻育肥舍和保育舍，便于粪污的收集和处理。</w:t>
      </w:r>
    </w:p>
    <w:p>
      <w:pPr>
        <w:spacing w:line="460" w:lineRule="exact"/>
        <w:ind w:firstLine="480" w:firstLineChars="200"/>
        <w:rPr>
          <w:rFonts w:ascii="Times New Roman" w:hAnsi="Times New Roman"/>
          <w:sz w:val="24"/>
          <w:szCs w:val="24"/>
        </w:rPr>
      </w:pPr>
      <w:r>
        <w:rPr>
          <w:rFonts w:ascii="Times New Roman" w:hAnsi="Times New Roman"/>
          <w:sz w:val="24"/>
          <w:szCs w:val="24"/>
        </w:rPr>
        <w:t>场内道路分污道和净道，污道用作猪群周转、粪车通行、排污沟沿沟道修建；净道为饲料运输、工作人员通道，其中进场猪通道设置于厂区西南角，直接进入保育舍，不穿越办公区，有效避免了对办公区的影响和污染。</w:t>
      </w:r>
    </w:p>
    <w:p>
      <w:pPr>
        <w:spacing w:line="460" w:lineRule="exact"/>
        <w:ind w:firstLine="480" w:firstLineChars="200"/>
        <w:rPr>
          <w:rFonts w:ascii="Times New Roman" w:hAnsi="Times New Roman"/>
          <w:sz w:val="24"/>
          <w:szCs w:val="24"/>
        </w:rPr>
      </w:pPr>
      <w:r>
        <w:rPr>
          <w:rFonts w:ascii="Times New Roman" w:hAnsi="Times New Roman"/>
          <w:sz w:val="24"/>
          <w:szCs w:val="24"/>
        </w:rPr>
        <w:t>企业在内部各区之间和与耳房排气口外设绿化隔离带，尽量减少对外界影响，除了满足养殖场绿化要求，又减轻了对外环境的污染。场区按生产工艺分区布置，做到了生产与办公生活分开、清洁区与污物区分开。</w:t>
      </w:r>
    </w:p>
    <w:p>
      <w:pPr>
        <w:spacing w:line="460" w:lineRule="exact"/>
        <w:ind w:firstLine="480" w:firstLineChars="200"/>
        <w:rPr>
          <w:rFonts w:ascii="Times New Roman" w:hAnsi="Times New Roman"/>
          <w:sz w:val="24"/>
          <w:szCs w:val="24"/>
        </w:rPr>
      </w:pPr>
      <w:r>
        <w:rPr>
          <w:rFonts w:ascii="Times New Roman" w:hAnsi="Times New Roman"/>
          <w:sz w:val="24"/>
          <w:szCs w:val="24"/>
        </w:rPr>
        <w:t>根据《规模猪场建设（DB51/T1073—2010）》中的相关要求，猪场建筑设施应按管理区、生产区和隔离区三个功能区布置。管理区应位于生产区常年主导风向的上风向及地势较高处，隔离区应位于在场区常年主导风向的下风及地势较低处，并有防疫隔离带或围墙。隔离区位于在场区常年主导风向的侧下风向；防疫区增设隔离围墙。</w:t>
      </w:r>
    </w:p>
    <w:p>
      <w:pPr>
        <w:spacing w:line="460" w:lineRule="exact"/>
        <w:ind w:firstLine="480" w:firstLineChars="200"/>
        <w:rPr>
          <w:rFonts w:ascii="Times New Roman" w:hAnsi="Times New Roman"/>
          <w:sz w:val="24"/>
          <w:szCs w:val="24"/>
        </w:rPr>
      </w:pPr>
      <w:r>
        <w:rPr>
          <w:rFonts w:ascii="Times New Roman" w:hAnsi="Times New Roman"/>
          <w:sz w:val="24"/>
          <w:szCs w:val="24"/>
        </w:rPr>
        <w:t>综上分析，本项目厂区总平面布置调整后满足生产工艺要求，总平面布置基本合理。总平面布置见附图。</w:t>
      </w:r>
    </w:p>
    <w:p>
      <w:pPr>
        <w:pStyle w:val="108"/>
      </w:pPr>
      <w:bookmarkStart w:id="112" w:name="_Toc9873327"/>
      <w:r>
        <w:t>2.2.10  劳动定员及生产制度</w:t>
      </w:r>
      <w:bookmarkEnd w:id="112"/>
    </w:p>
    <w:p>
      <w:pPr>
        <w:spacing w:line="460" w:lineRule="exact"/>
        <w:ind w:firstLine="480" w:firstLineChars="200"/>
        <w:rPr>
          <w:rFonts w:ascii="Times New Roman" w:hAnsi="Times New Roman"/>
          <w:sz w:val="24"/>
          <w:szCs w:val="24"/>
        </w:rPr>
      </w:pPr>
      <w:r>
        <w:rPr>
          <w:rFonts w:ascii="Times New Roman" w:hAnsi="Times New Roman"/>
          <w:sz w:val="24"/>
          <w:szCs w:val="24"/>
        </w:rPr>
        <w:t>本次扩建项目现有员工12人，拟新增员工12人：其中保育舍8人，育肥舍4人。实行三班轮休工作制，年工作365天。</w:t>
      </w:r>
    </w:p>
    <w:p>
      <w:pPr>
        <w:pStyle w:val="103"/>
        <w:numPr>
          <w:ilvl w:val="0"/>
          <w:numId w:val="0"/>
        </w:numPr>
        <w:rPr>
          <w:rFonts w:ascii="Times New Roman" w:hAnsi="Times New Roman"/>
          <w:b w:val="0"/>
          <w:bCs/>
          <w:kern w:val="28"/>
          <w:sz w:val="32"/>
          <w:szCs w:val="32"/>
        </w:rPr>
      </w:pPr>
      <w:bookmarkStart w:id="113" w:name="_Toc9873328"/>
      <w:r>
        <w:rPr>
          <w:rFonts w:ascii="Times New Roman" w:hAnsi="Times New Roman"/>
          <w:b w:val="0"/>
          <w:bCs/>
          <w:kern w:val="28"/>
          <w:sz w:val="32"/>
          <w:szCs w:val="32"/>
        </w:rPr>
        <w:t>2.3  生产工艺</w:t>
      </w:r>
      <w:bookmarkEnd w:id="113"/>
    </w:p>
    <w:p>
      <w:pPr>
        <w:spacing w:line="460" w:lineRule="exact"/>
        <w:ind w:firstLine="482"/>
        <w:rPr>
          <w:rFonts w:ascii="Times New Roman" w:hAnsi="Times New Roman"/>
          <w:sz w:val="24"/>
        </w:rPr>
      </w:pPr>
      <w:r>
        <w:rPr>
          <w:rFonts w:ascii="Times New Roman" w:hAnsi="Times New Roman"/>
          <w:sz w:val="24"/>
        </w:rPr>
        <w:t>本项目生产工艺与一期相同。采用直接引进</w:t>
      </w:r>
      <w:r>
        <w:rPr>
          <w:rFonts w:ascii="Times New Roman" w:hAnsi="Times New Roman"/>
          <w:sz w:val="24"/>
          <w:szCs w:val="24"/>
        </w:rPr>
        <w:t>优质断奶仔猪</w:t>
      </w:r>
      <w:r>
        <w:rPr>
          <w:rFonts w:ascii="Times New Roman" w:hAnsi="Times New Roman"/>
          <w:sz w:val="24"/>
        </w:rPr>
        <w:t>，采购成品饲料，利用集约化的方式生产育肥猪。生产主要分为饲料备料工程、猪饲养过程和猪粪污处理过程。</w:t>
      </w:r>
    </w:p>
    <w:p>
      <w:pPr>
        <w:pStyle w:val="108"/>
      </w:pPr>
      <w:bookmarkStart w:id="114" w:name="_Toc9873329"/>
      <w:r>
        <w:t>2.3.1 养殖生产工艺</w:t>
      </w:r>
      <w:bookmarkEnd w:id="114"/>
    </w:p>
    <w:p>
      <w:pPr>
        <w:spacing w:line="460" w:lineRule="exact"/>
        <w:ind w:firstLine="480" w:firstLineChars="200"/>
        <w:rPr>
          <w:rFonts w:ascii="Times New Roman" w:hAnsi="Times New Roman"/>
          <w:sz w:val="24"/>
        </w:rPr>
      </w:pPr>
      <w:r>
        <w:rPr>
          <w:rFonts w:ascii="Times New Roman" w:hAnsi="Times New Roman"/>
          <w:sz w:val="24"/>
        </w:rPr>
        <w:t>饲养过程：本项目只包括仔猪保育、育肥两个阶段。</w:t>
      </w:r>
    </w:p>
    <w:p>
      <w:pPr>
        <w:spacing w:line="460" w:lineRule="exact"/>
        <w:ind w:firstLine="480" w:firstLineChars="200"/>
        <w:rPr>
          <w:rFonts w:ascii="Times New Roman" w:hAnsi="Times New Roman"/>
          <w:sz w:val="24"/>
          <w:szCs w:val="24"/>
        </w:rPr>
      </w:pPr>
      <w:r>
        <w:rPr>
          <w:rFonts w:ascii="Times New Roman" w:hAnsi="Times New Roman"/>
          <w:sz w:val="24"/>
          <w:szCs w:val="24"/>
        </w:rPr>
        <w:t>仔猪在保育舍保育周期为7周，育肥周期为14周，全过程为21周，全过程饲养约2.5个饲养周期，育肥舍全年3.7个饲养周期。体重达 110-130公斤出栏上市。一般每周可出栏1033头猪左右。</w:t>
      </w:r>
    </w:p>
    <w:p>
      <w:pPr>
        <w:pStyle w:val="108"/>
      </w:pPr>
      <w:bookmarkStart w:id="115" w:name="_Toc9873330"/>
      <w:r>
        <w:t>2.3.2 饲料工艺</w:t>
      </w:r>
      <w:bookmarkEnd w:id="115"/>
    </w:p>
    <w:p>
      <w:pPr>
        <w:spacing w:line="500" w:lineRule="exact"/>
        <w:ind w:firstLine="482"/>
        <w:rPr>
          <w:rFonts w:ascii="Times New Roman" w:hAnsi="Times New Roman"/>
          <w:sz w:val="24"/>
          <w:szCs w:val="24"/>
        </w:rPr>
      </w:pPr>
      <w:r>
        <w:rPr>
          <w:rFonts w:ascii="Times New Roman" w:hAnsi="Times New Roman"/>
          <w:sz w:val="24"/>
          <w:szCs w:val="24"/>
        </w:rPr>
        <w:t>本项目采用集团公司生产的全价成品饲料，场区内不进行粉碎配料等工序。袋装成品饲料直接装入全自动粉料喂料系统，基本无污染物产生。</w:t>
      </w:r>
    </w:p>
    <w:p>
      <w:pPr>
        <w:pStyle w:val="108"/>
        <w:rPr>
          <w:sz w:val="24"/>
          <w:szCs w:val="24"/>
        </w:rPr>
      </w:pPr>
      <w:bookmarkStart w:id="116" w:name="_Toc9873331"/>
      <w:r>
        <w:t>2.3.3 清粪工艺</w:t>
      </w:r>
      <w:bookmarkEnd w:id="116"/>
    </w:p>
    <w:p>
      <w:pPr>
        <w:snapToGrid w:val="0"/>
        <w:spacing w:line="500" w:lineRule="exact"/>
        <w:ind w:firstLine="480" w:firstLineChars="200"/>
        <w:rPr>
          <w:rFonts w:ascii="Times New Roman" w:hAnsi="Times New Roman"/>
          <w:sz w:val="24"/>
        </w:rPr>
      </w:pPr>
      <w:r>
        <w:rPr>
          <w:rFonts w:ascii="Times New Roman" w:hAnsi="Times New Roman"/>
          <w:sz w:val="24"/>
        </w:rPr>
        <w:t>根据《畜禽养殖业污染防治技术规范》（HJ/T81-2001）》要求：新建、改建、扩建的畜禽养殖场宜采用干清粪工艺。本项目采用改良型全漏缝板清粪工艺，采用干清粪工艺大大减少了污粪水的产生量，符合《畜禽养殖业污染防治技术规范》要求。圈舍内产生的粪尿依靠重力进入缝隙地板下的储存池，蓄粪池设置在圈舍下方，猪尿和部分猪粪一经产生，立即进入蓄粪池，其余猪粪采用人工方式进行收集达到干湿分离的要求：分离出的固体粪渣进入干粪堆场，并定期外售邛崃市有机肥厂用作堆肥，实现圈舍日产日清；废液经过半年深坑发酵处理，由当地合作社定期收运，用作水肥还田。</w:t>
      </w:r>
    </w:p>
    <w:p>
      <w:pPr>
        <w:widowControl/>
        <w:snapToGrid w:val="0"/>
        <w:spacing w:line="500" w:lineRule="exact"/>
        <w:ind w:firstLine="480" w:firstLineChars="200"/>
        <w:rPr>
          <w:rFonts w:ascii="Times New Roman" w:hAnsi="Times New Roman"/>
          <w:sz w:val="24"/>
          <w:szCs w:val="24"/>
        </w:rPr>
      </w:pPr>
      <w:r>
        <w:rPr>
          <w:rFonts w:ascii="Times New Roman" w:hAnsi="Times New Roman"/>
          <w:sz w:val="24"/>
          <w:szCs w:val="24"/>
          <w:lang w:bidi="ar"/>
        </w:rPr>
        <w:t>2017年6月，国务院办公厅出台《关于加快推进畜禽废弃物资源化利用的意见》，2018年1月，农业部办公厅印发了《畜禽规模养殖场粪污资源化利用设施建设规范（试行）》，四川省政府办公厅和成都市政府办公厅陆续出台了《关于加快推进畜禽养殖废弃物资源化利用的实施意见》、《成都市加快推进畜禽养殖废弃物资源化利用工作方案》，农业部会同环境保护部制定了《畜禽养殖废弃物资源化利用工作考核办法(试行)》，上述政策支持畜禽养殖粪污资源化利用，国务院意见中说明要“突出养分”进行资源化利用。即本项目在当地具有足够土地消纳粪肥的前提下，将水解酸化处理变为长时间厌氧，将养殖过程中的粪污废水最大程度转化为肥料。</w:t>
      </w:r>
    </w:p>
    <w:p>
      <w:pPr>
        <w:widowControl/>
        <w:snapToGrid w:val="0"/>
        <w:spacing w:line="500" w:lineRule="exact"/>
        <w:ind w:firstLine="480" w:firstLineChars="200"/>
        <w:rPr>
          <w:rFonts w:ascii="Times New Roman" w:hAnsi="Times New Roman"/>
          <w:sz w:val="24"/>
          <w:szCs w:val="24"/>
          <w:lang w:bidi="ar"/>
        </w:rPr>
      </w:pPr>
      <w:r>
        <w:rPr>
          <w:rFonts w:ascii="Times New Roman" w:hAnsi="Times New Roman"/>
          <w:sz w:val="24"/>
          <w:szCs w:val="24"/>
          <w:lang w:bidi="ar"/>
        </w:rPr>
        <w:t>根据相关政策（鼓励粪污全量化还田）和当地实际情况（具有大规模可消纳粪肥土地），本项目粪污水处理工艺采用：“固液分离+全漏缝+2.7米深坑发酵”处理，处理后由专业抽粪合作社+当地全量收集还田处置，不外排。该方案在项目一期项目中已实施，实际运行效果良好。</w:t>
      </w:r>
    </w:p>
    <w:p>
      <w:pPr>
        <w:widowControl/>
        <w:snapToGrid w:val="0"/>
        <w:spacing w:line="500" w:lineRule="exact"/>
        <w:ind w:firstLine="480" w:firstLineChars="200"/>
        <w:rPr>
          <w:rFonts w:ascii="Times New Roman" w:hAnsi="Times New Roman"/>
          <w:sz w:val="24"/>
          <w:szCs w:val="24"/>
          <w:lang w:bidi="ar"/>
        </w:rPr>
      </w:pPr>
      <w:r>
        <w:rPr>
          <w:rFonts w:ascii="Times New Roman" w:hAnsi="Times New Roman"/>
          <w:sz w:val="24"/>
          <w:szCs w:val="24"/>
          <w:lang w:bidi="ar"/>
        </w:rPr>
        <w:t>本项目养殖过程中不用水冲粪便，养殖过程中不冲洗圈舍，全采用干湿料槽，比传统生猪养殖工艺节约70%的用水量；同时深坑容量大，储存时间长，腐熟发酵效果较好，下部粪液一直处于厌氧条件下进行厌氧发酵，出粪口通过连通器，只抽底部的发酵液体。</w:t>
      </w:r>
    </w:p>
    <w:p>
      <w:pPr>
        <w:widowControl/>
        <w:snapToGrid w:val="0"/>
        <w:spacing w:line="500" w:lineRule="exact"/>
        <w:ind w:firstLine="480" w:firstLineChars="200"/>
        <w:rPr>
          <w:rFonts w:ascii="Times New Roman" w:hAnsi="Times New Roman"/>
          <w:sz w:val="24"/>
          <w:szCs w:val="24"/>
          <w:lang w:bidi="ar"/>
        </w:rPr>
      </w:pPr>
      <w:r>
        <w:rPr>
          <w:rFonts w:ascii="Times New Roman" w:hAnsi="Times New Roman"/>
          <w:sz w:val="24"/>
          <w:szCs w:val="24"/>
          <w:lang w:bidi="ar"/>
        </w:rPr>
        <w:t>深坑的有效容积为3栋保育舍3</w:t>
      </w:r>
      <w:r>
        <w:rPr>
          <w:rFonts w:ascii="Times New Roman" w:hAnsi="Times New Roman"/>
          <w:bCs/>
          <w:sz w:val="24"/>
          <w:szCs w:val="24"/>
          <w:lang w:bidi="ar"/>
        </w:rPr>
        <w:t>×</w:t>
      </w:r>
      <w:r>
        <w:rPr>
          <w:rFonts w:ascii="Times New Roman" w:hAnsi="Times New Roman"/>
          <w:sz w:val="24"/>
          <w:szCs w:val="24"/>
          <w:lang w:bidi="ar"/>
        </w:rPr>
        <w:t>32.26m</w:t>
      </w:r>
      <w:r>
        <w:rPr>
          <w:rFonts w:ascii="Times New Roman" w:hAnsi="Times New Roman"/>
          <w:bCs/>
          <w:sz w:val="24"/>
          <w:szCs w:val="24"/>
          <w:lang w:bidi="ar"/>
        </w:rPr>
        <w:t>×</w:t>
      </w:r>
      <w:r>
        <w:rPr>
          <w:rFonts w:ascii="Times New Roman" w:hAnsi="Times New Roman"/>
          <w:sz w:val="24"/>
          <w:szCs w:val="24"/>
          <w:lang w:bidi="ar"/>
        </w:rPr>
        <w:t>88.92m</w:t>
      </w:r>
      <w:r>
        <w:rPr>
          <w:rFonts w:ascii="Times New Roman" w:hAnsi="Times New Roman"/>
          <w:bCs/>
          <w:sz w:val="24"/>
          <w:szCs w:val="24"/>
          <w:lang w:bidi="ar"/>
        </w:rPr>
        <w:t>×</w:t>
      </w:r>
      <w:r>
        <w:rPr>
          <w:rFonts w:ascii="Times New Roman" w:hAnsi="Times New Roman"/>
          <w:sz w:val="24"/>
          <w:szCs w:val="24"/>
          <w:lang w:bidi="ar"/>
        </w:rPr>
        <w:t>2.7m＝23235</w:t>
      </w:r>
      <w:r>
        <w:rPr>
          <w:rFonts w:ascii="Times New Roman" w:hAnsi="Times New Roman"/>
          <w:bCs/>
          <w:sz w:val="24"/>
          <w:szCs w:val="24"/>
          <w:lang w:bidi="ar"/>
        </w:rPr>
        <w:t>m</w:t>
      </w:r>
      <w:r>
        <w:rPr>
          <w:rFonts w:ascii="Times New Roman" w:hAnsi="Times New Roman"/>
          <w:bCs/>
          <w:sz w:val="24"/>
          <w:szCs w:val="24"/>
          <w:vertAlign w:val="superscript"/>
          <w:lang w:bidi="ar"/>
        </w:rPr>
        <w:t>3</w:t>
      </w:r>
      <w:r>
        <w:rPr>
          <w:rFonts w:ascii="Times New Roman" w:hAnsi="Times New Roman"/>
          <w:bCs/>
          <w:sz w:val="24"/>
          <w:szCs w:val="24"/>
          <w:lang w:bidi="ar"/>
        </w:rPr>
        <w:t>，</w:t>
      </w:r>
      <w:r>
        <w:rPr>
          <w:rFonts w:ascii="Times New Roman" w:hAnsi="Times New Roman"/>
          <w:sz w:val="24"/>
          <w:szCs w:val="24"/>
          <w:lang w:bidi="ar"/>
        </w:rPr>
        <w:t>3栋育肥舍3</w:t>
      </w:r>
      <w:r>
        <w:rPr>
          <w:rFonts w:ascii="Times New Roman" w:hAnsi="Times New Roman"/>
          <w:bCs/>
          <w:sz w:val="24"/>
          <w:szCs w:val="24"/>
          <w:lang w:bidi="ar"/>
        </w:rPr>
        <w:t>×</w:t>
      </w:r>
      <w:r>
        <w:rPr>
          <w:rFonts w:ascii="Times New Roman" w:hAnsi="Times New Roman"/>
          <w:sz w:val="24"/>
          <w:szCs w:val="24"/>
          <w:lang w:bidi="ar"/>
        </w:rPr>
        <w:t>36.7m</w:t>
      </w:r>
      <w:r>
        <w:rPr>
          <w:rFonts w:ascii="Times New Roman" w:hAnsi="Times New Roman"/>
          <w:bCs/>
          <w:sz w:val="24"/>
          <w:szCs w:val="24"/>
          <w:lang w:bidi="ar"/>
        </w:rPr>
        <w:t>×</w:t>
      </w:r>
      <w:r>
        <w:rPr>
          <w:rFonts w:ascii="Times New Roman" w:hAnsi="Times New Roman"/>
          <w:sz w:val="24"/>
          <w:szCs w:val="24"/>
          <w:lang w:bidi="ar"/>
        </w:rPr>
        <w:t>141.6m</w:t>
      </w:r>
      <w:r>
        <w:rPr>
          <w:rFonts w:ascii="Times New Roman" w:hAnsi="Times New Roman"/>
          <w:bCs/>
          <w:sz w:val="24"/>
          <w:szCs w:val="24"/>
          <w:lang w:bidi="ar"/>
        </w:rPr>
        <w:t>×</w:t>
      </w:r>
      <w:r>
        <w:rPr>
          <w:rFonts w:ascii="Times New Roman" w:hAnsi="Times New Roman"/>
          <w:sz w:val="24"/>
          <w:szCs w:val="24"/>
          <w:lang w:bidi="ar"/>
        </w:rPr>
        <w:t>2.7m＝42093</w:t>
      </w:r>
      <w:r>
        <w:rPr>
          <w:rFonts w:ascii="Times New Roman" w:hAnsi="Times New Roman"/>
          <w:bCs/>
          <w:sz w:val="24"/>
          <w:szCs w:val="24"/>
          <w:lang w:bidi="ar"/>
        </w:rPr>
        <w:t>m</w:t>
      </w:r>
      <w:r>
        <w:rPr>
          <w:rFonts w:ascii="Times New Roman" w:hAnsi="Times New Roman"/>
          <w:bCs/>
          <w:sz w:val="24"/>
          <w:szCs w:val="24"/>
          <w:vertAlign w:val="superscript"/>
          <w:lang w:bidi="ar"/>
        </w:rPr>
        <w:t>3</w:t>
      </w:r>
      <w:r>
        <w:rPr>
          <w:rFonts w:ascii="Times New Roman" w:hAnsi="Times New Roman"/>
          <w:bCs/>
          <w:sz w:val="24"/>
          <w:szCs w:val="24"/>
          <w:lang w:bidi="ar"/>
        </w:rPr>
        <w:t>，</w:t>
      </w:r>
      <w:r>
        <w:rPr>
          <w:rFonts w:ascii="Times New Roman" w:hAnsi="Times New Roman"/>
          <w:sz w:val="24"/>
          <w:szCs w:val="24"/>
          <w:lang w:bidi="ar"/>
        </w:rPr>
        <w:t>合计总容积为65000</w:t>
      </w:r>
      <w:r>
        <w:rPr>
          <w:rFonts w:ascii="Times New Roman" w:hAnsi="Times New Roman"/>
          <w:bCs/>
          <w:sz w:val="24"/>
          <w:szCs w:val="24"/>
          <w:lang w:bidi="ar"/>
        </w:rPr>
        <w:t>m</w:t>
      </w:r>
      <w:r>
        <w:rPr>
          <w:rFonts w:ascii="Times New Roman" w:hAnsi="Times New Roman"/>
          <w:bCs/>
          <w:sz w:val="24"/>
          <w:szCs w:val="24"/>
          <w:vertAlign w:val="superscript"/>
          <w:lang w:bidi="ar"/>
        </w:rPr>
        <w:t>3</w:t>
      </w:r>
      <w:r>
        <w:rPr>
          <w:rFonts w:ascii="Times New Roman" w:hAnsi="Times New Roman"/>
          <w:bCs/>
          <w:sz w:val="24"/>
          <w:szCs w:val="24"/>
          <w:lang w:bidi="ar"/>
        </w:rPr>
        <w:t>，</w:t>
      </w:r>
      <w:r>
        <w:rPr>
          <w:rFonts w:ascii="Times New Roman" w:hAnsi="Times New Roman"/>
          <w:sz w:val="24"/>
          <w:szCs w:val="24"/>
          <w:lang w:bidi="ar"/>
        </w:rPr>
        <w:t>储存时间设计为6个月以上。在抽取粪肥时，采用从下部腐熟区域直接抽取的方式，发酵深坑的“抽粪结构”技术已申请专利，具有一定先进性。专利照片如下：</w:t>
      </w:r>
    </w:p>
    <w:p>
      <w:pPr>
        <w:widowControl/>
        <w:snapToGrid w:val="0"/>
        <w:spacing w:line="500" w:lineRule="exact"/>
        <w:ind w:firstLine="480" w:firstLineChars="200"/>
        <w:rPr>
          <w:rFonts w:ascii="Times New Roman" w:hAnsi="Times New Roman"/>
          <w:sz w:val="24"/>
          <w:szCs w:val="24"/>
          <w:lang w:bidi="ar"/>
        </w:rPr>
      </w:pPr>
    </w:p>
    <w:p>
      <w:pPr>
        <w:widowControl/>
        <w:snapToGrid w:val="0"/>
        <w:spacing w:line="500" w:lineRule="exact"/>
        <w:rPr>
          <w:rFonts w:ascii="Times New Roman" w:hAnsi="Times New Roman"/>
          <w:sz w:val="24"/>
          <w:szCs w:val="24"/>
          <w:lang w:bidi="ar"/>
        </w:rPr>
      </w:pPr>
    </w:p>
    <w:p>
      <w:pPr>
        <w:widowControl/>
        <w:snapToGrid w:val="0"/>
        <w:spacing w:line="500" w:lineRule="exact"/>
        <w:jc w:val="center"/>
        <w:rPr>
          <w:rFonts w:ascii="Times New Roman" w:hAnsi="Times New Roman" w:eastAsia="黑体"/>
          <w:sz w:val="24"/>
          <w:szCs w:val="24"/>
        </w:rPr>
      </w:pPr>
      <w:r>
        <w:rPr>
          <w:rFonts w:ascii="Times New Roman" w:hAnsi="Times New Roman" w:eastAsia="黑体"/>
          <w:sz w:val="21"/>
          <w:szCs w:val="24"/>
        </w:rPr>
        <w:drawing>
          <wp:anchor distT="0" distB="0" distL="114300" distR="114300" simplePos="0" relativeHeight="251673600" behindDoc="0" locked="0" layoutInCell="1" allowOverlap="1">
            <wp:simplePos x="0" y="0"/>
            <wp:positionH relativeFrom="column">
              <wp:posOffset>1046480</wp:posOffset>
            </wp:positionH>
            <wp:positionV relativeFrom="paragraph">
              <wp:posOffset>-53975</wp:posOffset>
            </wp:positionV>
            <wp:extent cx="3140075" cy="4539615"/>
            <wp:effectExtent l="0" t="0" r="3175" b="0"/>
            <wp:wrapTopAndBottom/>
            <wp:docPr id="301" name="图片 301" descr="E:\3-配合项目\丁老师项目\旺江农冉义现代化生猪养殖二期建设项目\旺江资料\二期附件和资料\提供给永清环保的资料\6抽粪口专利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E:\3-配合项目\丁老师项目\旺江农冉义现代化生猪养殖二期建设项目\旺江资料\二期附件和资料\提供给永清环保的资料\6抽粪口专利照片.jpg"/>
                    <pic:cNvPicPr>
                      <a:picLocks noChangeAspect="1" noChangeArrowheads="1"/>
                    </pic:cNvPicPr>
                  </pic:nvPicPr>
                  <pic:blipFill>
                    <a:blip r:embed="rId26" cstate="print">
                      <a:extLst>
                        <a:ext uri="{28A0092B-C50C-407E-A947-70E740481C1C}">
                          <a14:useLocalDpi xmlns:a14="http://schemas.microsoft.com/office/drawing/2010/main" val="0"/>
                        </a:ext>
                      </a:extLst>
                    </a:blip>
                    <a:srcRect l="4930" t="5580" r="5020" b="2199"/>
                    <a:stretch>
                      <a:fillRect/>
                    </a:stretch>
                  </pic:blipFill>
                  <pic:spPr>
                    <a:xfrm>
                      <a:off x="0" y="0"/>
                      <a:ext cx="3140075" cy="4539615"/>
                    </a:xfrm>
                    <a:prstGeom prst="rect">
                      <a:avLst/>
                    </a:prstGeom>
                    <a:noFill/>
                    <a:ln>
                      <a:noFill/>
                    </a:ln>
                  </pic:spPr>
                </pic:pic>
              </a:graphicData>
            </a:graphic>
          </wp:anchor>
        </w:drawing>
      </w:r>
      <w:r>
        <w:rPr>
          <w:rFonts w:ascii="Times New Roman" w:hAnsi="Times New Roman" w:eastAsia="黑体"/>
          <w:sz w:val="21"/>
          <w:szCs w:val="24"/>
        </w:rPr>
        <w:t>图2.3-1 抽粪结构专利照片</w:t>
      </w:r>
    </w:p>
    <w:p>
      <w:pPr>
        <w:widowControl/>
        <w:snapToGrid w:val="0"/>
        <w:spacing w:line="500" w:lineRule="exact"/>
        <w:ind w:firstLine="480" w:firstLineChars="200"/>
        <w:rPr>
          <w:rFonts w:ascii="Times New Roman" w:hAnsi="Times New Roman"/>
          <w:sz w:val="24"/>
          <w:szCs w:val="24"/>
        </w:rPr>
      </w:pPr>
      <w:r>
        <w:rPr>
          <w:rFonts w:ascii="Times New Roman" w:hAnsi="Times New Roman"/>
          <w:sz w:val="24"/>
          <w:szCs w:val="24"/>
          <w:lang w:bidi="ar"/>
        </w:rPr>
        <w:t>项目粪污废水在不外排、科学施肥前提下，由当地专业抽粪合作社</w:t>
      </w:r>
      <w:r>
        <w:rPr>
          <w:rFonts w:ascii="Times New Roman" w:hAnsi="Times New Roman"/>
          <w:bCs/>
          <w:sz w:val="24"/>
          <w:szCs w:val="24"/>
          <w:lang w:bidi="ar"/>
        </w:rPr>
        <w:t>全量收集还田处置。该处理方案符合</w:t>
      </w:r>
      <w:r>
        <w:rPr>
          <w:rFonts w:ascii="Times New Roman" w:hAnsi="Times New Roman"/>
          <w:sz w:val="24"/>
          <w:szCs w:val="24"/>
          <w:lang w:bidi="ar"/>
        </w:rPr>
        <w:t>农业部《畜禽规模养殖场粪污资源化利用设施建设规范（试行）》（农办牧[2018]2号）规定的设施建设要求、符合《四川省畜禽养殖污染防治技术指南（试行）》（川农业函〔2017〕647号）中模式一要求。具体分析如下。</w:t>
      </w:r>
    </w:p>
    <w:p>
      <w:pPr>
        <w:widowControl/>
        <w:snapToGrid w:val="0"/>
        <w:spacing w:line="500" w:lineRule="exact"/>
        <w:ind w:firstLine="480" w:firstLineChars="200"/>
        <w:jc w:val="left"/>
        <w:rPr>
          <w:rFonts w:ascii="Times New Roman" w:hAnsi="Times New Roman"/>
          <w:sz w:val="24"/>
          <w:szCs w:val="24"/>
        </w:rPr>
      </w:pPr>
      <w:r>
        <w:rPr>
          <w:rFonts w:ascii="Times New Roman" w:hAnsi="Times New Roman"/>
          <w:sz w:val="24"/>
          <w:szCs w:val="24"/>
          <w:lang w:bidi="ar"/>
        </w:rPr>
        <w:t>《</w:t>
      </w:r>
      <w:r>
        <w:rPr>
          <w:rFonts w:ascii="Times New Roman" w:hAnsi="Times New Roman"/>
          <w:bCs/>
          <w:sz w:val="24"/>
          <w:szCs w:val="24"/>
          <w:lang w:bidi="ar"/>
        </w:rPr>
        <w:t>畜禽规模养殖场粪污资源化利用设施建设规范（试行）》（农办牧[2018]2号）中要求，液体或全量粪污通过氧化塘、沉淀池等进行无害化处理的，氧化塘、贮存池容积不小于单位畜禽日粪污产生量（m</w:t>
      </w:r>
      <w:r>
        <w:rPr>
          <w:rFonts w:ascii="Times New Roman" w:hAnsi="Times New Roman"/>
          <w:bCs/>
          <w:sz w:val="24"/>
          <w:szCs w:val="24"/>
          <w:vertAlign w:val="superscript"/>
          <w:lang w:bidi="ar"/>
        </w:rPr>
        <w:t>3</w:t>
      </w:r>
      <w:r>
        <w:rPr>
          <w:rFonts w:ascii="Times New Roman" w:hAnsi="Times New Roman"/>
          <w:bCs/>
          <w:sz w:val="24"/>
          <w:szCs w:val="24"/>
          <w:lang w:bidi="ar"/>
        </w:rPr>
        <w:t>）×贮存周期(天)×设计存栏量(头)。单位畜禽粪污日产生量推荐值为：生猪0.01 m</w:t>
      </w:r>
      <w:r>
        <w:rPr>
          <w:rFonts w:ascii="Times New Roman" w:hAnsi="Times New Roman"/>
          <w:bCs/>
          <w:sz w:val="24"/>
          <w:szCs w:val="24"/>
          <w:vertAlign w:val="superscript"/>
          <w:lang w:bidi="ar"/>
        </w:rPr>
        <w:t>3</w:t>
      </w:r>
      <w:r>
        <w:rPr>
          <w:rFonts w:ascii="Times New Roman" w:hAnsi="Times New Roman"/>
          <w:bCs/>
          <w:sz w:val="24"/>
          <w:szCs w:val="24"/>
          <w:lang w:bidi="ar"/>
        </w:rPr>
        <w:t>，本项目存栏为19900头，则按规范需0.01×180×19900＝17622≈35820 m</w:t>
      </w:r>
      <w:r>
        <w:rPr>
          <w:rFonts w:ascii="Times New Roman" w:hAnsi="Times New Roman"/>
          <w:bCs/>
          <w:sz w:val="24"/>
          <w:szCs w:val="24"/>
          <w:vertAlign w:val="superscript"/>
          <w:lang w:bidi="ar"/>
        </w:rPr>
        <w:t>3</w:t>
      </w:r>
      <w:r>
        <w:rPr>
          <w:rFonts w:ascii="Times New Roman" w:hAnsi="Times New Roman"/>
          <w:bCs/>
          <w:sz w:val="24"/>
          <w:szCs w:val="24"/>
          <w:lang w:bidi="ar"/>
        </w:rPr>
        <w:t>。本项目拟修建的厌氧储存池有效容积为6.5万m</w:t>
      </w:r>
      <w:r>
        <w:rPr>
          <w:rFonts w:ascii="Times New Roman" w:hAnsi="Times New Roman"/>
          <w:bCs/>
          <w:sz w:val="24"/>
          <w:szCs w:val="24"/>
          <w:vertAlign w:val="superscript"/>
          <w:lang w:bidi="ar"/>
        </w:rPr>
        <w:t>3</w:t>
      </w:r>
      <w:r>
        <w:rPr>
          <w:rFonts w:ascii="Times New Roman" w:hAnsi="Times New Roman"/>
          <w:bCs/>
          <w:sz w:val="24"/>
          <w:szCs w:val="24"/>
          <w:lang w:bidi="ar"/>
        </w:rPr>
        <w:t>，其目的一方面是延长存储时间（6个月以上），有效发酵，提高</w:t>
      </w:r>
      <w:r>
        <w:rPr>
          <w:rFonts w:ascii="Times New Roman" w:hAnsi="Times New Roman"/>
          <w:sz w:val="24"/>
          <w:szCs w:val="24"/>
          <w:lang w:bidi="ar"/>
        </w:rPr>
        <w:t>粪液肥效、使其符合2017年6月国务院办公厅《关于加快推进畜禽废弃物资源化利用的意见》中“突出养分”进行资源化利用的精神要求，更加符合种植户的需求。另一方面是确保储存周期，满足当地农作物每年双季施肥的特点。</w:t>
      </w:r>
    </w:p>
    <w:p>
      <w:pPr>
        <w:widowControl/>
        <w:shd w:val="clear" w:color="auto" w:fill="FFFFFF"/>
        <w:snapToGrid w:val="0"/>
        <w:spacing w:line="500" w:lineRule="exact"/>
        <w:ind w:firstLine="480" w:firstLineChars="200"/>
        <w:jc w:val="left"/>
        <w:rPr>
          <w:rFonts w:ascii="Times New Roman" w:hAnsi="Times New Roman"/>
          <w:sz w:val="24"/>
          <w:szCs w:val="24"/>
          <w:shd w:val="clear" w:color="auto" w:fill="FFFFFF"/>
        </w:rPr>
      </w:pPr>
      <w:r>
        <w:rPr>
          <w:rFonts w:ascii="Times New Roman" w:hAnsi="Times New Roman"/>
          <w:sz w:val="24"/>
          <w:szCs w:val="24"/>
          <w:shd w:val="clear" w:color="auto" w:fill="FFFFFF"/>
          <w:lang w:bidi="ar"/>
        </w:rPr>
        <w:t>《四川省畜禽养殖污染防治技术指南（试行）》（川农业函〔2017〕647号）中，对规模化养殖场粪污废水提出的治理要求为：</w:t>
      </w:r>
    </w:p>
    <w:p>
      <w:pPr>
        <w:widowControl/>
        <w:shd w:val="clear" w:color="auto" w:fill="FFFFFF"/>
        <w:snapToGrid w:val="0"/>
        <w:spacing w:line="500" w:lineRule="exact"/>
        <w:ind w:firstLine="480" w:firstLineChars="200"/>
        <w:jc w:val="left"/>
        <w:rPr>
          <w:rFonts w:ascii="Times New Roman" w:hAnsi="Times New Roman"/>
          <w:sz w:val="24"/>
          <w:szCs w:val="24"/>
          <w:shd w:val="clear" w:color="auto" w:fill="FFFFFF"/>
        </w:rPr>
      </w:pPr>
      <w:r>
        <w:rPr>
          <w:rFonts w:ascii="Times New Roman" w:hAnsi="Times New Roman"/>
          <w:sz w:val="24"/>
          <w:szCs w:val="24"/>
          <w:shd w:val="clear" w:color="auto" w:fill="FFFFFF"/>
          <w:lang w:bidi="ar"/>
        </w:rPr>
        <w:t>畜禽养殖过程中产生的污水应坚持种养结合的原则，经无害化处理后尽量充分还田，实现污水资源化利用。畜禽养殖场污水引入农田前必须进行预处理（采用格栅、厌氧、沉淀等工艺流程），应配套设置田间储存池，解决农田在非施肥期间的污水出路问题。</w:t>
      </w:r>
    </w:p>
    <w:p>
      <w:pPr>
        <w:widowControl/>
        <w:shd w:val="clear" w:color="auto" w:fill="FFFFFF"/>
        <w:snapToGrid w:val="0"/>
        <w:spacing w:line="500" w:lineRule="exact"/>
        <w:ind w:firstLine="480" w:firstLineChars="200"/>
        <w:jc w:val="left"/>
        <w:rPr>
          <w:rFonts w:ascii="Times New Roman" w:hAnsi="Times New Roman"/>
          <w:sz w:val="24"/>
          <w:szCs w:val="24"/>
          <w:shd w:val="clear" w:color="auto" w:fill="FFFFFF"/>
        </w:rPr>
      </w:pPr>
      <w:r>
        <w:rPr>
          <w:rFonts w:ascii="Times New Roman" w:hAnsi="Times New Roman"/>
          <w:sz w:val="24"/>
          <w:szCs w:val="24"/>
          <w:shd w:val="clear" w:color="auto" w:fill="FFFFFF"/>
          <w:lang w:bidi="ar"/>
        </w:rPr>
        <w:t>对于养殖密集区或大规模养殖场，依托专业化粪污处理企业，集中收集并通过氧化塘贮存对粪污进行无害化处理，在作物收割后或播种前利用专业化施肥机械施用到农田，减少化肥施用量。</w:t>
      </w:r>
    </w:p>
    <w:p>
      <w:pPr>
        <w:widowControl/>
        <w:shd w:val="clear" w:color="auto" w:fill="FFFFFF"/>
        <w:snapToGrid w:val="0"/>
        <w:spacing w:line="500" w:lineRule="exact"/>
        <w:ind w:firstLine="360" w:firstLineChars="150"/>
        <w:jc w:val="left"/>
        <w:rPr>
          <w:rFonts w:ascii="Times New Roman" w:hAnsi="Times New Roman"/>
          <w:sz w:val="24"/>
          <w:szCs w:val="24"/>
          <w:shd w:val="clear" w:color="auto" w:fill="FFFFFF"/>
        </w:rPr>
      </w:pPr>
      <w:r>
        <w:rPr>
          <w:rFonts w:ascii="Times New Roman" w:hAnsi="Times New Roman"/>
          <w:sz w:val="24"/>
          <w:szCs w:val="24"/>
          <w:shd w:val="clear" w:color="auto" w:fill="FFFFFF"/>
          <w:lang w:bidi="ar"/>
        </w:rPr>
        <w:t>对于有配套农田的规模养殖场，养殖污水通过三级沉淀池或沼气工程进行无害化处理，配套建设肥水贮存、输送和配比设施，在农田施肥和灌溉期间，实行肥水一体化施用。</w:t>
      </w:r>
    </w:p>
    <w:p>
      <w:pPr>
        <w:widowControl/>
        <w:shd w:val="clear" w:color="auto" w:fill="FFFFFF"/>
        <w:snapToGrid w:val="0"/>
        <w:spacing w:line="500" w:lineRule="exact"/>
        <w:ind w:firstLine="360" w:firstLineChars="150"/>
        <w:jc w:val="left"/>
        <w:rPr>
          <w:rFonts w:ascii="Times New Roman" w:hAnsi="Times New Roman"/>
          <w:sz w:val="24"/>
          <w:szCs w:val="24"/>
          <w:shd w:val="clear" w:color="auto" w:fill="FFFFFF"/>
        </w:rPr>
      </w:pPr>
      <w:r>
        <w:rPr>
          <w:rFonts w:ascii="Times New Roman" w:hAnsi="Times New Roman"/>
          <w:sz w:val="24"/>
          <w:szCs w:val="24"/>
          <w:shd w:val="clear" w:color="auto" w:fill="FFFFFF"/>
          <w:lang w:bidi="ar"/>
        </w:rPr>
        <w:t>本项目废水在固液分离后，粪便外委堆肥，废水进行深度厌氧发酵后还田，满足上述要求。该处理方式为</w:t>
      </w:r>
      <w:r>
        <w:rPr>
          <w:rFonts w:ascii="Times New Roman" w:hAnsi="Times New Roman"/>
          <w:spacing w:val="-4"/>
          <w:sz w:val="24"/>
          <w:szCs w:val="24"/>
          <w:shd w:val="clear" w:color="auto" w:fill="FFFFFF"/>
          <w:lang w:bidi="ar"/>
        </w:rPr>
        <w:t>《畜禽养殖业污染治理工程技术规范》中规定的模式一处理。该模式使用前提为周边有足够土地消纳沼液、沼渣，并有一倍以上土地轮作面积，使整个养殖场的废物在小区域范围内全部达到循环利用。</w:t>
      </w:r>
    </w:p>
    <w:p>
      <w:pPr>
        <w:pStyle w:val="103"/>
        <w:numPr>
          <w:ilvl w:val="0"/>
          <w:numId w:val="0"/>
        </w:numPr>
        <w:rPr>
          <w:rFonts w:ascii="Times New Roman" w:hAnsi="Times New Roman"/>
          <w:b w:val="0"/>
          <w:bCs/>
          <w:kern w:val="28"/>
          <w:sz w:val="32"/>
          <w:szCs w:val="32"/>
        </w:rPr>
      </w:pPr>
      <w:bookmarkStart w:id="117" w:name="_Toc9873332"/>
      <w:r>
        <w:rPr>
          <w:rFonts w:ascii="Times New Roman" w:hAnsi="Times New Roman"/>
          <w:b w:val="0"/>
          <w:bCs/>
          <w:kern w:val="28"/>
          <w:sz w:val="32"/>
          <w:szCs w:val="32"/>
        </w:rPr>
        <w:t>2.4　污染源分析</w:t>
      </w:r>
      <w:bookmarkEnd w:id="117"/>
    </w:p>
    <w:p>
      <w:pPr>
        <w:pStyle w:val="108"/>
      </w:pPr>
      <w:bookmarkStart w:id="118" w:name="_Toc9873333"/>
      <w:r>
        <w:t>2.4.1  大气污染物</w:t>
      </w:r>
      <w:bookmarkEnd w:id="118"/>
    </w:p>
    <w:p>
      <w:pPr>
        <w:snapToGrid w:val="0"/>
        <w:ind w:firstLine="480" w:firstLineChars="200"/>
        <w:rPr>
          <w:rFonts w:ascii="Times New Roman" w:hAnsi="Times New Roman"/>
          <w:sz w:val="24"/>
          <w:szCs w:val="24"/>
        </w:rPr>
      </w:pPr>
      <w:r>
        <w:rPr>
          <w:rFonts w:ascii="Times New Roman" w:hAnsi="Times New Roman"/>
          <w:sz w:val="24"/>
          <w:szCs w:val="24"/>
        </w:rPr>
        <w:t>项目废气（恶臭）主要来源于保育舍，育肥舍，干粪堆场等，除此之外，还有食堂油烟。</w:t>
      </w:r>
    </w:p>
    <w:p>
      <w:pPr>
        <w:snapToGrid w:val="0"/>
        <w:spacing w:line="500" w:lineRule="exact"/>
        <w:ind w:firstLine="482" w:firstLineChars="200"/>
        <w:rPr>
          <w:rFonts w:ascii="Times New Roman" w:hAnsi="Times New Roman"/>
          <w:b/>
          <w:sz w:val="24"/>
          <w:szCs w:val="24"/>
        </w:rPr>
      </w:pPr>
      <w:r>
        <w:rPr>
          <w:rFonts w:ascii="Times New Roman" w:hAnsi="Times New Roman"/>
          <w:b/>
          <w:sz w:val="24"/>
          <w:szCs w:val="24"/>
        </w:rPr>
        <w:t>1、恶臭</w:t>
      </w:r>
    </w:p>
    <w:p>
      <w:pPr>
        <w:snapToGrid w:val="0"/>
        <w:spacing w:line="500" w:lineRule="exact"/>
        <w:ind w:firstLine="482" w:firstLineChars="200"/>
        <w:rPr>
          <w:rFonts w:ascii="Times New Roman" w:hAnsi="Times New Roman"/>
          <w:b/>
          <w:sz w:val="24"/>
          <w:szCs w:val="24"/>
        </w:rPr>
      </w:pPr>
      <w:r>
        <w:rPr>
          <w:rFonts w:ascii="Times New Roman" w:hAnsi="Times New Roman"/>
          <w:b/>
          <w:sz w:val="24"/>
          <w:szCs w:val="24"/>
        </w:rPr>
        <w:t>（1）恶臭来源及源强</w:t>
      </w:r>
    </w:p>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本项目恶臭排放点集中在圈舍，恶臭主要来自猪粪尿排放及其分解过程，主要包括NH</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S、臭气浓度等，几种主要恶臭物质的理化性质见下表。</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spacing w:line="460" w:lineRule="atLeast"/>
        <w:jc w:val="center"/>
        <w:rPr>
          <w:rFonts w:ascii="Times New Roman" w:hAnsi="Times New Roman" w:eastAsia="黑体"/>
          <w:sz w:val="21"/>
          <w:szCs w:val="21"/>
        </w:rPr>
      </w:pPr>
      <w:r>
        <w:rPr>
          <w:rFonts w:ascii="Times New Roman" w:hAnsi="Times New Roman" w:eastAsia="黑体"/>
          <w:sz w:val="21"/>
          <w:szCs w:val="21"/>
        </w:rPr>
        <w:t>表2.4-1 恶臭物质理化特征</w:t>
      </w:r>
    </w:p>
    <w:tbl>
      <w:tblPr>
        <w:tblStyle w:val="90"/>
        <w:tblW w:w="8528"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035"/>
        <w:gridCol w:w="2229"/>
        <w:gridCol w:w="2147"/>
        <w:gridCol w:w="211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8" w:hRule="atLeast"/>
        </w:trPr>
        <w:tc>
          <w:tcPr>
            <w:tcW w:w="2035" w:type="dxa"/>
            <w:vAlign w:val="center"/>
          </w:tcPr>
          <w:p>
            <w:pPr>
              <w:jc w:val="center"/>
              <w:rPr>
                <w:rFonts w:ascii="Times New Roman" w:hAnsi="Times New Roman"/>
                <w:sz w:val="21"/>
                <w:szCs w:val="21"/>
              </w:rPr>
            </w:pPr>
            <w:r>
              <w:rPr>
                <w:rFonts w:ascii="Times New Roman" w:hAnsi="Times New Roman"/>
                <w:sz w:val="21"/>
                <w:szCs w:val="21"/>
              </w:rPr>
              <w:t>恶臭物质</w:t>
            </w:r>
          </w:p>
        </w:tc>
        <w:tc>
          <w:tcPr>
            <w:tcW w:w="2229" w:type="dxa"/>
            <w:vAlign w:val="center"/>
          </w:tcPr>
          <w:p>
            <w:pPr>
              <w:jc w:val="center"/>
              <w:rPr>
                <w:rFonts w:ascii="Times New Roman" w:hAnsi="Times New Roman"/>
                <w:sz w:val="21"/>
                <w:szCs w:val="21"/>
              </w:rPr>
            </w:pPr>
            <w:r>
              <w:rPr>
                <w:rFonts w:ascii="Times New Roman" w:hAnsi="Times New Roman"/>
                <w:sz w:val="21"/>
                <w:szCs w:val="21"/>
              </w:rPr>
              <w:t>分子式</w:t>
            </w:r>
          </w:p>
        </w:tc>
        <w:tc>
          <w:tcPr>
            <w:tcW w:w="2147" w:type="dxa"/>
            <w:vAlign w:val="center"/>
          </w:tcPr>
          <w:p>
            <w:pPr>
              <w:jc w:val="center"/>
              <w:rPr>
                <w:rFonts w:ascii="Times New Roman" w:hAnsi="Times New Roman"/>
                <w:sz w:val="21"/>
                <w:szCs w:val="21"/>
              </w:rPr>
            </w:pPr>
            <w:r>
              <w:rPr>
                <w:rFonts w:ascii="Times New Roman" w:hAnsi="Times New Roman"/>
                <w:sz w:val="21"/>
                <w:szCs w:val="21"/>
              </w:rPr>
              <w:t>嗅阈值(ppm)</w:t>
            </w:r>
          </w:p>
        </w:tc>
        <w:tc>
          <w:tcPr>
            <w:tcW w:w="2117" w:type="dxa"/>
            <w:vAlign w:val="center"/>
          </w:tcPr>
          <w:p>
            <w:pPr>
              <w:jc w:val="center"/>
              <w:rPr>
                <w:rFonts w:ascii="Times New Roman" w:hAnsi="Times New Roman"/>
                <w:sz w:val="21"/>
                <w:szCs w:val="21"/>
              </w:rPr>
            </w:pPr>
            <w:r>
              <w:rPr>
                <w:rFonts w:ascii="Times New Roman" w:hAnsi="Times New Roman"/>
                <w:sz w:val="21"/>
                <w:szCs w:val="21"/>
              </w:rPr>
              <w:t>臭气特征</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035" w:type="dxa"/>
            <w:vAlign w:val="center"/>
          </w:tcPr>
          <w:p>
            <w:pPr>
              <w:jc w:val="center"/>
              <w:rPr>
                <w:rFonts w:ascii="Times New Roman" w:hAnsi="Times New Roman"/>
                <w:sz w:val="21"/>
                <w:szCs w:val="21"/>
              </w:rPr>
            </w:pPr>
            <w:r>
              <w:rPr>
                <w:rFonts w:ascii="Times New Roman" w:hAnsi="Times New Roman"/>
                <w:sz w:val="21"/>
                <w:szCs w:val="21"/>
              </w:rPr>
              <w:t>氨</w:t>
            </w:r>
          </w:p>
        </w:tc>
        <w:tc>
          <w:tcPr>
            <w:tcW w:w="2229" w:type="dxa"/>
            <w:vAlign w:val="center"/>
          </w:tcPr>
          <w:p>
            <w:pPr>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2147" w:type="dxa"/>
            <w:vAlign w:val="center"/>
          </w:tcPr>
          <w:p>
            <w:pPr>
              <w:jc w:val="center"/>
              <w:rPr>
                <w:rFonts w:ascii="Times New Roman" w:hAnsi="Times New Roman"/>
                <w:sz w:val="21"/>
                <w:szCs w:val="21"/>
              </w:rPr>
            </w:pPr>
            <w:r>
              <w:rPr>
                <w:rFonts w:ascii="Times New Roman" w:hAnsi="Times New Roman"/>
                <w:sz w:val="21"/>
                <w:szCs w:val="21"/>
              </w:rPr>
              <w:t>1.54</w:t>
            </w:r>
          </w:p>
        </w:tc>
        <w:tc>
          <w:tcPr>
            <w:tcW w:w="2117" w:type="dxa"/>
            <w:vAlign w:val="center"/>
          </w:tcPr>
          <w:p>
            <w:pPr>
              <w:jc w:val="center"/>
              <w:rPr>
                <w:rFonts w:ascii="Times New Roman" w:hAnsi="Times New Roman"/>
                <w:sz w:val="21"/>
                <w:szCs w:val="21"/>
              </w:rPr>
            </w:pPr>
            <w:r>
              <w:rPr>
                <w:rFonts w:ascii="Times New Roman" w:hAnsi="Times New Roman"/>
                <w:sz w:val="21"/>
                <w:szCs w:val="21"/>
              </w:rPr>
              <w:t>刺激味</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035" w:type="dxa"/>
            <w:vAlign w:val="center"/>
          </w:tcPr>
          <w:p>
            <w:pPr>
              <w:jc w:val="center"/>
              <w:rPr>
                <w:rFonts w:ascii="Times New Roman" w:hAnsi="Times New Roman"/>
                <w:sz w:val="21"/>
                <w:szCs w:val="21"/>
              </w:rPr>
            </w:pPr>
            <w:r>
              <w:rPr>
                <w:rFonts w:ascii="Times New Roman" w:hAnsi="Times New Roman"/>
                <w:sz w:val="21"/>
                <w:szCs w:val="21"/>
              </w:rPr>
              <w:t>硫化氢</w:t>
            </w:r>
          </w:p>
        </w:tc>
        <w:tc>
          <w:tcPr>
            <w:tcW w:w="2229" w:type="dxa"/>
            <w:vAlign w:val="center"/>
          </w:tcPr>
          <w:p>
            <w:pPr>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2147" w:type="dxa"/>
            <w:vAlign w:val="center"/>
          </w:tcPr>
          <w:p>
            <w:pPr>
              <w:jc w:val="center"/>
              <w:rPr>
                <w:rFonts w:ascii="Times New Roman" w:hAnsi="Times New Roman"/>
                <w:sz w:val="21"/>
                <w:szCs w:val="21"/>
              </w:rPr>
            </w:pPr>
            <w:r>
              <w:rPr>
                <w:rFonts w:ascii="Times New Roman" w:hAnsi="Times New Roman"/>
                <w:sz w:val="21"/>
                <w:szCs w:val="21"/>
              </w:rPr>
              <w:t>0.0041</w:t>
            </w:r>
          </w:p>
        </w:tc>
        <w:tc>
          <w:tcPr>
            <w:tcW w:w="2117" w:type="dxa"/>
            <w:vAlign w:val="center"/>
          </w:tcPr>
          <w:p>
            <w:pPr>
              <w:jc w:val="center"/>
              <w:rPr>
                <w:rFonts w:ascii="Times New Roman" w:hAnsi="Times New Roman"/>
                <w:sz w:val="21"/>
                <w:szCs w:val="21"/>
              </w:rPr>
            </w:pPr>
            <w:r>
              <w:rPr>
                <w:rFonts w:ascii="Times New Roman" w:hAnsi="Times New Roman"/>
                <w:sz w:val="21"/>
                <w:szCs w:val="21"/>
              </w:rPr>
              <w:t>臭蛋味</w:t>
            </w:r>
          </w:p>
        </w:tc>
      </w:tr>
    </w:tbl>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根据国家环保总局《全国规模化畜禽养殖业污染情况调查及防治对策》（中国环境科学出版社-2002年出版）中有关数据分析，存栏 1000 头猪产生硫化氢 0.0043kg/h、氨0.073kg/h；同时，根据研究文献（《猪舍氨气排放量及其检测技术研究进展》2014年中国畜牧兽医 李勋等）研究， 猪舍内氨气排放量受许多因素的影响，如猪的年龄、体重、日粮组分、猪舍和蓄粪池的类型、粪尿处理方法及天气情况。在不同的国家，这些因素是不同的 所以每头猪的年氨气排放量也是不同的。即使在同一个国家的不同地区， 由于农业结构的差异，每头猪的年氨气排放量也是不同的。</w:t>
      </w:r>
    </w:p>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本项目采用全漏缝地板，根据经验会大幅度降低氨气的排放量。本项目氨的产生量常年存栏数 19900头，按存栏 1000 头猪产生硫化氢 0.0043kg/h、氨0.073kg/h计算，同时全漏缝地板减排系数50%左右控制，得到本项目圈舍恶臭污染物产生量为：硫化氢 0.04279kg/h（0.3748t/a）；氨0.7264kg/h（6.3628t/a）。</w:t>
      </w:r>
    </w:p>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本项目圈舍整体为负压封闭状态，废气一般不会溢出圈舍。废气通过抽风系统收集，垂直通风口采用活性炭处理后再通过圈舍耳房排放。</w:t>
      </w:r>
    </w:p>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采用在饲料中添加除臭丝兰粉，减少圈舍臭气污染物浓度，其中减少氨气量的40％~60％，硫化氢量的50%，本报告按50%计算。其作用原理为：丝兰提取物是一种脲酶抑制剂，不但能抑制尿素分解成氨气，还能促进微生物将氨气转变成微生物蛋白，从而减少粪、尿中氨气的产生。丝兰提取物中的大分子(大于 20万道尔顿)和序列分子能直接吸附、结合环境中氨气等有害气体。丝兰提取物可通过阻止粪尿中氮的硝化，使氮以无机质形式存在，从而使散发到空气中的氨气量减少。垂直通风口废气经过活性炭吸附，净化效率可提高到90%。综合处置净化效率95%。</w:t>
      </w:r>
    </w:p>
    <w:p>
      <w:pPr>
        <w:widowControl/>
        <w:snapToGrid w:val="0"/>
        <w:spacing w:line="500" w:lineRule="exact"/>
        <w:ind w:firstLine="480" w:firstLineChars="200"/>
        <w:jc w:val="left"/>
        <w:rPr>
          <w:rFonts w:ascii="Times New Roman" w:hAnsi="Times New Roman"/>
          <w:sz w:val="24"/>
          <w:szCs w:val="24"/>
        </w:rPr>
      </w:pPr>
      <w:r>
        <w:rPr>
          <w:rFonts w:ascii="Times New Roman" w:hAnsi="Times New Roman"/>
          <w:sz w:val="24"/>
          <w:szCs w:val="24"/>
        </w:rPr>
        <w:t>经一期试运行期间验收监测，经采取了综合防治措施后，圈舍臭气污染物可以达标排放。</w:t>
      </w:r>
      <w:r>
        <w:rPr>
          <w:rFonts w:ascii="Times New Roman" w:hAnsi="Times New Roman"/>
          <w:sz w:val="24"/>
          <w:szCs w:val="24"/>
          <w:lang w:bidi="ar"/>
        </w:rPr>
        <w:t>在项目试运行过程中，成都市华测检测技术有限公司检测与2018年4月对厂区无组织废气检测进行了检测，厂界氨和硫化氢的浓度较低（氨 0.04~0.26mg/m</w:t>
      </w:r>
      <w:r>
        <w:rPr>
          <w:rFonts w:ascii="Times New Roman" w:hAnsi="Times New Roman"/>
          <w:sz w:val="24"/>
          <w:szCs w:val="24"/>
          <w:vertAlign w:val="superscript"/>
          <w:lang w:bidi="ar"/>
        </w:rPr>
        <w:t>3</w:t>
      </w:r>
      <w:r>
        <w:rPr>
          <w:rFonts w:ascii="Times New Roman" w:hAnsi="Times New Roman"/>
          <w:sz w:val="24"/>
          <w:szCs w:val="24"/>
          <w:lang w:bidi="ar"/>
        </w:rPr>
        <w:t>、硫化氢 0.001~0.006mg/m</w:t>
      </w:r>
      <w:r>
        <w:rPr>
          <w:rFonts w:ascii="Times New Roman" w:hAnsi="Times New Roman"/>
          <w:sz w:val="24"/>
          <w:szCs w:val="24"/>
          <w:vertAlign w:val="superscript"/>
          <w:lang w:bidi="ar"/>
        </w:rPr>
        <w:t>3</w:t>
      </w:r>
      <w:r>
        <w:rPr>
          <w:rFonts w:ascii="Times New Roman" w:hAnsi="Times New Roman"/>
          <w:sz w:val="24"/>
          <w:szCs w:val="24"/>
          <w:lang w:bidi="ar"/>
        </w:rPr>
        <w:t>），废气排放满足排放要求。2018年12月对圈舍上方氨和硫化氢进行了监测，氨和硫化氢的浓度较低（氨 1.37mg/m</w:t>
      </w:r>
      <w:r>
        <w:rPr>
          <w:rFonts w:ascii="Times New Roman" w:hAnsi="Times New Roman"/>
          <w:sz w:val="24"/>
          <w:szCs w:val="24"/>
          <w:vertAlign w:val="superscript"/>
          <w:lang w:bidi="ar"/>
        </w:rPr>
        <w:t>3</w:t>
      </w:r>
      <w:r>
        <w:rPr>
          <w:rFonts w:ascii="Times New Roman" w:hAnsi="Times New Roman"/>
          <w:sz w:val="24"/>
          <w:szCs w:val="24"/>
          <w:lang w:bidi="ar"/>
        </w:rPr>
        <w:t>、硫化氢未检出）。</w:t>
      </w:r>
    </w:p>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排放情况详见下表。</w:t>
      </w:r>
    </w:p>
    <w:p>
      <w:pPr>
        <w:jc w:val="center"/>
        <w:rPr>
          <w:rFonts w:ascii="Times New Roman" w:hAnsi="Times New Roman" w:eastAsia="黑体"/>
          <w:sz w:val="21"/>
          <w:szCs w:val="21"/>
        </w:rPr>
      </w:pPr>
      <w:r>
        <w:rPr>
          <w:rFonts w:ascii="Times New Roman" w:hAnsi="Times New Roman" w:eastAsia="黑体"/>
          <w:sz w:val="21"/>
          <w:szCs w:val="21"/>
        </w:rPr>
        <w:t>表2.4-2 项目主要恶臭污染物排放情况表</w:t>
      </w:r>
    </w:p>
    <w:tbl>
      <w:tblPr>
        <w:tblStyle w:val="90"/>
        <w:tblW w:w="8300"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66"/>
        <w:gridCol w:w="1574"/>
        <w:gridCol w:w="1614"/>
        <w:gridCol w:w="1321"/>
        <w:gridCol w:w="1468"/>
        <w:gridCol w:w="125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57" w:hRule="atLeast"/>
          <w:jc w:val="center"/>
        </w:trPr>
        <w:tc>
          <w:tcPr>
            <w:tcW w:w="1066" w:type="dxa"/>
            <w:vMerge w:val="restart"/>
            <w:tcMar>
              <w:left w:w="57" w:type="dxa"/>
              <w:right w:w="57"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来源</w:t>
            </w:r>
          </w:p>
        </w:tc>
        <w:tc>
          <w:tcPr>
            <w:tcW w:w="1574" w:type="dxa"/>
            <w:vMerge w:val="restart"/>
            <w:tcMar>
              <w:left w:w="57" w:type="dxa"/>
              <w:right w:w="57"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数量</w:t>
            </w:r>
          </w:p>
        </w:tc>
        <w:tc>
          <w:tcPr>
            <w:tcW w:w="2935" w:type="dxa"/>
            <w:gridSpan w:val="2"/>
            <w:tcMar>
              <w:left w:w="57" w:type="dxa"/>
              <w:right w:w="57"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氨</w:t>
            </w:r>
          </w:p>
        </w:tc>
        <w:tc>
          <w:tcPr>
            <w:tcW w:w="2725" w:type="dxa"/>
            <w:gridSpan w:val="2"/>
            <w:vAlign w:val="center"/>
          </w:tcPr>
          <w:p>
            <w:pPr>
              <w:spacing w:line="276" w:lineRule="auto"/>
              <w:jc w:val="center"/>
              <w:rPr>
                <w:rFonts w:ascii="Times New Roman" w:hAnsi="Times New Roman"/>
                <w:sz w:val="21"/>
                <w:szCs w:val="21"/>
              </w:rPr>
            </w:pPr>
            <w:r>
              <w:rPr>
                <w:rFonts w:ascii="Times New Roman" w:hAnsi="Times New Roman"/>
                <w:sz w:val="21"/>
                <w:szCs w:val="21"/>
              </w:rPr>
              <w:t>硫化氢</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jc w:val="center"/>
        </w:trPr>
        <w:tc>
          <w:tcPr>
            <w:tcW w:w="1066" w:type="dxa"/>
            <w:vMerge w:val="continue"/>
            <w:tcMar>
              <w:left w:w="57" w:type="dxa"/>
              <w:right w:w="57" w:type="dxa"/>
            </w:tcMar>
            <w:vAlign w:val="center"/>
          </w:tcPr>
          <w:p>
            <w:pPr>
              <w:spacing w:line="276" w:lineRule="auto"/>
              <w:jc w:val="center"/>
              <w:rPr>
                <w:rFonts w:ascii="Times New Roman" w:hAnsi="Times New Roman"/>
                <w:sz w:val="21"/>
                <w:szCs w:val="21"/>
              </w:rPr>
            </w:pPr>
          </w:p>
        </w:tc>
        <w:tc>
          <w:tcPr>
            <w:tcW w:w="1574" w:type="dxa"/>
            <w:vMerge w:val="continue"/>
            <w:tcMar>
              <w:left w:w="57" w:type="dxa"/>
              <w:right w:w="57" w:type="dxa"/>
            </w:tcMar>
            <w:vAlign w:val="center"/>
          </w:tcPr>
          <w:p>
            <w:pPr>
              <w:spacing w:line="276" w:lineRule="auto"/>
              <w:jc w:val="center"/>
              <w:rPr>
                <w:rFonts w:ascii="Times New Roman" w:hAnsi="Times New Roman"/>
                <w:sz w:val="21"/>
                <w:szCs w:val="21"/>
              </w:rPr>
            </w:pPr>
          </w:p>
        </w:tc>
        <w:tc>
          <w:tcPr>
            <w:tcW w:w="1614" w:type="dxa"/>
            <w:tcMar>
              <w:left w:w="57" w:type="dxa"/>
              <w:right w:w="57" w:type="dxa"/>
            </w:tcMar>
            <w:vAlign w:val="center"/>
          </w:tcPr>
          <w:p>
            <w:pPr>
              <w:spacing w:line="276" w:lineRule="auto"/>
              <w:jc w:val="center"/>
              <w:rPr>
                <w:rFonts w:ascii="Times New Roman" w:hAnsi="Times New Roman"/>
                <w:sz w:val="21"/>
                <w:szCs w:val="21"/>
              </w:rPr>
            </w:pPr>
            <w:r>
              <w:rPr>
                <w:rFonts w:ascii="Times New Roman" w:hAnsi="Times New Roman"/>
                <w:sz w:val="21"/>
                <w:szCs w:val="21"/>
              </w:rPr>
              <w:t>产生量</w:t>
            </w:r>
          </w:p>
        </w:tc>
        <w:tc>
          <w:tcPr>
            <w:tcW w:w="1321" w:type="dxa"/>
            <w:vAlign w:val="center"/>
          </w:tcPr>
          <w:p>
            <w:pPr>
              <w:spacing w:line="276" w:lineRule="auto"/>
              <w:jc w:val="center"/>
              <w:rPr>
                <w:rFonts w:ascii="Times New Roman" w:hAnsi="Times New Roman"/>
                <w:sz w:val="21"/>
                <w:szCs w:val="21"/>
              </w:rPr>
            </w:pPr>
            <w:r>
              <w:rPr>
                <w:rFonts w:ascii="Times New Roman" w:hAnsi="Times New Roman"/>
                <w:sz w:val="21"/>
                <w:szCs w:val="21"/>
              </w:rPr>
              <w:t>排放量</w:t>
            </w:r>
          </w:p>
        </w:tc>
        <w:tc>
          <w:tcPr>
            <w:tcW w:w="1468" w:type="dxa"/>
            <w:vAlign w:val="center"/>
          </w:tcPr>
          <w:p>
            <w:pPr>
              <w:spacing w:line="276" w:lineRule="auto"/>
              <w:jc w:val="center"/>
              <w:rPr>
                <w:rFonts w:ascii="Times New Roman" w:hAnsi="Times New Roman"/>
                <w:sz w:val="21"/>
                <w:szCs w:val="21"/>
              </w:rPr>
            </w:pPr>
            <w:r>
              <w:rPr>
                <w:rFonts w:ascii="Times New Roman" w:hAnsi="Times New Roman"/>
                <w:sz w:val="21"/>
                <w:szCs w:val="21"/>
              </w:rPr>
              <w:t>产生量</w:t>
            </w:r>
          </w:p>
        </w:tc>
        <w:tc>
          <w:tcPr>
            <w:tcW w:w="1257" w:type="dxa"/>
            <w:tcMar>
              <w:left w:w="57" w:type="dxa"/>
              <w:right w:w="57" w:type="dxa"/>
            </w:tcMar>
            <w:vAlign w:val="center"/>
          </w:tcPr>
          <w:p>
            <w:pPr>
              <w:spacing w:line="276" w:lineRule="auto"/>
              <w:jc w:val="center"/>
              <w:rPr>
                <w:rFonts w:ascii="Times New Roman" w:hAnsi="Times New Roman"/>
                <w:sz w:val="21"/>
                <w:szCs w:val="21"/>
              </w:rPr>
            </w:pPr>
            <w:r>
              <w:rPr>
                <w:rFonts w:ascii="Times New Roman" w:hAnsi="Times New Roman"/>
                <w:sz w:val="21"/>
                <w:szCs w:val="21"/>
              </w:rPr>
              <w:t>排放量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1" w:hRule="atLeast"/>
          <w:jc w:val="center"/>
        </w:trPr>
        <w:tc>
          <w:tcPr>
            <w:tcW w:w="1066" w:type="dxa"/>
            <w:tcMar>
              <w:left w:w="57" w:type="dxa"/>
              <w:right w:w="57" w:type="dxa"/>
            </w:tcMar>
            <w:vAlign w:val="center"/>
          </w:tcPr>
          <w:p>
            <w:pPr>
              <w:jc w:val="center"/>
              <w:rPr>
                <w:rFonts w:ascii="Times New Roman" w:hAnsi="Times New Roman"/>
                <w:sz w:val="21"/>
                <w:szCs w:val="21"/>
              </w:rPr>
            </w:pPr>
            <w:r>
              <w:rPr>
                <w:rFonts w:ascii="Times New Roman" w:hAnsi="Times New Roman"/>
                <w:sz w:val="21"/>
                <w:szCs w:val="21"/>
              </w:rPr>
              <w:t>圈舍</w:t>
            </w:r>
          </w:p>
        </w:tc>
        <w:tc>
          <w:tcPr>
            <w:tcW w:w="1574" w:type="dxa"/>
            <w:tcMar>
              <w:left w:w="57" w:type="dxa"/>
              <w:right w:w="57" w:type="dxa"/>
            </w:tcMar>
            <w:vAlign w:val="center"/>
          </w:tcPr>
          <w:p>
            <w:pPr>
              <w:jc w:val="center"/>
              <w:rPr>
                <w:rFonts w:ascii="Times New Roman" w:hAnsi="Times New Roman"/>
                <w:sz w:val="21"/>
                <w:szCs w:val="21"/>
              </w:rPr>
            </w:pPr>
            <w:r>
              <w:rPr>
                <w:rFonts w:ascii="Times New Roman" w:hAnsi="Times New Roman"/>
                <w:sz w:val="21"/>
                <w:szCs w:val="21"/>
              </w:rPr>
              <w:t>存栏19900头</w:t>
            </w:r>
          </w:p>
        </w:tc>
        <w:tc>
          <w:tcPr>
            <w:tcW w:w="1614" w:type="dxa"/>
            <w:tcMar>
              <w:left w:w="57" w:type="dxa"/>
              <w:right w:w="57" w:type="dxa"/>
            </w:tcMar>
            <w:vAlign w:val="center"/>
          </w:tcPr>
          <w:p>
            <w:pPr>
              <w:jc w:val="center"/>
              <w:rPr>
                <w:rFonts w:ascii="Times New Roman" w:hAnsi="Times New Roman"/>
                <w:sz w:val="21"/>
                <w:szCs w:val="21"/>
              </w:rPr>
            </w:pPr>
            <w:r>
              <w:rPr>
                <w:rFonts w:ascii="Times New Roman" w:hAnsi="Times New Roman"/>
                <w:sz w:val="21"/>
                <w:szCs w:val="21"/>
              </w:rPr>
              <w:t>0.7261kg/h</w:t>
            </w:r>
          </w:p>
          <w:p>
            <w:pPr>
              <w:jc w:val="center"/>
              <w:rPr>
                <w:rFonts w:ascii="Times New Roman" w:hAnsi="Times New Roman"/>
                <w:sz w:val="21"/>
                <w:szCs w:val="21"/>
              </w:rPr>
            </w:pPr>
            <w:r>
              <w:rPr>
                <w:rFonts w:ascii="Times New Roman" w:hAnsi="Times New Roman"/>
                <w:sz w:val="21"/>
                <w:szCs w:val="21"/>
              </w:rPr>
              <w:t>6.3628t/a</w:t>
            </w:r>
          </w:p>
        </w:tc>
        <w:tc>
          <w:tcPr>
            <w:tcW w:w="1321" w:type="dxa"/>
            <w:vAlign w:val="center"/>
          </w:tcPr>
          <w:p>
            <w:pPr>
              <w:jc w:val="center"/>
              <w:rPr>
                <w:rFonts w:ascii="Times New Roman" w:hAnsi="Times New Roman"/>
                <w:sz w:val="21"/>
                <w:szCs w:val="21"/>
              </w:rPr>
            </w:pPr>
            <w:r>
              <w:rPr>
                <w:rFonts w:ascii="Times New Roman" w:hAnsi="Times New Roman"/>
                <w:sz w:val="21"/>
                <w:szCs w:val="21"/>
              </w:rPr>
              <w:t>0.0365kg/h</w:t>
            </w:r>
          </w:p>
          <w:p>
            <w:pPr>
              <w:jc w:val="center"/>
              <w:rPr>
                <w:rFonts w:ascii="Times New Roman" w:hAnsi="Times New Roman"/>
                <w:sz w:val="21"/>
                <w:szCs w:val="21"/>
              </w:rPr>
            </w:pPr>
            <w:r>
              <w:rPr>
                <w:rFonts w:ascii="Times New Roman" w:hAnsi="Times New Roman"/>
                <w:sz w:val="21"/>
                <w:szCs w:val="21"/>
              </w:rPr>
              <w:t>0.3181t/a</w:t>
            </w:r>
          </w:p>
        </w:tc>
        <w:tc>
          <w:tcPr>
            <w:tcW w:w="1468" w:type="dxa"/>
            <w:vAlign w:val="center"/>
          </w:tcPr>
          <w:p>
            <w:pPr>
              <w:jc w:val="center"/>
              <w:rPr>
                <w:rFonts w:ascii="Times New Roman" w:hAnsi="Times New Roman"/>
                <w:sz w:val="21"/>
                <w:szCs w:val="21"/>
              </w:rPr>
            </w:pPr>
            <w:r>
              <w:rPr>
                <w:rFonts w:ascii="Times New Roman" w:hAnsi="Times New Roman"/>
                <w:sz w:val="21"/>
                <w:szCs w:val="21"/>
              </w:rPr>
              <w:t>0.04279kg/h</w:t>
            </w:r>
          </w:p>
          <w:p>
            <w:pPr>
              <w:jc w:val="center"/>
              <w:rPr>
                <w:rFonts w:ascii="Times New Roman" w:hAnsi="Times New Roman"/>
                <w:sz w:val="21"/>
                <w:szCs w:val="21"/>
              </w:rPr>
            </w:pPr>
            <w:r>
              <w:rPr>
                <w:rFonts w:ascii="Times New Roman" w:hAnsi="Times New Roman"/>
                <w:sz w:val="21"/>
                <w:szCs w:val="21"/>
              </w:rPr>
              <w:t>0.3748t/a</w:t>
            </w:r>
          </w:p>
        </w:tc>
        <w:tc>
          <w:tcPr>
            <w:tcW w:w="1257" w:type="dxa"/>
            <w:tcMar>
              <w:left w:w="57" w:type="dxa"/>
              <w:right w:w="57" w:type="dxa"/>
            </w:tcMar>
            <w:vAlign w:val="center"/>
          </w:tcPr>
          <w:p>
            <w:pPr>
              <w:jc w:val="center"/>
              <w:rPr>
                <w:rFonts w:ascii="Times New Roman" w:hAnsi="Times New Roman"/>
                <w:sz w:val="21"/>
                <w:szCs w:val="21"/>
              </w:rPr>
            </w:pPr>
            <w:r>
              <w:rPr>
                <w:rFonts w:ascii="Times New Roman" w:hAnsi="Times New Roman"/>
                <w:sz w:val="21"/>
                <w:szCs w:val="21"/>
              </w:rPr>
              <w:t>0.0021kg/h</w:t>
            </w:r>
          </w:p>
          <w:p>
            <w:pPr>
              <w:jc w:val="center"/>
              <w:rPr>
                <w:rFonts w:ascii="Times New Roman" w:hAnsi="Times New Roman"/>
                <w:sz w:val="21"/>
                <w:szCs w:val="21"/>
              </w:rPr>
            </w:pPr>
            <w:r>
              <w:rPr>
                <w:rFonts w:ascii="Times New Roman" w:hAnsi="Times New Roman"/>
                <w:sz w:val="21"/>
                <w:szCs w:val="21"/>
              </w:rPr>
              <w:t>0.0187 t/a</w:t>
            </w:r>
          </w:p>
        </w:tc>
      </w:tr>
    </w:tbl>
    <w:p>
      <w:pPr>
        <w:snapToGrid w:val="0"/>
        <w:spacing w:line="480" w:lineRule="exact"/>
        <w:ind w:firstLine="480" w:firstLineChars="200"/>
        <w:rPr>
          <w:rFonts w:ascii="Times New Roman" w:hAnsi="Times New Roman"/>
          <w:sz w:val="24"/>
          <w:szCs w:val="24"/>
        </w:rPr>
      </w:pPr>
      <w:r>
        <w:rPr>
          <w:rFonts w:ascii="Times New Roman" w:hAnsi="Times New Roman"/>
          <w:sz w:val="24"/>
          <w:szCs w:val="24"/>
        </w:rPr>
        <w:t>本项目NH</w:t>
      </w:r>
      <w:r>
        <w:rPr>
          <w:rFonts w:ascii="Times New Roman" w:hAnsi="Times New Roman"/>
          <w:sz w:val="24"/>
          <w:szCs w:val="24"/>
          <w:vertAlign w:val="subscript"/>
        </w:rPr>
        <w:t>3</w:t>
      </w:r>
      <w:r>
        <w:rPr>
          <w:rFonts w:ascii="Times New Roman" w:hAnsi="Times New Roman"/>
          <w:sz w:val="24"/>
          <w:szCs w:val="24"/>
        </w:rPr>
        <w:t>排放量为0.0365kg/h，0.3181t/a； H</w:t>
      </w:r>
      <w:r>
        <w:rPr>
          <w:rFonts w:ascii="Times New Roman" w:hAnsi="Times New Roman"/>
          <w:sz w:val="24"/>
          <w:szCs w:val="24"/>
          <w:vertAlign w:val="subscript"/>
        </w:rPr>
        <w:t>2</w:t>
      </w:r>
      <w:r>
        <w:rPr>
          <w:rFonts w:ascii="Times New Roman" w:hAnsi="Times New Roman"/>
          <w:sz w:val="24"/>
          <w:szCs w:val="24"/>
        </w:rPr>
        <w:t>S排放量0.0021kg/h，0.0187t/a。</w:t>
      </w:r>
    </w:p>
    <w:p>
      <w:pPr>
        <w:snapToGrid w:val="0"/>
        <w:spacing w:line="480" w:lineRule="exact"/>
        <w:ind w:firstLine="482" w:firstLineChars="200"/>
        <w:rPr>
          <w:rFonts w:ascii="Times New Roman" w:hAnsi="Times New Roman"/>
          <w:b/>
          <w:sz w:val="24"/>
          <w:szCs w:val="24"/>
        </w:rPr>
      </w:pPr>
      <w:r>
        <w:rPr>
          <w:rFonts w:ascii="Times New Roman" w:hAnsi="Times New Roman"/>
          <w:b/>
          <w:sz w:val="24"/>
          <w:szCs w:val="24"/>
        </w:rPr>
        <w:t>（2）恶臭防护措施</w:t>
      </w:r>
    </w:p>
    <w:p>
      <w:pPr>
        <w:snapToGrid w:val="0"/>
        <w:spacing w:line="480" w:lineRule="exact"/>
        <w:ind w:firstLine="480" w:firstLineChars="200"/>
        <w:rPr>
          <w:rFonts w:ascii="Times New Roman" w:hAnsi="Times New Roman"/>
          <w:sz w:val="24"/>
          <w:szCs w:val="24"/>
        </w:rPr>
      </w:pPr>
      <w:r>
        <w:rPr>
          <w:rFonts w:ascii="Times New Roman" w:hAnsi="Times New Roman"/>
          <w:sz w:val="24"/>
          <w:szCs w:val="24"/>
        </w:rPr>
        <w:t>本项目主体设计中将采取如下几种措施减少恶臭的产生与传播：</w:t>
      </w:r>
    </w:p>
    <w:p>
      <w:pPr>
        <w:numPr>
          <w:ilvl w:val="0"/>
          <w:numId w:val="9"/>
        </w:numPr>
        <w:adjustRightInd w:val="0"/>
        <w:snapToGrid w:val="0"/>
        <w:spacing w:line="480" w:lineRule="exact"/>
        <w:ind w:left="0" w:firstLine="480" w:firstLineChars="200"/>
        <w:textAlignment w:val="baseline"/>
        <w:rPr>
          <w:rFonts w:ascii="Times New Roman" w:hAnsi="Times New Roman"/>
          <w:sz w:val="24"/>
          <w:szCs w:val="24"/>
        </w:rPr>
      </w:pPr>
      <w:r>
        <w:rPr>
          <w:rFonts w:ascii="Times New Roman" w:hAnsi="Times New Roman"/>
          <w:sz w:val="24"/>
          <w:szCs w:val="24"/>
        </w:rPr>
        <w:t>圈舍整体为负压封闭状态，减少废气溢出。</w:t>
      </w:r>
    </w:p>
    <w:p>
      <w:pPr>
        <w:numPr>
          <w:ilvl w:val="0"/>
          <w:numId w:val="9"/>
        </w:numPr>
        <w:adjustRightInd w:val="0"/>
        <w:snapToGrid w:val="0"/>
        <w:spacing w:line="480" w:lineRule="exact"/>
        <w:ind w:left="0" w:firstLine="480" w:firstLineChars="200"/>
        <w:textAlignment w:val="baseline"/>
        <w:rPr>
          <w:rFonts w:ascii="Times New Roman" w:hAnsi="Times New Roman"/>
          <w:sz w:val="24"/>
          <w:szCs w:val="24"/>
        </w:rPr>
      </w:pPr>
      <w:r>
        <w:rPr>
          <w:rFonts w:ascii="Times New Roman" w:hAnsi="Times New Roman"/>
          <w:sz w:val="24"/>
          <w:szCs w:val="24"/>
        </w:rPr>
        <w:t>废气通过抽风系统收集，并经活性炭处理后通过圈舍耳房排放。保证圈舍管理效率，及时清理圈舍粪便，做到日产日清；通过减少粪便的停留时间和覆盖面积，可大为降低圈舍废气产生；</w:t>
      </w:r>
    </w:p>
    <w:p>
      <w:pPr>
        <w:numPr>
          <w:ilvl w:val="0"/>
          <w:numId w:val="9"/>
        </w:numPr>
        <w:adjustRightInd w:val="0"/>
        <w:snapToGrid w:val="0"/>
        <w:spacing w:line="480" w:lineRule="exact"/>
        <w:ind w:left="0" w:firstLine="480" w:firstLineChars="200"/>
        <w:textAlignment w:val="baseline"/>
        <w:rPr>
          <w:rFonts w:ascii="Times New Roman" w:hAnsi="Times New Roman"/>
          <w:sz w:val="24"/>
          <w:szCs w:val="24"/>
        </w:rPr>
      </w:pPr>
      <w:r>
        <w:rPr>
          <w:rFonts w:ascii="Times New Roman" w:hAnsi="Times New Roman"/>
          <w:sz w:val="24"/>
          <w:szCs w:val="24"/>
        </w:rPr>
        <w:t>通过划定防护距离，减轻和避免恶臭气体对外环境的影响。</w:t>
      </w:r>
    </w:p>
    <w:p>
      <w:pPr>
        <w:numPr>
          <w:ilvl w:val="0"/>
          <w:numId w:val="9"/>
        </w:numPr>
        <w:adjustRightInd w:val="0"/>
        <w:snapToGrid w:val="0"/>
        <w:spacing w:line="480" w:lineRule="exact"/>
        <w:ind w:left="0" w:firstLine="480" w:firstLineChars="200"/>
        <w:textAlignment w:val="baseline"/>
        <w:rPr>
          <w:rFonts w:ascii="Times New Roman" w:hAnsi="Times New Roman"/>
          <w:sz w:val="24"/>
          <w:szCs w:val="24"/>
        </w:rPr>
      </w:pPr>
      <w:r>
        <w:rPr>
          <w:rFonts w:ascii="Times New Roman" w:hAnsi="Times New Roman"/>
          <w:sz w:val="24"/>
          <w:szCs w:val="24"/>
        </w:rPr>
        <w:t>圈舍增加通风次数，向粪便或舍内投放吸附剂减少臭气的散发，可采用沸石、膨润土以及秸秆等含纤维素和木质素较多的材料，使用高锰酸钾等氧化剂及一些杀菌剂，可杀死厌氧发酵的细菌，达到除臭目的；每5天喷雾一次500倍稀释的EM（有效生物菌群）液等措施；</w:t>
      </w:r>
    </w:p>
    <w:p>
      <w:pPr>
        <w:numPr>
          <w:ilvl w:val="0"/>
          <w:numId w:val="9"/>
        </w:numPr>
        <w:adjustRightInd w:val="0"/>
        <w:snapToGrid w:val="0"/>
        <w:spacing w:line="480" w:lineRule="exact"/>
        <w:ind w:left="0" w:firstLine="480" w:firstLineChars="200"/>
        <w:textAlignment w:val="baseline"/>
        <w:rPr>
          <w:rFonts w:ascii="Times New Roman" w:hAnsi="Times New Roman"/>
          <w:sz w:val="24"/>
          <w:szCs w:val="24"/>
        </w:rPr>
      </w:pPr>
      <w:r>
        <w:rPr>
          <w:rFonts w:ascii="Times New Roman" w:hAnsi="Times New Roman"/>
          <w:sz w:val="24"/>
          <w:szCs w:val="24"/>
        </w:rPr>
        <w:t>猪只在饲喂过程中采用本集团公司生产的全价饲料，同时添加除臭植物丝兰粉。猪只因摄入蛋白质科学合理，既能保证猪只生长，又能减少粪便恶臭气体产生，从而恶臭气体从源头上得到减少。</w:t>
      </w:r>
    </w:p>
    <w:p>
      <w:pPr>
        <w:numPr>
          <w:ilvl w:val="0"/>
          <w:numId w:val="9"/>
        </w:numPr>
        <w:adjustRightInd w:val="0"/>
        <w:snapToGrid w:val="0"/>
        <w:spacing w:line="480" w:lineRule="exact"/>
        <w:ind w:left="0" w:firstLine="480" w:firstLineChars="200"/>
        <w:textAlignment w:val="baseline"/>
        <w:rPr>
          <w:rFonts w:ascii="Times New Roman" w:hAnsi="Times New Roman"/>
          <w:sz w:val="24"/>
          <w:szCs w:val="24"/>
        </w:rPr>
      </w:pPr>
      <w:r>
        <w:rPr>
          <w:rFonts w:ascii="Times New Roman" w:hAnsi="Times New Roman"/>
          <w:sz w:val="24"/>
          <w:szCs w:val="24"/>
        </w:rPr>
        <w:t>加强厂区及厂界周围环境绿化。在项目场区内部及周围进行绿化和种植防护林，特别是加强场区东北面绿化高度和密度，加强绿化林对恶臭的阻隔效果，阻挡圈舍臭气扩散；圈舍周围种植夹竹桃、松柏等，场界边缘地带种植杨槐等高大树种形成多层防护林带，以降低恶臭污染的影响程度。</w:t>
      </w:r>
    </w:p>
    <w:p>
      <w:pPr>
        <w:numPr>
          <w:ilvl w:val="0"/>
          <w:numId w:val="10"/>
        </w:numPr>
        <w:adjustRightInd w:val="0"/>
        <w:spacing w:line="460" w:lineRule="exact"/>
        <w:ind w:firstLine="482" w:firstLineChars="200"/>
        <w:textAlignment w:val="baseline"/>
        <w:rPr>
          <w:rFonts w:ascii="Times New Roman" w:hAnsi="Times New Roman"/>
          <w:b/>
          <w:sz w:val="24"/>
        </w:rPr>
      </w:pPr>
      <w:r>
        <w:rPr>
          <w:rFonts w:ascii="Times New Roman" w:hAnsi="Times New Roman"/>
          <w:b/>
          <w:sz w:val="24"/>
        </w:rPr>
        <w:t>沼气</w:t>
      </w:r>
    </w:p>
    <w:p>
      <w:pPr>
        <w:spacing w:line="460" w:lineRule="exact"/>
        <w:ind w:firstLine="480" w:firstLineChars="200"/>
        <w:rPr>
          <w:rFonts w:ascii="Times New Roman" w:hAnsi="Times New Roman"/>
          <w:sz w:val="24"/>
        </w:rPr>
      </w:pPr>
      <w:r>
        <w:rPr>
          <w:rFonts w:ascii="Times New Roman" w:hAnsi="Times New Roman"/>
          <w:sz w:val="24"/>
        </w:rPr>
        <w:t>本项目圈舍设计为24小时全时通风换气，垂直气流经过圈舍的全漏缝地板进入圈舍下方的发酵坑表面，将圈舍下方的废气同时换出。成都市华测检测技术有限公司于2019年1月对圈舍漏缝地板上，漏缝地板下两个点位的空气进行了检测。圈舍地板上方氨浓度为1.37mg/m</w:t>
      </w:r>
      <w:r>
        <w:rPr>
          <w:rFonts w:ascii="Times New Roman" w:hAnsi="Times New Roman"/>
          <w:sz w:val="24"/>
          <w:vertAlign w:val="superscript"/>
        </w:rPr>
        <w:t>3</w:t>
      </w:r>
      <w:r>
        <w:rPr>
          <w:rFonts w:ascii="Times New Roman" w:hAnsi="Times New Roman"/>
          <w:sz w:val="24"/>
        </w:rPr>
        <w:t>，硫化氢未检出，臭气浓度79，地板下点位测出甲烷体积百分比为0.0003%（远低于爆炸下限5.3%），硫化氢未检出。由于本项目圈舍换气设置的特殊性，产生废气中甲烷浓度过低，无法燃烧利用。</w:t>
      </w:r>
    </w:p>
    <w:p>
      <w:pPr>
        <w:spacing w:line="460" w:lineRule="exact"/>
        <w:ind w:firstLine="480" w:firstLineChars="200"/>
        <w:rPr>
          <w:rFonts w:ascii="Times New Roman" w:hAnsi="Times New Roman"/>
          <w:sz w:val="24"/>
        </w:rPr>
      </w:pPr>
      <w:r>
        <w:rPr>
          <w:rFonts w:ascii="Times New Roman" w:hAnsi="Times New Roman"/>
          <w:sz w:val="24"/>
          <w:szCs w:val="24"/>
        </w:rPr>
        <w:t>产甲烷菌是一种厌氧性细菌，对氧特别敏感，有氧气的条件下不能成活。由于本项目采用的全漏缝地板与下面发酵深坑相通，发酵坑没有严格的厌氧环境，空气中的氧气会使其生命活动受到抑制；粪中无秸秆内的有机质，总有机质含量低，产沼气量少；同时，本项目发酵坑是静态发酵，不进行搅拌，发酵原料分层不均匀，也是导致甲烷气体产生量低的因素，故本项目发酵废气中甲烷浓度极低。</w:t>
      </w:r>
    </w:p>
    <w:p>
      <w:pPr>
        <w:spacing w:line="460" w:lineRule="exact"/>
        <w:ind w:firstLine="482" w:firstLineChars="200"/>
        <w:rPr>
          <w:rFonts w:ascii="Times New Roman" w:hAnsi="Times New Roman"/>
          <w:b/>
          <w:sz w:val="24"/>
        </w:rPr>
      </w:pPr>
      <w:r>
        <w:rPr>
          <w:rFonts w:ascii="Times New Roman" w:hAnsi="Times New Roman"/>
          <w:b/>
          <w:sz w:val="24"/>
        </w:rPr>
        <w:t>3、废气污染物产生及治理措施汇总</w:t>
      </w:r>
    </w:p>
    <w:p>
      <w:pPr>
        <w:spacing w:line="460" w:lineRule="exact"/>
        <w:ind w:firstLine="480" w:firstLineChars="200"/>
        <w:rPr>
          <w:rFonts w:ascii="Times New Roman" w:hAnsi="Times New Roman"/>
          <w:sz w:val="24"/>
        </w:rPr>
      </w:pPr>
      <w:r>
        <w:rPr>
          <w:rFonts w:ascii="Times New Roman" w:hAnsi="Times New Roman"/>
          <w:sz w:val="24"/>
        </w:rPr>
        <w:t>根据前文分析，本项目废气污染物产生情况及治理措施详见下表。</w:t>
      </w:r>
    </w:p>
    <w:p>
      <w:pPr>
        <w:spacing w:line="460" w:lineRule="atLeast"/>
        <w:jc w:val="center"/>
        <w:rPr>
          <w:rFonts w:ascii="Times New Roman" w:hAnsi="Times New Roman" w:eastAsia="黑体"/>
          <w:sz w:val="21"/>
          <w:szCs w:val="21"/>
        </w:rPr>
      </w:pPr>
      <w:r>
        <w:rPr>
          <w:rFonts w:ascii="Times New Roman" w:hAnsi="Times New Roman" w:eastAsia="黑体"/>
          <w:sz w:val="21"/>
          <w:szCs w:val="21"/>
        </w:rPr>
        <w:t>表2.4-3 项目废气产生治理措施</w:t>
      </w:r>
    </w:p>
    <w:tbl>
      <w:tblPr>
        <w:tblStyle w:val="90"/>
        <w:tblW w:w="8528"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93"/>
        <w:gridCol w:w="900"/>
        <w:gridCol w:w="633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1293" w:type="dxa"/>
            <w:vAlign w:val="center"/>
          </w:tcPr>
          <w:p>
            <w:pPr>
              <w:spacing w:line="360" w:lineRule="atLeast"/>
              <w:jc w:val="center"/>
              <w:rPr>
                <w:rFonts w:ascii="Times New Roman" w:hAnsi="Times New Roman"/>
                <w:sz w:val="21"/>
                <w:szCs w:val="21"/>
              </w:rPr>
            </w:pPr>
            <w:r>
              <w:rPr>
                <w:rFonts w:ascii="Times New Roman" w:hAnsi="Times New Roman"/>
                <w:sz w:val="21"/>
                <w:szCs w:val="21"/>
              </w:rPr>
              <w:t>主要污染物</w:t>
            </w:r>
          </w:p>
        </w:tc>
        <w:tc>
          <w:tcPr>
            <w:tcW w:w="900" w:type="dxa"/>
            <w:vAlign w:val="center"/>
          </w:tcPr>
          <w:p>
            <w:pPr>
              <w:spacing w:line="360" w:lineRule="atLeast"/>
              <w:jc w:val="center"/>
              <w:rPr>
                <w:rFonts w:ascii="Times New Roman" w:hAnsi="Times New Roman"/>
                <w:sz w:val="21"/>
                <w:szCs w:val="21"/>
              </w:rPr>
            </w:pPr>
            <w:r>
              <w:rPr>
                <w:rFonts w:ascii="Times New Roman" w:hAnsi="Times New Roman"/>
                <w:sz w:val="21"/>
                <w:szCs w:val="21"/>
              </w:rPr>
              <w:t>产污源</w:t>
            </w:r>
          </w:p>
        </w:tc>
        <w:tc>
          <w:tcPr>
            <w:tcW w:w="6335" w:type="dxa"/>
            <w:vAlign w:val="center"/>
          </w:tcPr>
          <w:p>
            <w:pPr>
              <w:spacing w:line="360" w:lineRule="atLeast"/>
              <w:jc w:val="center"/>
              <w:rPr>
                <w:rFonts w:ascii="Times New Roman" w:hAnsi="Times New Roman"/>
                <w:sz w:val="21"/>
                <w:szCs w:val="21"/>
              </w:rPr>
            </w:pPr>
            <w:r>
              <w:rPr>
                <w:rFonts w:ascii="Times New Roman" w:hAnsi="Times New Roman"/>
                <w:sz w:val="21"/>
                <w:szCs w:val="21"/>
              </w:rPr>
              <w:t>治理措施</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9" w:hRule="atLeast"/>
        </w:trPr>
        <w:tc>
          <w:tcPr>
            <w:tcW w:w="1293" w:type="dxa"/>
            <w:vMerge w:val="restart"/>
            <w:vAlign w:val="center"/>
          </w:tcPr>
          <w:p>
            <w:pPr>
              <w:spacing w:line="360" w:lineRule="atLeast"/>
              <w:jc w:val="center"/>
              <w:rPr>
                <w:rFonts w:ascii="Times New Roman" w:hAnsi="Times New Roman"/>
                <w:sz w:val="21"/>
                <w:szCs w:val="21"/>
              </w:rPr>
            </w:pPr>
            <w:r>
              <w:rPr>
                <w:rFonts w:ascii="Times New Roman" w:hAnsi="Times New Roman"/>
                <w:sz w:val="21"/>
                <w:szCs w:val="21"/>
              </w:rPr>
              <w:t>恶臭气体</w:t>
            </w:r>
          </w:p>
        </w:tc>
        <w:tc>
          <w:tcPr>
            <w:tcW w:w="900" w:type="dxa"/>
            <w:vMerge w:val="restart"/>
            <w:vAlign w:val="center"/>
          </w:tcPr>
          <w:p>
            <w:pPr>
              <w:spacing w:line="360" w:lineRule="atLeast"/>
              <w:rPr>
                <w:rFonts w:ascii="Times New Roman" w:hAnsi="Times New Roman"/>
                <w:sz w:val="21"/>
                <w:szCs w:val="21"/>
              </w:rPr>
            </w:pPr>
            <w:r>
              <w:rPr>
                <w:rFonts w:ascii="Times New Roman" w:hAnsi="Times New Roman"/>
                <w:sz w:val="21"/>
                <w:szCs w:val="21"/>
              </w:rPr>
              <w:t>圈舍、固液分离场、干粪堆场</w:t>
            </w: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圈舍整体为负压封闭状态，减少废气溢出。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63" w:hRule="atLeast"/>
        </w:trPr>
        <w:tc>
          <w:tcPr>
            <w:tcW w:w="1293" w:type="dxa"/>
            <w:vMerge w:val="continue"/>
            <w:vAlign w:val="center"/>
          </w:tcPr>
          <w:p>
            <w:pPr>
              <w:spacing w:line="360" w:lineRule="atLeast"/>
              <w:jc w:val="center"/>
              <w:rPr>
                <w:rFonts w:ascii="Times New Roman" w:hAnsi="Times New Roman"/>
                <w:sz w:val="21"/>
                <w:szCs w:val="21"/>
              </w:rPr>
            </w:pPr>
          </w:p>
        </w:tc>
        <w:tc>
          <w:tcPr>
            <w:tcW w:w="900" w:type="dxa"/>
            <w:vMerge w:val="continue"/>
            <w:vAlign w:val="center"/>
          </w:tcPr>
          <w:p>
            <w:pPr>
              <w:spacing w:line="360" w:lineRule="atLeast"/>
              <w:rPr>
                <w:rFonts w:ascii="Times New Roman" w:hAnsi="Times New Roman"/>
                <w:sz w:val="21"/>
                <w:szCs w:val="21"/>
              </w:rPr>
            </w:pP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废气通过抽风系统收集，并经活性炭处理后通过圈舍耳房排放。同时圈舍耳房配置水雾喷淋，若废气浓度过高，则采取喷淋措施。</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4" w:hRule="atLeast"/>
        </w:trPr>
        <w:tc>
          <w:tcPr>
            <w:tcW w:w="1293" w:type="dxa"/>
            <w:vMerge w:val="continue"/>
            <w:vAlign w:val="center"/>
          </w:tcPr>
          <w:p>
            <w:pPr>
              <w:spacing w:line="360" w:lineRule="atLeast"/>
              <w:jc w:val="center"/>
              <w:rPr>
                <w:rFonts w:ascii="Times New Roman" w:hAnsi="Times New Roman"/>
                <w:sz w:val="21"/>
                <w:szCs w:val="21"/>
              </w:rPr>
            </w:pPr>
          </w:p>
        </w:tc>
        <w:tc>
          <w:tcPr>
            <w:tcW w:w="900" w:type="dxa"/>
            <w:vMerge w:val="continue"/>
            <w:vAlign w:val="center"/>
          </w:tcPr>
          <w:p>
            <w:pPr>
              <w:spacing w:line="360" w:lineRule="atLeast"/>
              <w:rPr>
                <w:rFonts w:ascii="Times New Roman" w:hAnsi="Times New Roman"/>
                <w:sz w:val="21"/>
                <w:szCs w:val="21"/>
              </w:rPr>
            </w:pP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加强圈舍管理，及时清理圈舍粪便，做到日产日清；通过减少粪便的停留时间和覆盖面积，可大为降低圈舍废气产生；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trPr>
        <w:tc>
          <w:tcPr>
            <w:tcW w:w="1293" w:type="dxa"/>
            <w:vMerge w:val="continue"/>
            <w:vAlign w:val="center"/>
          </w:tcPr>
          <w:p>
            <w:pPr>
              <w:spacing w:line="360" w:lineRule="atLeast"/>
              <w:jc w:val="center"/>
              <w:rPr>
                <w:rFonts w:ascii="Times New Roman" w:hAnsi="Times New Roman"/>
                <w:sz w:val="21"/>
                <w:szCs w:val="21"/>
              </w:rPr>
            </w:pPr>
          </w:p>
        </w:tc>
        <w:tc>
          <w:tcPr>
            <w:tcW w:w="900" w:type="dxa"/>
            <w:vMerge w:val="continue"/>
            <w:vAlign w:val="center"/>
          </w:tcPr>
          <w:p>
            <w:pPr>
              <w:spacing w:line="360" w:lineRule="atLeast"/>
              <w:jc w:val="center"/>
              <w:rPr>
                <w:rFonts w:ascii="Times New Roman" w:hAnsi="Times New Roman"/>
                <w:sz w:val="21"/>
                <w:szCs w:val="21"/>
              </w:rPr>
            </w:pP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通过划定防护距离，减轻和避免恶臭气体对外环境的影响。</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89" w:hRule="atLeast"/>
        </w:trPr>
        <w:tc>
          <w:tcPr>
            <w:tcW w:w="1293" w:type="dxa"/>
            <w:vMerge w:val="continue"/>
            <w:vAlign w:val="center"/>
          </w:tcPr>
          <w:p>
            <w:pPr>
              <w:spacing w:line="360" w:lineRule="atLeast"/>
              <w:jc w:val="center"/>
              <w:rPr>
                <w:rFonts w:ascii="Times New Roman" w:hAnsi="Times New Roman"/>
                <w:sz w:val="21"/>
                <w:szCs w:val="21"/>
              </w:rPr>
            </w:pPr>
          </w:p>
        </w:tc>
        <w:tc>
          <w:tcPr>
            <w:tcW w:w="900" w:type="dxa"/>
            <w:vMerge w:val="continue"/>
            <w:vAlign w:val="center"/>
          </w:tcPr>
          <w:p>
            <w:pPr>
              <w:spacing w:line="360" w:lineRule="atLeast"/>
              <w:jc w:val="center"/>
              <w:rPr>
                <w:rFonts w:ascii="Times New Roman" w:hAnsi="Times New Roman"/>
                <w:sz w:val="21"/>
                <w:szCs w:val="21"/>
              </w:rPr>
            </w:pP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圈舍增加通风次数，向粪便或舍内投放吸附剂减少臭气的散发；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89" w:hRule="atLeast"/>
        </w:trPr>
        <w:tc>
          <w:tcPr>
            <w:tcW w:w="1293" w:type="dxa"/>
            <w:vMerge w:val="continue"/>
            <w:vAlign w:val="center"/>
          </w:tcPr>
          <w:p>
            <w:pPr>
              <w:spacing w:line="360" w:lineRule="atLeast"/>
              <w:jc w:val="center"/>
              <w:rPr>
                <w:rFonts w:ascii="Times New Roman" w:hAnsi="Times New Roman"/>
                <w:sz w:val="21"/>
                <w:szCs w:val="21"/>
              </w:rPr>
            </w:pPr>
          </w:p>
        </w:tc>
        <w:tc>
          <w:tcPr>
            <w:tcW w:w="900" w:type="dxa"/>
            <w:vMerge w:val="continue"/>
            <w:vAlign w:val="center"/>
          </w:tcPr>
          <w:p>
            <w:pPr>
              <w:spacing w:line="360" w:lineRule="atLeast"/>
              <w:jc w:val="center"/>
              <w:rPr>
                <w:rFonts w:ascii="Times New Roman" w:hAnsi="Times New Roman"/>
                <w:sz w:val="21"/>
                <w:szCs w:val="21"/>
              </w:rPr>
            </w:pP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猪只在饲喂过程中采用本集团公司生产的全价饲料，恶臭气体从源头上得到减少。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trPr>
        <w:tc>
          <w:tcPr>
            <w:tcW w:w="1293" w:type="dxa"/>
            <w:vMerge w:val="continue"/>
            <w:vAlign w:val="center"/>
          </w:tcPr>
          <w:p>
            <w:pPr>
              <w:spacing w:line="360" w:lineRule="atLeast"/>
              <w:jc w:val="center"/>
              <w:rPr>
                <w:rFonts w:ascii="Times New Roman" w:hAnsi="Times New Roman"/>
                <w:sz w:val="21"/>
                <w:szCs w:val="21"/>
              </w:rPr>
            </w:pPr>
          </w:p>
        </w:tc>
        <w:tc>
          <w:tcPr>
            <w:tcW w:w="900" w:type="dxa"/>
            <w:vMerge w:val="continue"/>
            <w:vAlign w:val="center"/>
          </w:tcPr>
          <w:p>
            <w:pPr>
              <w:spacing w:line="360" w:lineRule="atLeast"/>
              <w:jc w:val="center"/>
              <w:rPr>
                <w:rFonts w:ascii="Times New Roman" w:hAnsi="Times New Roman"/>
                <w:sz w:val="21"/>
                <w:szCs w:val="21"/>
              </w:rPr>
            </w:pP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加强厂区及厂界周围环境绿化。在项目场区内部及周围进行绿化和种植防护林，特别是加强场区东北面绿化高度和密度，加强绿化林对恶臭的净化效果</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293" w:type="dxa"/>
            <w:vAlign w:val="center"/>
          </w:tcPr>
          <w:p>
            <w:pPr>
              <w:spacing w:line="360" w:lineRule="atLeast"/>
              <w:jc w:val="center"/>
              <w:rPr>
                <w:rFonts w:ascii="Times New Roman" w:hAnsi="Times New Roman"/>
                <w:sz w:val="21"/>
                <w:szCs w:val="21"/>
              </w:rPr>
            </w:pPr>
            <w:r>
              <w:rPr>
                <w:rFonts w:ascii="Times New Roman" w:hAnsi="Times New Roman"/>
                <w:sz w:val="21"/>
                <w:szCs w:val="21"/>
              </w:rPr>
              <w:t>食堂油烟</w:t>
            </w:r>
          </w:p>
        </w:tc>
        <w:tc>
          <w:tcPr>
            <w:tcW w:w="900" w:type="dxa"/>
            <w:vAlign w:val="center"/>
          </w:tcPr>
          <w:p>
            <w:pPr>
              <w:spacing w:line="360" w:lineRule="atLeast"/>
              <w:jc w:val="center"/>
              <w:rPr>
                <w:rFonts w:ascii="Times New Roman" w:hAnsi="Times New Roman"/>
                <w:sz w:val="21"/>
                <w:szCs w:val="21"/>
              </w:rPr>
            </w:pPr>
            <w:r>
              <w:rPr>
                <w:rFonts w:ascii="Times New Roman" w:hAnsi="Times New Roman"/>
                <w:sz w:val="21"/>
                <w:szCs w:val="21"/>
              </w:rPr>
              <w:t>食堂</w:t>
            </w:r>
          </w:p>
        </w:tc>
        <w:tc>
          <w:tcPr>
            <w:tcW w:w="6335" w:type="dxa"/>
            <w:vAlign w:val="center"/>
          </w:tcPr>
          <w:p>
            <w:pPr>
              <w:spacing w:line="360" w:lineRule="atLeast"/>
              <w:rPr>
                <w:rFonts w:ascii="Times New Roman" w:hAnsi="Times New Roman"/>
                <w:sz w:val="21"/>
                <w:szCs w:val="21"/>
              </w:rPr>
            </w:pPr>
            <w:r>
              <w:rPr>
                <w:rFonts w:ascii="Times New Roman" w:hAnsi="Times New Roman"/>
                <w:sz w:val="21"/>
                <w:szCs w:val="21"/>
              </w:rPr>
              <w:t>经油烟净化器处理后排放</w:t>
            </w:r>
          </w:p>
        </w:tc>
      </w:tr>
    </w:tbl>
    <w:p>
      <w:pPr>
        <w:pStyle w:val="108"/>
      </w:pPr>
      <w:bookmarkStart w:id="119" w:name="_Toc9873334"/>
      <w:r>
        <w:t>2.4.2  水污染物</w:t>
      </w:r>
      <w:bookmarkEnd w:id="119"/>
    </w:p>
    <w:p>
      <w:pPr>
        <w:ind w:firstLine="482" w:firstLineChars="200"/>
        <w:rPr>
          <w:rFonts w:ascii="Times New Roman" w:hAnsi="Times New Roman"/>
          <w:b/>
          <w:sz w:val="24"/>
          <w:szCs w:val="24"/>
        </w:rPr>
      </w:pPr>
      <w:r>
        <w:rPr>
          <w:rFonts w:ascii="Times New Roman" w:hAnsi="Times New Roman"/>
          <w:b/>
          <w:sz w:val="24"/>
          <w:szCs w:val="24"/>
        </w:rPr>
        <w:t>1、 废水水量及水质</w:t>
      </w:r>
    </w:p>
    <w:p>
      <w:pPr>
        <w:ind w:firstLine="482" w:firstLineChars="200"/>
        <w:rPr>
          <w:rFonts w:ascii="Times New Roman" w:hAnsi="Times New Roman"/>
          <w:b/>
          <w:sz w:val="24"/>
          <w:szCs w:val="24"/>
        </w:rPr>
      </w:pPr>
      <w:r>
        <w:rPr>
          <w:rFonts w:ascii="Times New Roman" w:hAnsi="Times New Roman"/>
          <w:b/>
          <w:sz w:val="24"/>
          <w:szCs w:val="24"/>
        </w:rPr>
        <w:t>（1）养殖废水</w:t>
      </w:r>
    </w:p>
    <w:p>
      <w:pPr>
        <w:ind w:firstLine="480" w:firstLineChars="200"/>
        <w:rPr>
          <w:rFonts w:ascii="Times New Roman" w:hAnsi="Times New Roman"/>
          <w:sz w:val="24"/>
          <w:szCs w:val="24"/>
        </w:rPr>
      </w:pPr>
      <w:r>
        <w:rPr>
          <w:rFonts w:ascii="Times New Roman" w:hAnsi="Times New Roman"/>
          <w:sz w:val="24"/>
          <w:szCs w:val="24"/>
        </w:rPr>
        <w:t>养殖废水包括圈舍粪污水、圈舍换栏冲洗水，根据《畜禽养殖业污染防治治理工程技术规范》（HJ497-2009），本项目育肥舍+保育舍存栏折合育肥猪19900头，每天产生最大量按照存栏量计算，猪粪尿的排泄量见下表。</w:t>
      </w:r>
    </w:p>
    <w:p>
      <w:pPr>
        <w:jc w:val="center"/>
        <w:rPr>
          <w:rFonts w:ascii="Times New Roman" w:hAnsi="Times New Roman" w:eastAsia="黑体"/>
          <w:sz w:val="21"/>
          <w:szCs w:val="21"/>
        </w:rPr>
      </w:pPr>
      <w:r>
        <w:rPr>
          <w:rFonts w:ascii="Times New Roman" w:hAnsi="Times New Roman" w:eastAsia="黑体"/>
          <w:sz w:val="21"/>
          <w:szCs w:val="21"/>
        </w:rPr>
        <w:t>表2.4-4 猪粪尿的排泄量统计</w:t>
      </w:r>
    </w:p>
    <w:tbl>
      <w:tblPr>
        <w:tblStyle w:val="90"/>
        <w:tblW w:w="8049"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173"/>
        <w:gridCol w:w="2429"/>
        <w:gridCol w:w="244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8" w:hRule="atLeast"/>
          <w:jc w:val="center"/>
        </w:trPr>
        <w:tc>
          <w:tcPr>
            <w:tcW w:w="3173" w:type="dxa"/>
            <w:vAlign w:val="center"/>
          </w:tcPr>
          <w:p>
            <w:pPr>
              <w:jc w:val="center"/>
              <w:rPr>
                <w:rFonts w:ascii="Times New Roman" w:hAnsi="Times New Roman"/>
                <w:sz w:val="21"/>
                <w:szCs w:val="21"/>
              </w:rPr>
            </w:pPr>
            <w:r>
              <w:rPr>
                <w:rFonts w:ascii="Times New Roman" w:hAnsi="Times New Roman"/>
                <w:sz w:val="21"/>
                <w:szCs w:val="21"/>
              </w:rPr>
              <w:t>项目</w:t>
            </w:r>
          </w:p>
        </w:tc>
        <w:tc>
          <w:tcPr>
            <w:tcW w:w="2429" w:type="dxa"/>
            <w:vAlign w:val="center"/>
          </w:tcPr>
          <w:p>
            <w:pPr>
              <w:jc w:val="center"/>
              <w:rPr>
                <w:rFonts w:ascii="Times New Roman" w:hAnsi="Times New Roman"/>
                <w:sz w:val="21"/>
                <w:szCs w:val="21"/>
              </w:rPr>
            </w:pPr>
            <w:r>
              <w:rPr>
                <w:rFonts w:ascii="Times New Roman" w:hAnsi="Times New Roman"/>
                <w:sz w:val="21"/>
                <w:szCs w:val="21"/>
              </w:rPr>
              <w:t>粪排泄量</w:t>
            </w:r>
          </w:p>
        </w:tc>
        <w:tc>
          <w:tcPr>
            <w:tcW w:w="2447" w:type="dxa"/>
            <w:vAlign w:val="center"/>
          </w:tcPr>
          <w:p>
            <w:pPr>
              <w:jc w:val="center"/>
              <w:rPr>
                <w:rFonts w:ascii="Times New Roman" w:hAnsi="Times New Roman"/>
                <w:sz w:val="21"/>
                <w:szCs w:val="21"/>
              </w:rPr>
            </w:pPr>
            <w:r>
              <w:rPr>
                <w:rFonts w:ascii="Times New Roman" w:hAnsi="Times New Roman"/>
                <w:sz w:val="21"/>
                <w:szCs w:val="21"/>
              </w:rPr>
              <w:t>尿液排泄量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4" w:hRule="atLeast"/>
          <w:jc w:val="center"/>
        </w:trPr>
        <w:tc>
          <w:tcPr>
            <w:tcW w:w="3173" w:type="dxa"/>
            <w:vAlign w:val="center"/>
          </w:tcPr>
          <w:p>
            <w:pPr>
              <w:jc w:val="center"/>
              <w:rPr>
                <w:rFonts w:ascii="Times New Roman" w:hAnsi="Times New Roman"/>
                <w:sz w:val="21"/>
                <w:szCs w:val="21"/>
              </w:rPr>
            </w:pPr>
            <w:r>
              <w:rPr>
                <w:rFonts w:ascii="Times New Roman" w:hAnsi="Times New Roman"/>
                <w:sz w:val="21"/>
                <w:szCs w:val="21"/>
              </w:rPr>
              <w:t>育肥猪粪污产生量标准</w:t>
            </w:r>
          </w:p>
        </w:tc>
        <w:tc>
          <w:tcPr>
            <w:tcW w:w="2429" w:type="dxa"/>
            <w:vAlign w:val="center"/>
          </w:tcPr>
          <w:p>
            <w:pPr>
              <w:jc w:val="center"/>
              <w:rPr>
                <w:rFonts w:ascii="Times New Roman" w:hAnsi="Times New Roman"/>
                <w:sz w:val="21"/>
                <w:szCs w:val="21"/>
              </w:rPr>
            </w:pPr>
            <w:r>
              <w:rPr>
                <w:rFonts w:ascii="Times New Roman" w:hAnsi="Times New Roman"/>
                <w:sz w:val="21"/>
                <w:szCs w:val="21"/>
              </w:rPr>
              <w:t>2.0（kg/d·头）</w:t>
            </w:r>
          </w:p>
        </w:tc>
        <w:tc>
          <w:tcPr>
            <w:tcW w:w="2447" w:type="dxa"/>
            <w:vAlign w:val="center"/>
          </w:tcPr>
          <w:p>
            <w:pPr>
              <w:jc w:val="center"/>
              <w:rPr>
                <w:rFonts w:ascii="Times New Roman" w:hAnsi="Times New Roman"/>
                <w:sz w:val="21"/>
                <w:szCs w:val="21"/>
              </w:rPr>
            </w:pPr>
            <w:r>
              <w:rPr>
                <w:rFonts w:ascii="Times New Roman" w:hAnsi="Times New Roman"/>
                <w:sz w:val="21"/>
                <w:szCs w:val="21"/>
              </w:rPr>
              <w:t>3.3（kg/d·头）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3173" w:type="dxa"/>
            <w:vAlign w:val="center"/>
          </w:tcPr>
          <w:p>
            <w:pPr>
              <w:jc w:val="center"/>
              <w:rPr>
                <w:rFonts w:ascii="Times New Roman" w:hAnsi="Times New Roman"/>
                <w:sz w:val="21"/>
                <w:szCs w:val="21"/>
              </w:rPr>
            </w:pPr>
            <w:r>
              <w:rPr>
                <w:rFonts w:ascii="Times New Roman" w:hAnsi="Times New Roman"/>
                <w:sz w:val="21"/>
                <w:szCs w:val="21"/>
              </w:rPr>
              <w:t>本项目</w:t>
            </w:r>
          </w:p>
        </w:tc>
        <w:tc>
          <w:tcPr>
            <w:tcW w:w="2429" w:type="dxa"/>
            <w:vAlign w:val="center"/>
          </w:tcPr>
          <w:p>
            <w:pPr>
              <w:jc w:val="center"/>
              <w:rPr>
                <w:rFonts w:ascii="Times New Roman" w:hAnsi="Times New Roman"/>
                <w:sz w:val="21"/>
                <w:szCs w:val="21"/>
              </w:rPr>
            </w:pPr>
            <w:r>
              <w:rPr>
                <w:rFonts w:ascii="Times New Roman" w:hAnsi="Times New Roman"/>
                <w:sz w:val="21"/>
                <w:szCs w:val="21"/>
              </w:rPr>
              <w:t>39.8t/d，14527 t/a</w:t>
            </w:r>
          </w:p>
        </w:tc>
        <w:tc>
          <w:tcPr>
            <w:tcW w:w="2447" w:type="dxa"/>
            <w:vAlign w:val="center"/>
          </w:tcPr>
          <w:p>
            <w:pPr>
              <w:rPr>
                <w:rFonts w:ascii="Times New Roman" w:hAnsi="Times New Roman"/>
                <w:sz w:val="21"/>
                <w:szCs w:val="21"/>
              </w:rPr>
            </w:pPr>
            <w:r>
              <w:rPr>
                <w:rFonts w:ascii="Times New Roman" w:hAnsi="Times New Roman"/>
                <w:sz w:val="21"/>
                <w:szCs w:val="21"/>
              </w:rPr>
              <w:t>65.67t/d，23969.55t/a</w:t>
            </w:r>
          </w:p>
        </w:tc>
      </w:tr>
    </w:tbl>
    <w:p>
      <w:pPr>
        <w:spacing w:line="460" w:lineRule="atLeast"/>
        <w:ind w:firstLine="480" w:firstLineChars="200"/>
        <w:rPr>
          <w:rFonts w:ascii="Times New Roman" w:hAnsi="Times New Roman"/>
          <w:sz w:val="24"/>
          <w:szCs w:val="24"/>
        </w:rPr>
      </w:pPr>
      <w:r>
        <w:rPr>
          <w:rFonts w:ascii="Times New Roman" w:hAnsi="Times New Roman"/>
          <w:sz w:val="24"/>
          <w:szCs w:val="24"/>
        </w:rPr>
        <w:t>另外，本项目育肥猪不冲洗，夏季降温采用通风恒温。每次出栏后会对猪舍进行一次冲洗和消毒，冲洗用水量按照 6L/m</w:t>
      </w:r>
      <w:r>
        <w:rPr>
          <w:rFonts w:ascii="Times New Roman" w:hAnsi="Times New Roman"/>
          <w:sz w:val="24"/>
          <w:szCs w:val="24"/>
          <w:vertAlign w:val="superscript"/>
        </w:rPr>
        <w:t xml:space="preserve">2 </w:t>
      </w:r>
      <w:r>
        <w:rPr>
          <w:rFonts w:ascii="Times New Roman" w:hAnsi="Times New Roman"/>
          <w:sz w:val="24"/>
          <w:szCs w:val="24"/>
        </w:rPr>
        <w:t>·次计，每次需冲洗的猪舍建筑面积为24200m</w:t>
      </w:r>
      <w:r>
        <w:rPr>
          <w:rFonts w:ascii="Times New Roman" w:hAnsi="Times New Roman"/>
          <w:sz w:val="24"/>
          <w:szCs w:val="24"/>
          <w:vertAlign w:val="superscript"/>
        </w:rPr>
        <w:t>2</w:t>
      </w:r>
      <w:r>
        <w:rPr>
          <w:rFonts w:ascii="Times New Roman" w:hAnsi="Times New Roman"/>
          <w:sz w:val="24"/>
          <w:szCs w:val="24"/>
        </w:rPr>
        <w:t xml:space="preserve"> ，则猪舍冲洗用水量 145.2m </w:t>
      </w:r>
      <w:r>
        <w:rPr>
          <w:rFonts w:ascii="Times New Roman" w:hAnsi="Times New Roman"/>
          <w:sz w:val="24"/>
          <w:szCs w:val="24"/>
          <w:vertAlign w:val="superscript"/>
        </w:rPr>
        <w:t>3</w:t>
      </w:r>
      <w:r>
        <w:rPr>
          <w:rFonts w:ascii="Times New Roman" w:hAnsi="Times New Roman"/>
          <w:sz w:val="24"/>
          <w:szCs w:val="24"/>
        </w:rPr>
        <w:t xml:space="preserve"> /次。一年按 4次计算，年冲洗用水量为580.6m</w:t>
      </w:r>
      <w:r>
        <w:rPr>
          <w:rFonts w:ascii="Times New Roman" w:hAnsi="Times New Roman"/>
          <w:sz w:val="24"/>
          <w:szCs w:val="24"/>
          <w:vertAlign w:val="superscript"/>
        </w:rPr>
        <w:t>3</w:t>
      </w:r>
      <w:r>
        <w:rPr>
          <w:rFonts w:ascii="Times New Roman" w:hAnsi="Times New Roman"/>
          <w:sz w:val="24"/>
          <w:szCs w:val="24"/>
        </w:rPr>
        <w:t>，平均1.59m</w:t>
      </w:r>
      <w:r>
        <w:rPr>
          <w:rFonts w:ascii="Times New Roman" w:hAnsi="Times New Roman"/>
          <w:sz w:val="24"/>
          <w:szCs w:val="24"/>
          <w:vertAlign w:val="superscript"/>
        </w:rPr>
        <w:t>3</w:t>
      </w:r>
      <w:r>
        <w:rPr>
          <w:rFonts w:ascii="Times New Roman" w:hAnsi="Times New Roman"/>
          <w:sz w:val="24"/>
          <w:szCs w:val="24"/>
        </w:rPr>
        <w:t>/d，按15%损耗计算，排放量1.35 m</w:t>
      </w:r>
      <w:r>
        <w:rPr>
          <w:rFonts w:ascii="Times New Roman" w:hAnsi="Times New Roman"/>
          <w:sz w:val="24"/>
          <w:szCs w:val="24"/>
          <w:vertAlign w:val="superscript"/>
        </w:rPr>
        <w:t>3</w:t>
      </w:r>
      <w:r>
        <w:rPr>
          <w:rFonts w:ascii="Times New Roman" w:hAnsi="Times New Roman"/>
          <w:sz w:val="24"/>
          <w:szCs w:val="24"/>
        </w:rPr>
        <w:t>/d。</w:t>
      </w:r>
    </w:p>
    <w:p>
      <w:pPr>
        <w:spacing w:line="460" w:lineRule="exact"/>
        <w:ind w:firstLine="480" w:firstLineChars="200"/>
        <w:rPr>
          <w:rFonts w:ascii="Times New Roman" w:hAnsi="Times New Roman"/>
          <w:sz w:val="24"/>
          <w:szCs w:val="24"/>
        </w:rPr>
      </w:pPr>
      <w:r>
        <w:rPr>
          <w:rFonts w:ascii="Times New Roman" w:hAnsi="Times New Roman"/>
          <w:sz w:val="24"/>
          <w:szCs w:val="24"/>
        </w:rPr>
        <w:t>本项目猪只尿液排泄量为65.67m</w:t>
      </w:r>
      <w:r>
        <w:rPr>
          <w:rFonts w:ascii="Times New Roman" w:hAnsi="Times New Roman"/>
          <w:sz w:val="24"/>
          <w:szCs w:val="24"/>
          <w:vertAlign w:val="superscript"/>
        </w:rPr>
        <w:t>3</w:t>
      </w:r>
      <w:r>
        <w:rPr>
          <w:rFonts w:ascii="Times New Roman" w:hAnsi="Times New Roman"/>
          <w:sz w:val="24"/>
          <w:szCs w:val="24"/>
        </w:rPr>
        <w:t>/d。本项目养殖废水量为尿液65.67+冲洗水1.35=67.02 m</w:t>
      </w:r>
      <w:r>
        <w:rPr>
          <w:rFonts w:ascii="Times New Roman" w:hAnsi="Times New Roman"/>
          <w:sz w:val="24"/>
          <w:szCs w:val="24"/>
          <w:vertAlign w:val="superscript"/>
        </w:rPr>
        <w:t>3</w:t>
      </w:r>
      <w:r>
        <w:rPr>
          <w:rFonts w:ascii="Times New Roman" w:hAnsi="Times New Roman"/>
          <w:sz w:val="24"/>
          <w:szCs w:val="24"/>
        </w:rPr>
        <w:t>/d。另外，按照70%人工清粪效率计算，其中有11.94m</w:t>
      </w:r>
      <w:r>
        <w:rPr>
          <w:rFonts w:ascii="Times New Roman" w:hAnsi="Times New Roman"/>
          <w:sz w:val="24"/>
          <w:szCs w:val="24"/>
          <w:vertAlign w:val="superscript"/>
        </w:rPr>
        <w:t>3</w:t>
      </w:r>
      <w:r>
        <w:rPr>
          <w:rFonts w:ascii="Times New Roman" w:hAnsi="Times New Roman"/>
          <w:sz w:val="24"/>
          <w:szCs w:val="24"/>
        </w:rPr>
        <w:t>/d，4358.1m</w:t>
      </w:r>
      <w:r>
        <w:rPr>
          <w:rFonts w:ascii="Times New Roman" w:hAnsi="Times New Roman"/>
          <w:sz w:val="24"/>
          <w:szCs w:val="24"/>
          <w:vertAlign w:val="superscript"/>
        </w:rPr>
        <w:t>3</w:t>
      </w:r>
      <w:r>
        <w:rPr>
          <w:rFonts w:ascii="Times New Roman" w:hAnsi="Times New Roman"/>
          <w:sz w:val="24"/>
          <w:szCs w:val="24"/>
        </w:rPr>
        <w:t>/a进入厌氧发酵池，最后需用于土地施肥。即养殖废水总量为78.96 m</w:t>
      </w:r>
      <w:r>
        <w:rPr>
          <w:rFonts w:ascii="Times New Roman" w:hAnsi="Times New Roman"/>
          <w:sz w:val="24"/>
          <w:szCs w:val="24"/>
          <w:vertAlign w:val="superscript"/>
        </w:rPr>
        <w:t>3</w:t>
      </w:r>
      <w:r>
        <w:rPr>
          <w:rFonts w:ascii="Times New Roman" w:hAnsi="Times New Roman"/>
          <w:sz w:val="24"/>
          <w:szCs w:val="24"/>
        </w:rPr>
        <w:t>/d，28820.4m</w:t>
      </w:r>
      <w:r>
        <w:rPr>
          <w:rFonts w:ascii="Times New Roman" w:hAnsi="Times New Roman"/>
          <w:sz w:val="24"/>
          <w:szCs w:val="24"/>
          <w:vertAlign w:val="superscript"/>
        </w:rPr>
        <w:t>3</w:t>
      </w:r>
      <w:r>
        <w:rPr>
          <w:rFonts w:ascii="Times New Roman" w:hAnsi="Times New Roman"/>
          <w:sz w:val="24"/>
          <w:szCs w:val="24"/>
        </w:rPr>
        <w:t>/a。另外，加上生活废水，消毒水，食堂废水后全厂废水80.63m</w:t>
      </w:r>
      <w:r>
        <w:rPr>
          <w:rFonts w:ascii="Times New Roman" w:hAnsi="Times New Roman"/>
          <w:sz w:val="24"/>
          <w:szCs w:val="24"/>
          <w:vertAlign w:val="superscript"/>
        </w:rPr>
        <w:t>3</w:t>
      </w:r>
      <w:r>
        <w:rPr>
          <w:rFonts w:ascii="Times New Roman" w:hAnsi="Times New Roman"/>
          <w:sz w:val="24"/>
          <w:szCs w:val="24"/>
        </w:rPr>
        <w:t>/d，29429.95m</w:t>
      </w:r>
      <w:r>
        <w:rPr>
          <w:rFonts w:ascii="Times New Roman" w:hAnsi="Times New Roman"/>
          <w:sz w:val="24"/>
          <w:szCs w:val="24"/>
          <w:vertAlign w:val="superscript"/>
        </w:rPr>
        <w:t>3</w:t>
      </w:r>
      <w:r>
        <w:rPr>
          <w:rFonts w:ascii="Times New Roman" w:hAnsi="Times New Roman"/>
          <w:sz w:val="24"/>
          <w:szCs w:val="24"/>
        </w:rPr>
        <w:t>/a。</w:t>
      </w:r>
    </w:p>
    <w:p>
      <w:pPr>
        <w:snapToGrid w:val="0"/>
        <w:spacing w:line="460" w:lineRule="atLeast"/>
        <w:ind w:firstLine="482" w:firstLineChars="200"/>
        <w:rPr>
          <w:rFonts w:ascii="Times New Roman" w:hAnsi="Times New Roman"/>
          <w:b/>
          <w:sz w:val="24"/>
          <w:szCs w:val="24"/>
        </w:rPr>
      </w:pPr>
      <w:r>
        <w:rPr>
          <w:rFonts w:ascii="Times New Roman" w:hAnsi="Times New Roman"/>
          <w:b/>
          <w:sz w:val="24"/>
          <w:szCs w:val="24"/>
        </w:rPr>
        <w:t>（2）生活废水产生量的计算</w:t>
      </w:r>
    </w:p>
    <w:p>
      <w:pPr>
        <w:snapToGrid w:val="0"/>
        <w:spacing w:line="460" w:lineRule="atLeast"/>
        <w:ind w:firstLine="480" w:firstLineChars="200"/>
        <w:rPr>
          <w:rFonts w:ascii="Times New Roman" w:hAnsi="Times New Roman"/>
          <w:sz w:val="24"/>
          <w:szCs w:val="24"/>
        </w:rPr>
      </w:pPr>
      <w:r>
        <w:rPr>
          <w:rFonts w:ascii="Times New Roman" w:hAnsi="Times New Roman"/>
          <w:sz w:val="24"/>
          <w:szCs w:val="24"/>
        </w:rPr>
        <w:t>新增员工生活废水产生量为0.5m</w:t>
      </w:r>
      <w:r>
        <w:rPr>
          <w:rFonts w:ascii="Times New Roman" w:hAnsi="Times New Roman"/>
          <w:sz w:val="24"/>
          <w:szCs w:val="24"/>
          <w:vertAlign w:val="superscript"/>
        </w:rPr>
        <w:t>3</w:t>
      </w:r>
      <w:r>
        <w:rPr>
          <w:rFonts w:ascii="Times New Roman" w:hAnsi="Times New Roman"/>
          <w:sz w:val="24"/>
          <w:szCs w:val="24"/>
        </w:rPr>
        <w:t>/d，食堂废水为1.06m</w:t>
      </w:r>
      <w:r>
        <w:rPr>
          <w:rFonts w:ascii="Times New Roman" w:hAnsi="Times New Roman"/>
          <w:sz w:val="24"/>
          <w:szCs w:val="24"/>
          <w:vertAlign w:val="superscript"/>
        </w:rPr>
        <w:t>3</w:t>
      </w:r>
      <w:r>
        <w:rPr>
          <w:rFonts w:ascii="Times New Roman" w:hAnsi="Times New Roman"/>
          <w:sz w:val="24"/>
          <w:szCs w:val="24"/>
        </w:rPr>
        <w:t>/d。</w:t>
      </w:r>
    </w:p>
    <w:p>
      <w:pPr>
        <w:snapToGrid w:val="0"/>
        <w:spacing w:line="460" w:lineRule="atLeast"/>
        <w:ind w:firstLine="482" w:firstLineChars="200"/>
        <w:rPr>
          <w:rFonts w:ascii="Times New Roman" w:hAnsi="Times New Roman"/>
          <w:b/>
          <w:sz w:val="24"/>
          <w:szCs w:val="24"/>
        </w:rPr>
      </w:pPr>
      <w:r>
        <w:rPr>
          <w:rFonts w:ascii="Times New Roman" w:hAnsi="Times New Roman"/>
          <w:b/>
          <w:sz w:val="24"/>
          <w:szCs w:val="24"/>
        </w:rPr>
        <w:t>（3）产生废水总量</w:t>
      </w:r>
    </w:p>
    <w:p>
      <w:pPr>
        <w:snapToGrid w:val="0"/>
        <w:spacing w:line="460" w:lineRule="atLeast"/>
        <w:ind w:firstLine="480" w:firstLineChars="200"/>
        <w:rPr>
          <w:rFonts w:ascii="Times New Roman" w:hAnsi="Times New Roman"/>
          <w:sz w:val="24"/>
          <w:szCs w:val="24"/>
        </w:rPr>
      </w:pPr>
      <w:r>
        <w:rPr>
          <w:rFonts w:ascii="Times New Roman" w:hAnsi="Times New Roman"/>
          <w:sz w:val="24"/>
          <w:szCs w:val="24"/>
        </w:rPr>
        <w:t>由前分析可知，本项目养殖废水产生量约78.96m</w:t>
      </w:r>
      <w:r>
        <w:rPr>
          <w:rFonts w:ascii="Times New Roman" w:hAnsi="Times New Roman"/>
          <w:sz w:val="24"/>
          <w:szCs w:val="24"/>
          <w:vertAlign w:val="superscript"/>
        </w:rPr>
        <w:t>3</w:t>
      </w:r>
      <w:r>
        <w:rPr>
          <w:rFonts w:ascii="Times New Roman" w:hAnsi="Times New Roman"/>
          <w:sz w:val="24"/>
          <w:szCs w:val="24"/>
        </w:rPr>
        <w:t>/d，生活污水1.67m</w:t>
      </w:r>
      <w:r>
        <w:rPr>
          <w:rFonts w:ascii="Times New Roman" w:hAnsi="Times New Roman"/>
          <w:sz w:val="24"/>
          <w:szCs w:val="24"/>
          <w:vertAlign w:val="superscript"/>
        </w:rPr>
        <w:t>3</w:t>
      </w:r>
      <w:r>
        <w:rPr>
          <w:rFonts w:ascii="Times New Roman" w:hAnsi="Times New Roman"/>
          <w:sz w:val="24"/>
          <w:szCs w:val="24"/>
        </w:rPr>
        <w:t>/d，全厂废水排放总量详见下表。</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jc w:val="center"/>
        <w:rPr>
          <w:rFonts w:ascii="Times New Roman" w:hAnsi="Times New Roman" w:eastAsia="黑体"/>
          <w:sz w:val="21"/>
          <w:szCs w:val="21"/>
        </w:rPr>
      </w:pPr>
      <w:r>
        <w:rPr>
          <w:rFonts w:ascii="Times New Roman" w:hAnsi="Times New Roman" w:eastAsia="黑体"/>
          <w:sz w:val="21"/>
          <w:szCs w:val="21"/>
        </w:rPr>
        <w:t>表2.4-5  项目废水产生情况</w:t>
      </w:r>
    </w:p>
    <w:tbl>
      <w:tblPr>
        <w:tblStyle w:val="90"/>
        <w:tblW w:w="8330"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1481"/>
        <w:gridCol w:w="1803"/>
        <w:gridCol w:w="334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24" w:hRule="atLeast"/>
          <w:jc w:val="center"/>
        </w:trPr>
        <w:tc>
          <w:tcPr>
            <w:tcW w:w="1702" w:type="dxa"/>
            <w:vMerge w:val="restart"/>
            <w:vAlign w:val="center"/>
          </w:tcPr>
          <w:p>
            <w:pPr>
              <w:spacing w:line="360" w:lineRule="atLeast"/>
              <w:jc w:val="center"/>
              <w:rPr>
                <w:rFonts w:ascii="Times New Roman" w:hAnsi="Times New Roman" w:eastAsiaTheme="minorEastAsia"/>
                <w:b/>
                <w:sz w:val="21"/>
                <w:szCs w:val="21"/>
              </w:rPr>
            </w:pPr>
            <w:bookmarkStart w:id="120" w:name="OLE_LINK4"/>
            <w:bookmarkStart w:id="121" w:name="OLE_LINK6"/>
            <w:r>
              <w:rPr>
                <w:rFonts w:ascii="Times New Roman" w:hAnsi="Times New Roman" w:eastAsiaTheme="minorEastAsia"/>
                <w:b/>
                <w:sz w:val="21"/>
                <w:szCs w:val="21"/>
              </w:rPr>
              <w:t>废水种类</w:t>
            </w:r>
          </w:p>
        </w:tc>
        <w:tc>
          <w:tcPr>
            <w:tcW w:w="1481" w:type="dxa"/>
            <w:vMerge w:val="restart"/>
            <w:vAlign w:val="center"/>
          </w:tcPr>
          <w:p>
            <w:pPr>
              <w:spacing w:line="360" w:lineRule="atLeast"/>
              <w:jc w:val="center"/>
              <w:rPr>
                <w:rFonts w:ascii="Times New Roman" w:hAnsi="Times New Roman" w:eastAsiaTheme="minorEastAsia"/>
                <w:b/>
                <w:sz w:val="21"/>
                <w:szCs w:val="21"/>
              </w:rPr>
            </w:pPr>
            <w:r>
              <w:rPr>
                <w:rFonts w:ascii="Times New Roman" w:hAnsi="Times New Roman" w:eastAsiaTheme="minorEastAsia"/>
                <w:b/>
                <w:sz w:val="21"/>
                <w:szCs w:val="21"/>
              </w:rPr>
              <w:t>废水量(m</w:t>
            </w:r>
            <w:r>
              <w:rPr>
                <w:rFonts w:ascii="Times New Roman" w:hAnsi="Times New Roman" w:eastAsiaTheme="minorEastAsia"/>
                <w:b/>
                <w:sz w:val="21"/>
                <w:szCs w:val="21"/>
                <w:vertAlign w:val="superscript"/>
              </w:rPr>
              <w:t>3</w:t>
            </w:r>
            <w:r>
              <w:rPr>
                <w:rFonts w:ascii="Times New Roman" w:hAnsi="Times New Roman" w:eastAsiaTheme="minorEastAsia"/>
                <w:b/>
                <w:sz w:val="21"/>
                <w:szCs w:val="21"/>
              </w:rPr>
              <w:t>/d)</w:t>
            </w:r>
          </w:p>
        </w:tc>
        <w:tc>
          <w:tcPr>
            <w:tcW w:w="1803" w:type="dxa"/>
            <w:vMerge w:val="restart"/>
            <w:vAlign w:val="center"/>
          </w:tcPr>
          <w:p>
            <w:pPr>
              <w:spacing w:line="360" w:lineRule="atLeast"/>
              <w:jc w:val="center"/>
              <w:rPr>
                <w:rFonts w:ascii="Times New Roman" w:hAnsi="Times New Roman" w:eastAsiaTheme="minorEastAsia"/>
                <w:b/>
                <w:sz w:val="21"/>
                <w:szCs w:val="21"/>
              </w:rPr>
            </w:pPr>
            <w:r>
              <w:rPr>
                <w:rFonts w:ascii="Times New Roman" w:hAnsi="Times New Roman" w:eastAsiaTheme="minorEastAsia"/>
                <w:b/>
                <w:sz w:val="21"/>
                <w:szCs w:val="21"/>
              </w:rPr>
              <w:t>废水量(m</w:t>
            </w:r>
            <w:r>
              <w:rPr>
                <w:rFonts w:ascii="Times New Roman" w:hAnsi="Times New Roman" w:eastAsiaTheme="minorEastAsia"/>
                <w:b/>
                <w:sz w:val="21"/>
                <w:szCs w:val="21"/>
                <w:vertAlign w:val="superscript"/>
              </w:rPr>
              <w:t>3</w:t>
            </w:r>
            <w:r>
              <w:rPr>
                <w:rFonts w:ascii="Times New Roman" w:hAnsi="Times New Roman" w:eastAsiaTheme="minorEastAsia"/>
                <w:b/>
                <w:sz w:val="21"/>
                <w:szCs w:val="21"/>
              </w:rPr>
              <w:t>/a)</w:t>
            </w:r>
          </w:p>
        </w:tc>
        <w:tc>
          <w:tcPr>
            <w:tcW w:w="3344" w:type="dxa"/>
            <w:vMerge w:val="restart"/>
            <w:vAlign w:val="center"/>
          </w:tcPr>
          <w:p>
            <w:pPr>
              <w:spacing w:line="360" w:lineRule="atLeast"/>
              <w:ind w:left="-140" w:leftChars="-50" w:right="-140" w:rightChars="-50"/>
              <w:jc w:val="center"/>
              <w:rPr>
                <w:rFonts w:ascii="Times New Roman" w:hAnsi="Times New Roman" w:eastAsiaTheme="minorEastAsia"/>
                <w:b/>
                <w:sz w:val="21"/>
                <w:szCs w:val="21"/>
              </w:rPr>
            </w:pPr>
            <w:r>
              <w:rPr>
                <w:rFonts w:ascii="Times New Roman" w:hAnsi="Times New Roman" w:eastAsiaTheme="minorEastAsia"/>
                <w:b/>
                <w:sz w:val="21"/>
                <w:szCs w:val="21"/>
              </w:rPr>
              <w:t>处理去向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360" w:hRule="atLeast"/>
          <w:jc w:val="center"/>
        </w:trPr>
        <w:tc>
          <w:tcPr>
            <w:tcW w:w="1702" w:type="dxa"/>
            <w:vMerge w:val="continue"/>
            <w:vAlign w:val="center"/>
          </w:tcPr>
          <w:p>
            <w:pPr>
              <w:spacing w:line="360" w:lineRule="atLeast"/>
              <w:jc w:val="center"/>
              <w:rPr>
                <w:rFonts w:ascii="Times New Roman" w:hAnsi="Times New Roman" w:eastAsiaTheme="minorEastAsia"/>
                <w:sz w:val="21"/>
                <w:szCs w:val="21"/>
              </w:rPr>
            </w:pPr>
          </w:p>
        </w:tc>
        <w:tc>
          <w:tcPr>
            <w:tcW w:w="1481" w:type="dxa"/>
            <w:vMerge w:val="continue"/>
            <w:vAlign w:val="center"/>
          </w:tcPr>
          <w:p>
            <w:pPr>
              <w:spacing w:line="360" w:lineRule="atLeast"/>
              <w:jc w:val="center"/>
              <w:rPr>
                <w:rFonts w:ascii="Times New Roman" w:hAnsi="Times New Roman" w:eastAsiaTheme="minorEastAsia"/>
                <w:sz w:val="21"/>
                <w:szCs w:val="21"/>
              </w:rPr>
            </w:pPr>
          </w:p>
        </w:tc>
        <w:tc>
          <w:tcPr>
            <w:tcW w:w="1803" w:type="dxa"/>
            <w:vMerge w:val="continue"/>
            <w:vAlign w:val="center"/>
          </w:tcPr>
          <w:p>
            <w:pPr>
              <w:spacing w:line="360" w:lineRule="atLeast"/>
              <w:jc w:val="center"/>
              <w:rPr>
                <w:rFonts w:ascii="Times New Roman" w:hAnsi="Times New Roman" w:eastAsiaTheme="minorEastAsia"/>
                <w:sz w:val="21"/>
                <w:szCs w:val="21"/>
              </w:rPr>
            </w:pPr>
          </w:p>
        </w:tc>
        <w:tc>
          <w:tcPr>
            <w:tcW w:w="3344" w:type="dxa"/>
            <w:vMerge w:val="continue"/>
            <w:vAlign w:val="center"/>
          </w:tcPr>
          <w:p>
            <w:pPr>
              <w:spacing w:line="360" w:lineRule="atLeast"/>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702"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养殖废水</w:t>
            </w:r>
          </w:p>
        </w:tc>
        <w:tc>
          <w:tcPr>
            <w:tcW w:w="1481"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78.96</w:t>
            </w:r>
          </w:p>
        </w:tc>
        <w:tc>
          <w:tcPr>
            <w:tcW w:w="1803"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28820.4</w:t>
            </w:r>
          </w:p>
        </w:tc>
        <w:tc>
          <w:tcPr>
            <w:tcW w:w="3344" w:type="dxa"/>
            <w:vMerge w:val="restart"/>
            <w:vAlign w:val="center"/>
          </w:tcPr>
          <w:p>
            <w:pPr>
              <w:spacing w:line="360" w:lineRule="atLeast"/>
              <w:ind w:left="-140" w:leftChars="-50" w:right="-140" w:rightChars="-50"/>
              <w:jc w:val="center"/>
              <w:rPr>
                <w:rFonts w:ascii="Times New Roman" w:hAnsi="Times New Roman" w:eastAsiaTheme="minorEastAsia"/>
                <w:sz w:val="21"/>
                <w:szCs w:val="21"/>
              </w:rPr>
            </w:pPr>
            <w:r>
              <w:rPr>
                <w:rFonts w:ascii="Times New Roman" w:hAnsi="Times New Roman" w:eastAsiaTheme="minorEastAsia"/>
                <w:sz w:val="21"/>
                <w:szCs w:val="21"/>
              </w:rPr>
              <w:t>进入粪污发酵坑，并定期由当地粪污合作社收运，用作施肥。</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702"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生活污水</w:t>
            </w:r>
          </w:p>
        </w:tc>
        <w:tc>
          <w:tcPr>
            <w:tcW w:w="1481"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0.51</w:t>
            </w:r>
          </w:p>
        </w:tc>
        <w:tc>
          <w:tcPr>
            <w:tcW w:w="1803"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186.2</w:t>
            </w:r>
          </w:p>
        </w:tc>
        <w:tc>
          <w:tcPr>
            <w:tcW w:w="3344" w:type="dxa"/>
            <w:vMerge w:val="continue"/>
            <w:vAlign w:val="center"/>
          </w:tcPr>
          <w:p>
            <w:pPr>
              <w:spacing w:line="360" w:lineRule="atLeast"/>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702"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消毒水</w:t>
            </w:r>
          </w:p>
        </w:tc>
        <w:tc>
          <w:tcPr>
            <w:tcW w:w="1481"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0.1</w:t>
            </w:r>
          </w:p>
        </w:tc>
        <w:tc>
          <w:tcPr>
            <w:tcW w:w="1803"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36.5</w:t>
            </w:r>
          </w:p>
        </w:tc>
        <w:tc>
          <w:tcPr>
            <w:tcW w:w="3344" w:type="dxa"/>
            <w:vMerge w:val="continue"/>
            <w:vAlign w:val="center"/>
          </w:tcPr>
          <w:p>
            <w:pPr>
              <w:spacing w:line="360" w:lineRule="atLeast"/>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702"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食堂废水</w:t>
            </w:r>
          </w:p>
        </w:tc>
        <w:tc>
          <w:tcPr>
            <w:tcW w:w="1481"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1.06</w:t>
            </w:r>
          </w:p>
        </w:tc>
        <w:tc>
          <w:tcPr>
            <w:tcW w:w="1803"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386.9</w:t>
            </w:r>
          </w:p>
        </w:tc>
        <w:tc>
          <w:tcPr>
            <w:tcW w:w="3344" w:type="dxa"/>
            <w:vMerge w:val="continue"/>
            <w:vAlign w:val="center"/>
          </w:tcPr>
          <w:p>
            <w:pPr>
              <w:spacing w:line="360" w:lineRule="atLeast"/>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702"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合计</w:t>
            </w:r>
          </w:p>
        </w:tc>
        <w:tc>
          <w:tcPr>
            <w:tcW w:w="1481"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80.63</w:t>
            </w:r>
          </w:p>
        </w:tc>
        <w:tc>
          <w:tcPr>
            <w:tcW w:w="1803" w:type="dxa"/>
            <w:vAlign w:val="center"/>
          </w:tcPr>
          <w:p>
            <w:pPr>
              <w:spacing w:line="360" w:lineRule="atLeast"/>
              <w:jc w:val="center"/>
              <w:rPr>
                <w:rFonts w:ascii="Times New Roman" w:hAnsi="Times New Roman" w:eastAsiaTheme="minorEastAsia"/>
                <w:sz w:val="21"/>
                <w:szCs w:val="21"/>
              </w:rPr>
            </w:pPr>
            <w:r>
              <w:rPr>
                <w:rFonts w:ascii="Times New Roman" w:hAnsi="Times New Roman" w:eastAsiaTheme="minorEastAsia"/>
                <w:sz w:val="21"/>
                <w:szCs w:val="21"/>
              </w:rPr>
              <w:t>29429.95</w:t>
            </w:r>
          </w:p>
        </w:tc>
        <w:tc>
          <w:tcPr>
            <w:tcW w:w="3344" w:type="dxa"/>
            <w:vMerge w:val="continue"/>
            <w:vAlign w:val="center"/>
          </w:tcPr>
          <w:p>
            <w:pPr>
              <w:spacing w:line="360" w:lineRule="atLeast"/>
              <w:rPr>
                <w:rFonts w:ascii="Times New Roman" w:hAnsi="Times New Roman" w:eastAsiaTheme="minorEastAsia"/>
                <w:sz w:val="21"/>
                <w:szCs w:val="21"/>
              </w:rPr>
            </w:pPr>
          </w:p>
        </w:tc>
      </w:tr>
      <w:bookmarkEnd w:id="120"/>
      <w:bookmarkEnd w:id="121"/>
    </w:tbl>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根据国家环保部颁布的《畜禽养殖业污染物排放标准》（GB18596-2001）中的有关要求：冬季最高允许排水量计算（1.2m</w:t>
      </w:r>
      <w:r>
        <w:rPr>
          <w:rFonts w:ascii="Times New Roman" w:hAnsi="Times New Roman"/>
          <w:sz w:val="24"/>
          <w:szCs w:val="24"/>
          <w:vertAlign w:val="superscript"/>
        </w:rPr>
        <w:t>3</w:t>
      </w:r>
      <w:r>
        <w:rPr>
          <w:rFonts w:ascii="Times New Roman" w:hAnsi="Times New Roman"/>
          <w:sz w:val="24"/>
          <w:szCs w:val="24"/>
        </w:rPr>
        <w:t>/百头·天），夏季最高允许排水量计算（1.8m</w:t>
      </w:r>
      <w:r>
        <w:rPr>
          <w:rFonts w:ascii="Times New Roman" w:hAnsi="Times New Roman"/>
          <w:sz w:val="24"/>
          <w:szCs w:val="24"/>
          <w:vertAlign w:val="superscript"/>
        </w:rPr>
        <w:t>3</w:t>
      </w:r>
      <w:r>
        <w:rPr>
          <w:rFonts w:ascii="Times New Roman" w:hAnsi="Times New Roman"/>
          <w:sz w:val="24"/>
          <w:szCs w:val="24"/>
        </w:rPr>
        <w:t>/百头·天），采用干清粪工艺清扫圈舍粪便，本项目废水产生量为80.1625m</w:t>
      </w:r>
      <w:r>
        <w:rPr>
          <w:rFonts w:ascii="Times New Roman" w:hAnsi="Times New Roman"/>
          <w:sz w:val="24"/>
          <w:szCs w:val="24"/>
          <w:vertAlign w:val="superscript"/>
        </w:rPr>
        <w:t>3</w:t>
      </w:r>
      <w:r>
        <w:rPr>
          <w:rFonts w:ascii="Times New Roman" w:hAnsi="Times New Roman"/>
          <w:sz w:val="24"/>
          <w:szCs w:val="24"/>
        </w:rPr>
        <w:t>/d，折合0.403m</w:t>
      </w:r>
      <w:r>
        <w:rPr>
          <w:rFonts w:ascii="Times New Roman" w:hAnsi="Times New Roman"/>
          <w:sz w:val="24"/>
          <w:szCs w:val="24"/>
          <w:vertAlign w:val="superscript"/>
        </w:rPr>
        <w:t>3</w:t>
      </w:r>
      <w:r>
        <w:rPr>
          <w:rFonts w:ascii="Times New Roman" w:hAnsi="Times New Roman"/>
          <w:sz w:val="24"/>
          <w:szCs w:val="24"/>
        </w:rPr>
        <w:t>/百头·天，能够满足《畜禽养殖业污染物排放标准》（GB18596-2001）中的相关要求。</w:t>
      </w:r>
    </w:p>
    <w:p>
      <w:pPr>
        <w:spacing w:line="460" w:lineRule="exact"/>
        <w:ind w:firstLine="482"/>
        <w:rPr>
          <w:rFonts w:ascii="Times New Roman" w:hAnsi="Times New Roman"/>
          <w:b/>
          <w:sz w:val="24"/>
        </w:rPr>
      </w:pPr>
      <w:r>
        <w:rPr>
          <w:rFonts w:ascii="Times New Roman" w:hAnsi="Times New Roman"/>
          <w:b/>
          <w:sz w:val="24"/>
        </w:rPr>
        <w:t>（4）污染物产生浓度</w:t>
      </w:r>
    </w:p>
    <w:p>
      <w:pPr>
        <w:snapToGrid w:val="0"/>
        <w:spacing w:line="460" w:lineRule="exact"/>
        <w:ind w:firstLine="480" w:firstLineChars="200"/>
        <w:rPr>
          <w:rFonts w:ascii="Times New Roman" w:hAnsi="Times New Roman"/>
          <w:sz w:val="24"/>
        </w:rPr>
      </w:pPr>
      <w:r>
        <w:rPr>
          <w:rFonts w:ascii="Times New Roman" w:hAnsi="Times New Roman"/>
          <w:sz w:val="24"/>
          <w:szCs w:val="24"/>
        </w:rPr>
        <w:t>根据四川正大畜牧有限公司5000头种猪场项目，泸州市健康牧业有限公司年存栏7000头绿色生猪养殖示范园建设项目以及碧江区铁骑力士二期和平生猪中心扩繁场建设项目有关废水污染物的类比调查资料分析，并参考《畜禽养殖业污染物排放标准》（GB18596-2001）中干清粪工艺废水浓度平均值，分析得到本项</w:t>
      </w:r>
      <w:r>
        <w:rPr>
          <w:rFonts w:ascii="Times New Roman" w:hAnsi="Times New Roman"/>
          <w:sz w:val="24"/>
        </w:rPr>
        <w:t>目养殖场废水中主要污染物指标如下：</w:t>
      </w:r>
    </w:p>
    <w:p>
      <w:pPr>
        <w:spacing w:line="460" w:lineRule="exact"/>
        <w:ind w:right="525"/>
        <w:jc w:val="center"/>
        <w:rPr>
          <w:rFonts w:ascii="Times New Roman" w:hAnsi="Times New Roman" w:eastAsia="黑体"/>
          <w:b/>
          <w:sz w:val="21"/>
          <w:szCs w:val="21"/>
        </w:rPr>
      </w:pPr>
      <w:r>
        <w:rPr>
          <w:rFonts w:ascii="Times New Roman" w:hAnsi="Times New Roman" w:eastAsia="黑体"/>
          <w:sz w:val="21"/>
          <w:szCs w:val="21"/>
        </w:rPr>
        <w:t>表2.4-6 粪污水中主要污染物产生浓度</w:t>
      </w:r>
      <w:r>
        <w:rPr>
          <w:rFonts w:ascii="Times New Roman" w:hAnsi="Times New Roman" w:eastAsia="黑体"/>
          <w:b/>
          <w:sz w:val="21"/>
          <w:szCs w:val="21"/>
        </w:rPr>
        <w:t xml:space="preserve">  </w:t>
      </w:r>
      <w:r>
        <w:rPr>
          <w:rFonts w:ascii="Times New Roman" w:hAnsi="Times New Roman" w:eastAsia="黑体"/>
          <w:sz w:val="21"/>
          <w:szCs w:val="21"/>
        </w:rPr>
        <w:t>单位：mg/l</w:t>
      </w:r>
    </w:p>
    <w:tbl>
      <w:tblPr>
        <w:tblStyle w:val="90"/>
        <w:tblW w:w="899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875"/>
        <w:gridCol w:w="850"/>
        <w:gridCol w:w="851"/>
        <w:gridCol w:w="992"/>
        <w:gridCol w:w="709"/>
        <w:gridCol w:w="992"/>
        <w:gridCol w:w="2131"/>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1" w:hRule="atLeast"/>
          <w:jc w:val="center"/>
        </w:trPr>
        <w:tc>
          <w:tcPr>
            <w:tcW w:w="1592" w:type="dxa"/>
            <w:tcBorders>
              <w:tl2br w:val="single" w:color="auto" w:sz="2" w:space="0"/>
            </w:tcBorders>
            <w:vAlign w:val="center"/>
          </w:tcPr>
          <w:p>
            <w:pPr>
              <w:spacing w:line="360" w:lineRule="atLeast"/>
              <w:jc w:val="right"/>
              <w:rPr>
                <w:rFonts w:ascii="Times New Roman" w:hAnsi="Times New Roman"/>
                <w:sz w:val="21"/>
                <w:szCs w:val="21"/>
              </w:rPr>
            </w:pPr>
            <w:r>
              <w:rPr>
                <w:rFonts w:ascii="Times New Roman" w:hAnsi="Times New Roman"/>
                <w:sz w:val="21"/>
                <w:szCs w:val="21"/>
              </w:rPr>
              <w:t xml:space="preserve">     污染物</w:t>
            </w:r>
          </w:p>
          <w:p>
            <w:pPr>
              <w:spacing w:line="360" w:lineRule="atLeast"/>
              <w:rPr>
                <w:rFonts w:ascii="Times New Roman" w:hAnsi="Times New Roman"/>
                <w:sz w:val="21"/>
                <w:szCs w:val="21"/>
              </w:rPr>
            </w:pPr>
            <w:r>
              <w:rPr>
                <w:rFonts w:ascii="Times New Roman" w:hAnsi="Times New Roman"/>
                <w:sz w:val="21"/>
                <w:szCs w:val="21"/>
              </w:rPr>
              <w:t>污染源</w:t>
            </w:r>
          </w:p>
        </w:tc>
        <w:tc>
          <w:tcPr>
            <w:tcW w:w="875" w:type="dxa"/>
            <w:vAlign w:val="center"/>
          </w:tcPr>
          <w:p>
            <w:pPr>
              <w:spacing w:line="360" w:lineRule="atLeast"/>
              <w:jc w:val="center"/>
              <w:rPr>
                <w:rFonts w:ascii="Times New Roman" w:hAnsi="Times New Roman"/>
                <w:sz w:val="21"/>
                <w:szCs w:val="21"/>
              </w:rPr>
            </w:pPr>
            <w:r>
              <w:rPr>
                <w:rFonts w:ascii="Times New Roman" w:hAnsi="Times New Roman"/>
                <w:sz w:val="21"/>
                <w:szCs w:val="21"/>
              </w:rPr>
              <w:t>COD</w:t>
            </w:r>
          </w:p>
        </w:tc>
        <w:tc>
          <w:tcPr>
            <w:tcW w:w="850" w:type="dxa"/>
            <w:vAlign w:val="center"/>
          </w:tcPr>
          <w:p>
            <w:pPr>
              <w:spacing w:line="360" w:lineRule="atLeast"/>
              <w:jc w:val="center"/>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p>
        </w:tc>
        <w:tc>
          <w:tcPr>
            <w:tcW w:w="851" w:type="dxa"/>
            <w:vAlign w:val="center"/>
          </w:tcPr>
          <w:p>
            <w:pPr>
              <w:spacing w:line="360" w:lineRule="atLeast"/>
              <w:jc w:val="center"/>
              <w:rPr>
                <w:rFonts w:ascii="Times New Roman" w:hAnsi="Times New Roman"/>
                <w:sz w:val="21"/>
                <w:szCs w:val="21"/>
              </w:rPr>
            </w:pPr>
            <w:r>
              <w:rPr>
                <w:rFonts w:ascii="Times New Roman" w:hAnsi="Times New Roman"/>
                <w:sz w:val="21"/>
                <w:szCs w:val="21"/>
              </w:rPr>
              <w:t>SS</w:t>
            </w:r>
          </w:p>
        </w:tc>
        <w:tc>
          <w:tcPr>
            <w:tcW w:w="992" w:type="dxa"/>
            <w:vAlign w:val="center"/>
          </w:tcPr>
          <w:p>
            <w:pPr>
              <w:spacing w:line="360" w:lineRule="atLeast"/>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-N</w:t>
            </w:r>
          </w:p>
        </w:tc>
        <w:tc>
          <w:tcPr>
            <w:tcW w:w="709" w:type="dxa"/>
            <w:vAlign w:val="center"/>
          </w:tcPr>
          <w:p>
            <w:pPr>
              <w:spacing w:line="360" w:lineRule="atLeast"/>
              <w:jc w:val="center"/>
              <w:rPr>
                <w:rFonts w:ascii="Times New Roman" w:hAnsi="Times New Roman"/>
                <w:sz w:val="21"/>
                <w:szCs w:val="21"/>
              </w:rPr>
            </w:pPr>
            <w:r>
              <w:rPr>
                <w:rFonts w:ascii="Times New Roman" w:hAnsi="Times New Roman"/>
                <w:sz w:val="21"/>
                <w:szCs w:val="21"/>
              </w:rPr>
              <w:t xml:space="preserve">TP </w:t>
            </w:r>
          </w:p>
        </w:tc>
        <w:tc>
          <w:tcPr>
            <w:tcW w:w="992" w:type="dxa"/>
            <w:vAlign w:val="center"/>
          </w:tcPr>
          <w:p>
            <w:pPr>
              <w:spacing w:line="360" w:lineRule="atLeast"/>
              <w:jc w:val="center"/>
              <w:rPr>
                <w:rFonts w:ascii="Times New Roman" w:hAnsi="Times New Roman"/>
                <w:sz w:val="21"/>
                <w:szCs w:val="21"/>
              </w:rPr>
            </w:pPr>
            <w:r>
              <w:rPr>
                <w:rFonts w:ascii="Times New Roman" w:hAnsi="Times New Roman"/>
                <w:sz w:val="21"/>
                <w:szCs w:val="21"/>
              </w:rPr>
              <w:t>粪大肠菌群</w:t>
            </w:r>
          </w:p>
        </w:tc>
        <w:tc>
          <w:tcPr>
            <w:tcW w:w="2131" w:type="dxa"/>
            <w:vAlign w:val="center"/>
          </w:tcPr>
          <w:p>
            <w:pPr>
              <w:spacing w:line="360" w:lineRule="atLeast"/>
              <w:jc w:val="center"/>
              <w:rPr>
                <w:rFonts w:ascii="Times New Roman" w:hAnsi="Times New Roman"/>
                <w:sz w:val="21"/>
                <w:szCs w:val="21"/>
              </w:rPr>
            </w:pPr>
            <w:r>
              <w:rPr>
                <w:rFonts w:ascii="Times New Roman" w:hAnsi="Times New Roman"/>
                <w:sz w:val="21"/>
                <w:szCs w:val="21"/>
              </w:rPr>
              <w:t>备注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48" w:hRule="atLeast"/>
          <w:jc w:val="center"/>
        </w:trPr>
        <w:tc>
          <w:tcPr>
            <w:tcW w:w="1592" w:type="dxa"/>
            <w:vAlign w:val="center"/>
          </w:tcPr>
          <w:p>
            <w:pPr>
              <w:spacing w:line="360" w:lineRule="atLeast"/>
              <w:jc w:val="center"/>
              <w:rPr>
                <w:rFonts w:ascii="Times New Roman" w:hAnsi="Times New Roman"/>
                <w:sz w:val="21"/>
                <w:szCs w:val="21"/>
              </w:rPr>
            </w:pPr>
            <w:r>
              <w:rPr>
                <w:rFonts w:ascii="Times New Roman" w:hAnsi="Times New Roman"/>
                <w:sz w:val="21"/>
                <w:szCs w:val="21"/>
              </w:rPr>
              <w:t>混合清粪工艺</w:t>
            </w:r>
          </w:p>
        </w:tc>
        <w:tc>
          <w:tcPr>
            <w:tcW w:w="875" w:type="dxa"/>
            <w:vAlign w:val="center"/>
          </w:tcPr>
          <w:p>
            <w:pPr>
              <w:spacing w:line="360" w:lineRule="atLeast"/>
              <w:jc w:val="center"/>
              <w:rPr>
                <w:rFonts w:ascii="Times New Roman" w:hAnsi="Times New Roman"/>
                <w:sz w:val="21"/>
                <w:szCs w:val="21"/>
              </w:rPr>
            </w:pPr>
            <w:r>
              <w:rPr>
                <w:rFonts w:ascii="Times New Roman" w:hAnsi="Times New Roman"/>
                <w:sz w:val="21"/>
                <w:szCs w:val="21"/>
              </w:rPr>
              <w:t>8000~</w:t>
            </w:r>
          </w:p>
          <w:p>
            <w:pPr>
              <w:spacing w:line="360" w:lineRule="atLeast"/>
              <w:jc w:val="center"/>
              <w:rPr>
                <w:rFonts w:ascii="Times New Roman" w:hAnsi="Times New Roman"/>
                <w:sz w:val="21"/>
                <w:szCs w:val="21"/>
              </w:rPr>
            </w:pPr>
            <w:r>
              <w:rPr>
                <w:rFonts w:ascii="Times New Roman" w:hAnsi="Times New Roman"/>
                <w:sz w:val="21"/>
                <w:szCs w:val="21"/>
              </w:rPr>
              <w:t>10000</w:t>
            </w:r>
          </w:p>
        </w:tc>
        <w:tc>
          <w:tcPr>
            <w:tcW w:w="850" w:type="dxa"/>
            <w:vAlign w:val="center"/>
          </w:tcPr>
          <w:p>
            <w:pPr>
              <w:spacing w:line="360" w:lineRule="atLeast"/>
              <w:jc w:val="center"/>
              <w:rPr>
                <w:rFonts w:ascii="Times New Roman" w:hAnsi="Times New Roman"/>
                <w:sz w:val="21"/>
                <w:szCs w:val="21"/>
              </w:rPr>
            </w:pPr>
            <w:r>
              <w:rPr>
                <w:rFonts w:ascii="Times New Roman" w:hAnsi="Times New Roman"/>
                <w:sz w:val="21"/>
                <w:szCs w:val="21"/>
              </w:rPr>
              <w:t>5000~6000</w:t>
            </w:r>
          </w:p>
        </w:tc>
        <w:tc>
          <w:tcPr>
            <w:tcW w:w="851" w:type="dxa"/>
            <w:vAlign w:val="center"/>
          </w:tcPr>
          <w:p>
            <w:pPr>
              <w:spacing w:line="360" w:lineRule="atLeast"/>
              <w:jc w:val="center"/>
              <w:rPr>
                <w:rFonts w:ascii="Times New Roman" w:hAnsi="Times New Roman"/>
                <w:sz w:val="21"/>
                <w:szCs w:val="21"/>
              </w:rPr>
            </w:pPr>
            <w:r>
              <w:rPr>
                <w:rFonts w:ascii="Times New Roman" w:hAnsi="Times New Roman"/>
                <w:sz w:val="21"/>
                <w:szCs w:val="21"/>
              </w:rPr>
              <w:t>12000</w:t>
            </w:r>
          </w:p>
        </w:tc>
        <w:tc>
          <w:tcPr>
            <w:tcW w:w="992" w:type="dxa"/>
            <w:vAlign w:val="center"/>
          </w:tcPr>
          <w:p>
            <w:pPr>
              <w:spacing w:line="360" w:lineRule="atLeast"/>
              <w:jc w:val="center"/>
              <w:rPr>
                <w:rFonts w:ascii="Times New Roman" w:hAnsi="Times New Roman"/>
                <w:sz w:val="21"/>
                <w:szCs w:val="21"/>
              </w:rPr>
            </w:pPr>
            <w:r>
              <w:rPr>
                <w:rFonts w:ascii="Times New Roman" w:hAnsi="Times New Roman"/>
                <w:sz w:val="21"/>
                <w:szCs w:val="21"/>
              </w:rPr>
              <w:t>600~850</w:t>
            </w:r>
          </w:p>
        </w:tc>
        <w:tc>
          <w:tcPr>
            <w:tcW w:w="709" w:type="dxa"/>
            <w:vAlign w:val="center"/>
          </w:tcPr>
          <w:p>
            <w:pPr>
              <w:spacing w:line="360" w:lineRule="atLeast"/>
              <w:jc w:val="center"/>
              <w:rPr>
                <w:rFonts w:ascii="Times New Roman" w:hAnsi="Times New Roman"/>
                <w:sz w:val="21"/>
                <w:szCs w:val="21"/>
              </w:rPr>
            </w:pPr>
            <w:r>
              <w:rPr>
                <w:rFonts w:ascii="Times New Roman" w:hAnsi="Times New Roman" w:eastAsia="黑体"/>
                <w:sz w:val="21"/>
                <w:szCs w:val="21"/>
              </w:rPr>
              <w:t>50</w:t>
            </w:r>
          </w:p>
        </w:tc>
        <w:tc>
          <w:tcPr>
            <w:tcW w:w="992" w:type="dxa"/>
            <w:vAlign w:val="center"/>
          </w:tcPr>
          <w:p>
            <w:pPr>
              <w:spacing w:line="360" w:lineRule="atLeast"/>
              <w:jc w:val="center"/>
              <w:rPr>
                <w:rFonts w:ascii="Times New Roman" w:hAnsi="Times New Roman"/>
                <w:sz w:val="21"/>
                <w:szCs w:val="21"/>
              </w:rPr>
            </w:pPr>
            <w:r>
              <w:rPr>
                <w:rFonts w:ascii="Times New Roman" w:hAnsi="Times New Roman"/>
                <w:bCs/>
                <w:sz w:val="21"/>
                <w:szCs w:val="21"/>
              </w:rPr>
              <w:t>2.2×10</w:t>
            </w:r>
            <w:r>
              <w:rPr>
                <w:rFonts w:ascii="Times New Roman" w:hAnsi="Times New Roman"/>
                <w:bCs/>
                <w:sz w:val="21"/>
                <w:szCs w:val="21"/>
                <w:vertAlign w:val="superscript"/>
              </w:rPr>
              <w:t>4</w:t>
            </w:r>
            <w:r>
              <w:rPr>
                <w:rFonts w:ascii="Times New Roman" w:hAnsi="Times New Roman"/>
                <w:bCs/>
                <w:sz w:val="21"/>
                <w:szCs w:val="21"/>
              </w:rPr>
              <w:t>个/L</w:t>
            </w:r>
          </w:p>
        </w:tc>
        <w:tc>
          <w:tcPr>
            <w:tcW w:w="2131" w:type="dxa"/>
            <w:vMerge w:val="restart"/>
            <w:vAlign w:val="center"/>
          </w:tcPr>
          <w:p>
            <w:pPr>
              <w:spacing w:line="360" w:lineRule="atLeast"/>
              <w:jc w:val="center"/>
              <w:rPr>
                <w:rFonts w:ascii="Times New Roman" w:hAnsi="Times New Roman"/>
                <w:sz w:val="21"/>
                <w:szCs w:val="21"/>
              </w:rPr>
            </w:pPr>
            <w:r>
              <w:rPr>
                <w:rFonts w:ascii="Times New Roman" w:hAnsi="Times New Roman"/>
                <w:sz w:val="21"/>
                <w:szCs w:val="21"/>
              </w:rPr>
              <w:t>类比监测资料</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1" w:hRule="atLeast"/>
          <w:jc w:val="center"/>
        </w:trPr>
        <w:tc>
          <w:tcPr>
            <w:tcW w:w="1592" w:type="dxa"/>
            <w:vAlign w:val="center"/>
          </w:tcPr>
          <w:p>
            <w:pPr>
              <w:spacing w:line="360" w:lineRule="atLeast"/>
              <w:jc w:val="center"/>
              <w:rPr>
                <w:rFonts w:ascii="Times New Roman" w:hAnsi="Times New Roman"/>
                <w:sz w:val="21"/>
                <w:szCs w:val="21"/>
              </w:rPr>
            </w:pPr>
            <w:r>
              <w:rPr>
                <w:rFonts w:ascii="Times New Roman" w:hAnsi="Times New Roman"/>
                <w:sz w:val="21"/>
                <w:szCs w:val="21"/>
              </w:rPr>
              <w:t>干清粪工艺</w:t>
            </w:r>
          </w:p>
        </w:tc>
        <w:tc>
          <w:tcPr>
            <w:tcW w:w="875" w:type="dxa"/>
            <w:vAlign w:val="center"/>
          </w:tcPr>
          <w:p>
            <w:pPr>
              <w:spacing w:line="360" w:lineRule="atLeast"/>
              <w:jc w:val="center"/>
              <w:rPr>
                <w:rFonts w:ascii="Times New Roman" w:hAnsi="Times New Roman"/>
                <w:sz w:val="21"/>
                <w:szCs w:val="21"/>
              </w:rPr>
            </w:pPr>
            <w:r>
              <w:rPr>
                <w:rFonts w:ascii="Times New Roman" w:hAnsi="Times New Roman"/>
                <w:sz w:val="21"/>
                <w:szCs w:val="21"/>
              </w:rPr>
              <w:t>3000</w:t>
            </w:r>
          </w:p>
        </w:tc>
        <w:tc>
          <w:tcPr>
            <w:tcW w:w="850" w:type="dxa"/>
            <w:vAlign w:val="center"/>
          </w:tcPr>
          <w:p>
            <w:pPr>
              <w:spacing w:line="360" w:lineRule="atLeast"/>
              <w:jc w:val="center"/>
              <w:rPr>
                <w:rFonts w:ascii="Times New Roman" w:hAnsi="Times New Roman"/>
                <w:sz w:val="21"/>
                <w:szCs w:val="21"/>
              </w:rPr>
            </w:pPr>
            <w:r>
              <w:rPr>
                <w:rFonts w:ascii="Times New Roman" w:hAnsi="Times New Roman"/>
                <w:sz w:val="21"/>
                <w:szCs w:val="21"/>
              </w:rPr>
              <w:t>1800</w:t>
            </w:r>
          </w:p>
        </w:tc>
        <w:tc>
          <w:tcPr>
            <w:tcW w:w="851" w:type="dxa"/>
            <w:vAlign w:val="center"/>
          </w:tcPr>
          <w:p>
            <w:pPr>
              <w:spacing w:line="360" w:lineRule="atLeast"/>
              <w:jc w:val="center"/>
              <w:rPr>
                <w:rFonts w:ascii="Times New Roman" w:hAnsi="Times New Roman"/>
                <w:sz w:val="21"/>
                <w:szCs w:val="21"/>
              </w:rPr>
            </w:pPr>
            <w:r>
              <w:rPr>
                <w:rFonts w:ascii="Times New Roman" w:hAnsi="Times New Roman"/>
                <w:sz w:val="21"/>
                <w:szCs w:val="21"/>
              </w:rPr>
              <w:t>3600</w:t>
            </w:r>
          </w:p>
        </w:tc>
        <w:tc>
          <w:tcPr>
            <w:tcW w:w="992" w:type="dxa"/>
            <w:vAlign w:val="center"/>
          </w:tcPr>
          <w:p>
            <w:pPr>
              <w:spacing w:line="360" w:lineRule="atLeast"/>
              <w:jc w:val="center"/>
              <w:rPr>
                <w:rFonts w:ascii="Times New Roman" w:hAnsi="Times New Roman"/>
                <w:sz w:val="21"/>
                <w:szCs w:val="21"/>
              </w:rPr>
            </w:pPr>
            <w:r>
              <w:rPr>
                <w:rFonts w:ascii="Times New Roman" w:hAnsi="Times New Roman"/>
                <w:sz w:val="21"/>
                <w:szCs w:val="21"/>
              </w:rPr>
              <w:t>500</w:t>
            </w:r>
          </w:p>
        </w:tc>
        <w:tc>
          <w:tcPr>
            <w:tcW w:w="709" w:type="dxa"/>
            <w:vAlign w:val="center"/>
          </w:tcPr>
          <w:p>
            <w:pPr>
              <w:spacing w:line="360" w:lineRule="atLeast"/>
              <w:jc w:val="center"/>
              <w:rPr>
                <w:rFonts w:ascii="Times New Roman" w:hAnsi="Times New Roman"/>
                <w:sz w:val="21"/>
                <w:szCs w:val="21"/>
              </w:rPr>
            </w:pPr>
            <w:r>
              <w:rPr>
                <w:rFonts w:ascii="Times New Roman" w:hAnsi="Times New Roman"/>
                <w:sz w:val="21"/>
                <w:szCs w:val="21"/>
              </w:rPr>
              <w:t>100</w:t>
            </w:r>
          </w:p>
        </w:tc>
        <w:tc>
          <w:tcPr>
            <w:tcW w:w="992" w:type="dxa"/>
            <w:vAlign w:val="center"/>
          </w:tcPr>
          <w:p>
            <w:pPr>
              <w:spacing w:line="360" w:lineRule="atLeast"/>
              <w:jc w:val="center"/>
              <w:rPr>
                <w:rFonts w:ascii="Times New Roman" w:hAnsi="Times New Roman"/>
                <w:sz w:val="21"/>
                <w:szCs w:val="21"/>
              </w:rPr>
            </w:pPr>
            <w:r>
              <w:rPr>
                <w:rFonts w:ascii="Times New Roman" w:hAnsi="Times New Roman"/>
                <w:bCs/>
                <w:sz w:val="21"/>
                <w:szCs w:val="21"/>
              </w:rPr>
              <w:t>1.5×10</w:t>
            </w:r>
            <w:r>
              <w:rPr>
                <w:rFonts w:ascii="Times New Roman" w:hAnsi="Times New Roman"/>
                <w:bCs/>
                <w:sz w:val="21"/>
                <w:szCs w:val="21"/>
                <w:vertAlign w:val="superscript"/>
              </w:rPr>
              <w:t>4</w:t>
            </w:r>
            <w:r>
              <w:rPr>
                <w:rFonts w:ascii="Times New Roman" w:hAnsi="Times New Roman"/>
                <w:bCs/>
                <w:sz w:val="21"/>
                <w:szCs w:val="21"/>
              </w:rPr>
              <w:t>个/L</w:t>
            </w:r>
          </w:p>
        </w:tc>
        <w:tc>
          <w:tcPr>
            <w:tcW w:w="2131" w:type="dxa"/>
            <w:vMerge w:val="continue"/>
            <w:vAlign w:val="center"/>
          </w:tcPr>
          <w:p>
            <w:pPr>
              <w:spacing w:line="360" w:lineRule="atLeast"/>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059" w:hRule="atLeast"/>
          <w:jc w:val="center"/>
        </w:trPr>
        <w:tc>
          <w:tcPr>
            <w:tcW w:w="1592" w:type="dxa"/>
            <w:tcBorders>
              <w:bottom w:val="single" w:color="auto" w:sz="2" w:space="0"/>
            </w:tcBorders>
            <w:vAlign w:val="center"/>
          </w:tcPr>
          <w:p>
            <w:pPr>
              <w:spacing w:line="360" w:lineRule="atLeast"/>
              <w:jc w:val="center"/>
              <w:rPr>
                <w:rFonts w:ascii="Times New Roman" w:hAnsi="Times New Roman"/>
                <w:sz w:val="21"/>
                <w:szCs w:val="21"/>
              </w:rPr>
            </w:pPr>
            <w:r>
              <w:rPr>
                <w:rFonts w:ascii="Times New Roman" w:hAnsi="Times New Roman"/>
                <w:sz w:val="21"/>
                <w:szCs w:val="21"/>
              </w:rPr>
              <w:t>干清粪工艺（平均值）</w:t>
            </w:r>
          </w:p>
        </w:tc>
        <w:tc>
          <w:tcPr>
            <w:tcW w:w="875" w:type="dxa"/>
            <w:tcBorders>
              <w:bottom w:val="single" w:color="auto" w:sz="2" w:space="0"/>
            </w:tcBorders>
            <w:vAlign w:val="center"/>
          </w:tcPr>
          <w:p>
            <w:pPr>
              <w:spacing w:line="360" w:lineRule="atLeast"/>
              <w:jc w:val="center"/>
              <w:rPr>
                <w:rFonts w:ascii="Times New Roman" w:hAnsi="Times New Roman"/>
                <w:sz w:val="21"/>
                <w:szCs w:val="21"/>
              </w:rPr>
            </w:pPr>
            <w:r>
              <w:rPr>
                <w:rFonts w:ascii="Times New Roman" w:hAnsi="Times New Roman"/>
                <w:sz w:val="21"/>
                <w:szCs w:val="21"/>
              </w:rPr>
              <w:t>2640</w:t>
            </w:r>
          </w:p>
        </w:tc>
        <w:tc>
          <w:tcPr>
            <w:tcW w:w="850" w:type="dxa"/>
            <w:vAlign w:val="center"/>
          </w:tcPr>
          <w:p>
            <w:pPr>
              <w:spacing w:line="360" w:lineRule="atLeast"/>
              <w:jc w:val="center"/>
              <w:rPr>
                <w:rFonts w:ascii="Times New Roman" w:hAnsi="Times New Roman"/>
                <w:sz w:val="21"/>
                <w:szCs w:val="21"/>
              </w:rPr>
            </w:pPr>
            <w:r>
              <w:rPr>
                <w:rFonts w:ascii="Times New Roman" w:hAnsi="Times New Roman" w:eastAsia="黑体"/>
                <w:sz w:val="21"/>
                <w:szCs w:val="21"/>
              </w:rPr>
              <w:t>/</w:t>
            </w:r>
          </w:p>
        </w:tc>
        <w:tc>
          <w:tcPr>
            <w:tcW w:w="851" w:type="dxa"/>
            <w:vAlign w:val="center"/>
          </w:tcPr>
          <w:p>
            <w:pPr>
              <w:spacing w:line="360" w:lineRule="atLeast"/>
              <w:jc w:val="center"/>
              <w:rPr>
                <w:rFonts w:ascii="Times New Roman" w:hAnsi="Times New Roman"/>
                <w:sz w:val="21"/>
                <w:szCs w:val="21"/>
              </w:rPr>
            </w:pPr>
            <w:r>
              <w:rPr>
                <w:rFonts w:ascii="Times New Roman" w:hAnsi="Times New Roman" w:eastAsia="黑体"/>
                <w:sz w:val="21"/>
                <w:szCs w:val="21"/>
              </w:rPr>
              <w:t>/</w:t>
            </w:r>
          </w:p>
        </w:tc>
        <w:tc>
          <w:tcPr>
            <w:tcW w:w="992" w:type="dxa"/>
            <w:vAlign w:val="center"/>
          </w:tcPr>
          <w:p>
            <w:pPr>
              <w:spacing w:line="360" w:lineRule="atLeast"/>
              <w:jc w:val="center"/>
              <w:rPr>
                <w:rFonts w:ascii="Times New Roman" w:hAnsi="Times New Roman"/>
                <w:sz w:val="21"/>
                <w:szCs w:val="21"/>
              </w:rPr>
            </w:pPr>
            <w:r>
              <w:rPr>
                <w:rFonts w:ascii="Times New Roman" w:hAnsi="Times New Roman"/>
                <w:sz w:val="21"/>
                <w:szCs w:val="21"/>
              </w:rPr>
              <w:t>261</w:t>
            </w:r>
          </w:p>
        </w:tc>
        <w:tc>
          <w:tcPr>
            <w:tcW w:w="709" w:type="dxa"/>
            <w:vAlign w:val="center"/>
          </w:tcPr>
          <w:p>
            <w:pPr>
              <w:spacing w:line="360" w:lineRule="atLeast"/>
              <w:jc w:val="center"/>
              <w:rPr>
                <w:rFonts w:ascii="Times New Roman" w:hAnsi="Times New Roman"/>
                <w:sz w:val="21"/>
                <w:szCs w:val="21"/>
              </w:rPr>
            </w:pPr>
            <w:r>
              <w:rPr>
                <w:rFonts w:ascii="Times New Roman" w:hAnsi="Times New Roman"/>
                <w:sz w:val="21"/>
                <w:szCs w:val="21"/>
              </w:rPr>
              <w:t>43.5</w:t>
            </w:r>
          </w:p>
        </w:tc>
        <w:tc>
          <w:tcPr>
            <w:tcW w:w="992" w:type="dxa"/>
            <w:vAlign w:val="center"/>
          </w:tcPr>
          <w:p>
            <w:pPr>
              <w:spacing w:line="360" w:lineRule="atLeast"/>
              <w:jc w:val="center"/>
              <w:rPr>
                <w:rFonts w:ascii="Times New Roman" w:hAnsi="Times New Roman"/>
                <w:sz w:val="21"/>
                <w:szCs w:val="21"/>
              </w:rPr>
            </w:pPr>
            <w:r>
              <w:rPr>
                <w:rFonts w:ascii="Times New Roman" w:hAnsi="Times New Roman" w:eastAsia="黑体"/>
                <w:sz w:val="21"/>
                <w:szCs w:val="21"/>
              </w:rPr>
              <w:t>/</w:t>
            </w:r>
          </w:p>
        </w:tc>
        <w:tc>
          <w:tcPr>
            <w:tcW w:w="2131" w:type="dxa"/>
            <w:vAlign w:val="center"/>
          </w:tcPr>
          <w:p>
            <w:pPr>
              <w:spacing w:line="360" w:lineRule="atLeast"/>
              <w:jc w:val="center"/>
              <w:rPr>
                <w:rFonts w:ascii="Times New Roman" w:hAnsi="Times New Roman"/>
                <w:sz w:val="21"/>
                <w:szCs w:val="21"/>
              </w:rPr>
            </w:pPr>
            <w:r>
              <w:rPr>
                <w:rFonts w:ascii="Times New Roman" w:hAnsi="Times New Roman"/>
                <w:sz w:val="21"/>
                <w:szCs w:val="21"/>
              </w:rPr>
              <w:t>《畜禽养殖业污染治理工程技术规范》（环保部HJ 497－2009）</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20" w:hRule="atLeast"/>
          <w:jc w:val="center"/>
        </w:trPr>
        <w:tc>
          <w:tcPr>
            <w:tcW w:w="1592" w:type="dxa"/>
            <w:tcBorders>
              <w:top w:val="single" w:color="auto" w:sz="2" w:space="0"/>
            </w:tcBorders>
            <w:vAlign w:val="center"/>
          </w:tcPr>
          <w:p>
            <w:pPr>
              <w:spacing w:line="360" w:lineRule="atLeast"/>
              <w:jc w:val="center"/>
              <w:rPr>
                <w:rFonts w:ascii="Times New Roman" w:hAnsi="Times New Roman"/>
                <w:sz w:val="21"/>
                <w:szCs w:val="21"/>
              </w:rPr>
            </w:pPr>
            <w:r>
              <w:rPr>
                <w:rFonts w:ascii="Times New Roman" w:hAnsi="Times New Roman"/>
                <w:sz w:val="21"/>
                <w:szCs w:val="21"/>
              </w:rPr>
              <w:t>干清粪工艺</w:t>
            </w:r>
          </w:p>
        </w:tc>
        <w:tc>
          <w:tcPr>
            <w:tcW w:w="875" w:type="dxa"/>
            <w:tcBorders>
              <w:top w:val="single" w:color="auto" w:sz="2" w:space="0"/>
            </w:tcBorders>
            <w:vAlign w:val="center"/>
          </w:tcPr>
          <w:p>
            <w:pPr>
              <w:spacing w:line="360" w:lineRule="atLeast"/>
              <w:jc w:val="center"/>
              <w:rPr>
                <w:rFonts w:ascii="Times New Roman" w:hAnsi="Times New Roman"/>
                <w:sz w:val="21"/>
                <w:szCs w:val="21"/>
              </w:rPr>
            </w:pPr>
            <w:r>
              <w:rPr>
                <w:rFonts w:ascii="Times New Roman" w:hAnsi="Times New Roman"/>
                <w:sz w:val="21"/>
                <w:szCs w:val="21"/>
              </w:rPr>
              <w:t>3000</w:t>
            </w:r>
          </w:p>
        </w:tc>
        <w:tc>
          <w:tcPr>
            <w:tcW w:w="850" w:type="dxa"/>
            <w:vAlign w:val="center"/>
          </w:tcPr>
          <w:p>
            <w:pPr>
              <w:spacing w:line="360" w:lineRule="atLeast"/>
              <w:jc w:val="center"/>
              <w:rPr>
                <w:rFonts w:ascii="Times New Roman" w:hAnsi="Times New Roman"/>
                <w:sz w:val="21"/>
                <w:szCs w:val="21"/>
              </w:rPr>
            </w:pPr>
            <w:r>
              <w:rPr>
                <w:rFonts w:ascii="Times New Roman" w:hAnsi="Times New Roman"/>
                <w:sz w:val="21"/>
                <w:szCs w:val="21"/>
              </w:rPr>
              <w:t>1800</w:t>
            </w:r>
          </w:p>
        </w:tc>
        <w:tc>
          <w:tcPr>
            <w:tcW w:w="851" w:type="dxa"/>
            <w:vAlign w:val="center"/>
          </w:tcPr>
          <w:p>
            <w:pPr>
              <w:spacing w:line="360" w:lineRule="atLeast"/>
              <w:jc w:val="center"/>
              <w:rPr>
                <w:rFonts w:ascii="Times New Roman" w:hAnsi="Times New Roman"/>
                <w:sz w:val="21"/>
                <w:szCs w:val="21"/>
              </w:rPr>
            </w:pPr>
            <w:r>
              <w:rPr>
                <w:rFonts w:ascii="Times New Roman" w:hAnsi="Times New Roman"/>
                <w:sz w:val="21"/>
                <w:szCs w:val="21"/>
              </w:rPr>
              <w:t>3600</w:t>
            </w:r>
          </w:p>
        </w:tc>
        <w:tc>
          <w:tcPr>
            <w:tcW w:w="992" w:type="dxa"/>
            <w:vAlign w:val="center"/>
          </w:tcPr>
          <w:p>
            <w:pPr>
              <w:spacing w:line="360" w:lineRule="atLeast"/>
              <w:jc w:val="center"/>
              <w:rPr>
                <w:rFonts w:ascii="Times New Roman" w:hAnsi="Times New Roman"/>
                <w:sz w:val="21"/>
                <w:szCs w:val="21"/>
              </w:rPr>
            </w:pPr>
            <w:r>
              <w:rPr>
                <w:rFonts w:ascii="Times New Roman" w:hAnsi="Times New Roman"/>
                <w:sz w:val="21"/>
                <w:szCs w:val="21"/>
              </w:rPr>
              <w:t>500</w:t>
            </w:r>
          </w:p>
        </w:tc>
        <w:tc>
          <w:tcPr>
            <w:tcW w:w="709" w:type="dxa"/>
            <w:vAlign w:val="center"/>
          </w:tcPr>
          <w:p>
            <w:pPr>
              <w:spacing w:line="360" w:lineRule="atLeast"/>
              <w:jc w:val="center"/>
              <w:rPr>
                <w:rFonts w:ascii="Times New Roman" w:hAnsi="Times New Roman"/>
                <w:sz w:val="21"/>
                <w:szCs w:val="21"/>
              </w:rPr>
            </w:pPr>
            <w:r>
              <w:rPr>
                <w:rFonts w:ascii="Times New Roman" w:hAnsi="Times New Roman"/>
                <w:sz w:val="21"/>
                <w:szCs w:val="21"/>
              </w:rPr>
              <w:t>100</w:t>
            </w:r>
          </w:p>
        </w:tc>
        <w:tc>
          <w:tcPr>
            <w:tcW w:w="992" w:type="dxa"/>
          </w:tcPr>
          <w:p>
            <w:pPr>
              <w:spacing w:line="360" w:lineRule="atLeast"/>
              <w:jc w:val="center"/>
              <w:rPr>
                <w:rFonts w:ascii="Times New Roman" w:hAnsi="Times New Roman"/>
                <w:sz w:val="21"/>
                <w:szCs w:val="21"/>
              </w:rPr>
            </w:pPr>
            <w:r>
              <w:rPr>
                <w:rFonts w:ascii="Times New Roman" w:hAnsi="Times New Roman"/>
                <w:bCs/>
                <w:sz w:val="21"/>
                <w:szCs w:val="21"/>
              </w:rPr>
              <w:t>1.5×10</w:t>
            </w:r>
            <w:r>
              <w:rPr>
                <w:rFonts w:ascii="Times New Roman" w:hAnsi="Times New Roman"/>
                <w:bCs/>
                <w:sz w:val="21"/>
                <w:szCs w:val="21"/>
                <w:vertAlign w:val="superscript"/>
              </w:rPr>
              <w:t>4</w:t>
            </w:r>
            <w:r>
              <w:rPr>
                <w:rFonts w:ascii="Times New Roman" w:hAnsi="Times New Roman"/>
                <w:bCs/>
                <w:sz w:val="21"/>
                <w:szCs w:val="21"/>
              </w:rPr>
              <w:t>个/L</w:t>
            </w:r>
          </w:p>
        </w:tc>
        <w:tc>
          <w:tcPr>
            <w:tcW w:w="2131" w:type="dxa"/>
            <w:vAlign w:val="center"/>
          </w:tcPr>
          <w:p>
            <w:pPr>
              <w:spacing w:line="360" w:lineRule="atLeast"/>
              <w:jc w:val="center"/>
              <w:rPr>
                <w:rFonts w:ascii="Times New Roman" w:hAnsi="Times New Roman"/>
                <w:sz w:val="21"/>
                <w:szCs w:val="21"/>
              </w:rPr>
            </w:pPr>
            <w:r>
              <w:rPr>
                <w:rFonts w:ascii="Times New Roman" w:hAnsi="Times New Roman"/>
                <w:sz w:val="21"/>
                <w:szCs w:val="21"/>
              </w:rPr>
              <w:t>本项目会有部分固体粪便进入发酵坑</w:t>
            </w:r>
          </w:p>
        </w:tc>
      </w:tr>
    </w:tbl>
    <w:p>
      <w:pPr>
        <w:spacing w:before="156" w:beforeLines="50"/>
        <w:rPr>
          <w:rFonts w:ascii="Times New Roman" w:hAnsi="Times New Roman" w:eastAsiaTheme="minorEastAsia"/>
          <w:b/>
          <w:sz w:val="24"/>
        </w:rPr>
      </w:pPr>
    </w:p>
    <w:p>
      <w:pPr>
        <w:spacing w:before="156" w:beforeLines="50"/>
        <w:rPr>
          <w:rFonts w:ascii="Times New Roman" w:hAnsi="Times New Roman" w:eastAsiaTheme="minorEastAsia"/>
          <w:b/>
          <w:sz w:val="24"/>
        </w:rPr>
      </w:pPr>
      <w:r>
        <w:rPr>
          <w:rFonts w:ascii="Times New Roman" w:hAnsi="Times New Roman" w:eastAsiaTheme="minorEastAsia"/>
          <w:b/>
          <w:sz w:val="24"/>
        </w:rPr>
        <w:t>2、废水处置措施</w:t>
      </w:r>
    </w:p>
    <w:p>
      <w:pPr>
        <w:snapToGrid w:val="0"/>
        <w:ind w:firstLine="480" w:firstLineChars="200"/>
        <w:rPr>
          <w:rFonts w:ascii="Times New Roman" w:hAnsi="Times New Roman" w:eastAsiaTheme="minorEastAsia"/>
          <w:sz w:val="24"/>
        </w:rPr>
      </w:pPr>
      <w:r>
        <w:rPr>
          <w:rFonts w:ascii="Times New Roman" w:hAnsi="Times New Roman" w:eastAsiaTheme="minorEastAsia"/>
          <w:sz w:val="24"/>
        </w:rPr>
        <w:t>（1）粪污水采用《畜禽养殖业污染防治技术规范》中模式</w:t>
      </w:r>
      <w:r>
        <w:rPr>
          <w:rFonts w:hint="eastAsia" w:ascii="宋体" w:hAnsi="宋体" w:cs="宋体"/>
          <w:sz w:val="24"/>
        </w:rPr>
        <w:t>Ⅰ</w:t>
      </w:r>
      <w:r>
        <w:rPr>
          <w:rFonts w:ascii="Times New Roman" w:hAnsi="Times New Roman" w:eastAsiaTheme="minorEastAsia"/>
          <w:sz w:val="24"/>
        </w:rPr>
        <w:t>的处理工艺，厌氧发酵的模式，进入发酵深坑进行半年厌氧发酵处理。</w:t>
      </w:r>
    </w:p>
    <w:p>
      <w:pPr>
        <w:snapToGrid w:val="0"/>
        <w:ind w:firstLine="480" w:firstLineChars="200"/>
        <w:rPr>
          <w:rFonts w:ascii="Times New Roman" w:hAnsi="Times New Roman" w:eastAsiaTheme="minorEastAsia"/>
          <w:sz w:val="24"/>
        </w:rPr>
      </w:pPr>
      <w:r>
        <w:rPr>
          <w:rFonts w:ascii="Times New Roman" w:hAnsi="Times New Roman" w:eastAsiaTheme="minorEastAsia"/>
          <w:sz w:val="24"/>
        </w:rPr>
        <w:t>（2）冲洗水进入发酵深坑处理。</w:t>
      </w:r>
    </w:p>
    <w:p>
      <w:pPr>
        <w:snapToGrid w:val="0"/>
        <w:ind w:firstLine="480" w:firstLineChars="200"/>
        <w:rPr>
          <w:rFonts w:ascii="Times New Roman" w:hAnsi="Times New Roman" w:eastAsiaTheme="minorEastAsia"/>
          <w:sz w:val="24"/>
        </w:rPr>
      </w:pPr>
      <w:r>
        <w:rPr>
          <w:rFonts w:ascii="Times New Roman" w:hAnsi="Times New Roman" w:eastAsiaTheme="minorEastAsia"/>
          <w:sz w:val="24"/>
        </w:rPr>
        <w:t>（3）生活污水，进入发酵深坑处理；食堂含油废水经隔油处理后进入发酵深坑处理。</w:t>
      </w:r>
    </w:p>
    <w:p>
      <w:pPr>
        <w:snapToGrid w:val="0"/>
        <w:ind w:firstLine="480" w:firstLineChars="200"/>
        <w:rPr>
          <w:rFonts w:ascii="Times New Roman" w:hAnsi="Times New Roman" w:eastAsiaTheme="minorEastAsia"/>
          <w:sz w:val="24"/>
        </w:rPr>
      </w:pPr>
      <w:r>
        <w:rPr>
          <w:rFonts w:ascii="Times New Roman" w:hAnsi="Times New Roman" w:eastAsiaTheme="minorEastAsia"/>
          <w:sz w:val="24"/>
        </w:rPr>
        <w:t>上述废水经处理后由当地粪污合作外收运还田。</w:t>
      </w:r>
    </w:p>
    <w:p>
      <w:pPr>
        <w:snapToGrid w:val="0"/>
        <w:ind w:firstLine="480" w:firstLineChars="200"/>
        <w:rPr>
          <w:rFonts w:ascii="Times New Roman" w:hAnsi="Times New Roman" w:eastAsiaTheme="minorEastAsia"/>
          <w:b/>
          <w:sz w:val="24"/>
        </w:rPr>
      </w:pPr>
      <w:r>
        <w:rPr>
          <w:rFonts w:ascii="Times New Roman" w:hAnsi="Times New Roman" w:eastAsiaTheme="minorEastAsia"/>
          <w:sz w:val="24"/>
        </w:rPr>
        <w:t>污水处理工艺流程为：先经人工清粪后去除大部门固体粪污，其余粪污水直接进入圈舍下方的发酵深坑。厌氧发酵6个月以上，腐熟后用于周边农田施肥。企业与当地合作社签订协议，沼液由合作社抽走，在冉义镇境内作为水肥施用。圈舍下方储存池容积6.5万m</w:t>
      </w:r>
      <w:r>
        <w:rPr>
          <w:rFonts w:ascii="Times New Roman" w:hAnsi="Times New Roman" w:eastAsiaTheme="minorEastAsia"/>
          <w:sz w:val="24"/>
          <w:vertAlign w:val="superscript"/>
        </w:rPr>
        <w:t>3</w:t>
      </w:r>
      <w:r>
        <w:rPr>
          <w:rFonts w:ascii="Times New Roman" w:hAnsi="Times New Roman" w:eastAsiaTheme="minorEastAsia"/>
          <w:sz w:val="24"/>
        </w:rPr>
        <w:t>，满足半年以上的储存要求，同时适应当地两季种植的特点。进出水指标见下表。</w:t>
      </w:r>
    </w:p>
    <w:p>
      <w:pPr>
        <w:spacing w:line="460" w:lineRule="exact"/>
        <w:jc w:val="center"/>
        <w:rPr>
          <w:rFonts w:ascii="Times New Roman" w:hAnsi="Times New Roman"/>
          <w:sz w:val="21"/>
          <w:szCs w:val="21"/>
        </w:rPr>
      </w:pPr>
      <w:r>
        <w:rPr>
          <w:rFonts w:ascii="Times New Roman" w:hAnsi="Times New Roman" w:eastAsia="黑体"/>
          <w:sz w:val="21"/>
          <w:szCs w:val="21"/>
        </w:rPr>
        <w:t xml:space="preserve">表2.4-7 各处理单元主要污染物指标表  </w:t>
      </w:r>
      <w:r>
        <w:rPr>
          <w:rFonts w:ascii="Times New Roman" w:hAnsi="Times New Roman"/>
          <w:sz w:val="21"/>
          <w:szCs w:val="21"/>
        </w:rPr>
        <w:t>单位：mg/L</w:t>
      </w:r>
    </w:p>
    <w:tbl>
      <w:tblPr>
        <w:tblStyle w:val="90"/>
        <w:tblW w:w="808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43"/>
        <w:gridCol w:w="1185"/>
        <w:gridCol w:w="1062"/>
        <w:gridCol w:w="1073"/>
        <w:gridCol w:w="1063"/>
        <w:gridCol w:w="956"/>
        <w:gridCol w:w="100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4" w:hRule="atLeast"/>
          <w:tblHeader/>
          <w:jc w:val="center"/>
        </w:trPr>
        <w:tc>
          <w:tcPr>
            <w:tcW w:w="2928" w:type="dxa"/>
            <w:gridSpan w:val="2"/>
            <w:noWrap/>
            <w:vAlign w:val="center"/>
          </w:tcPr>
          <w:p>
            <w:pPr>
              <w:spacing w:line="340" w:lineRule="exact"/>
              <w:jc w:val="center"/>
              <w:rPr>
                <w:rFonts w:ascii="Times New Roman" w:hAnsi="Times New Roman"/>
                <w:sz w:val="21"/>
                <w:szCs w:val="21"/>
              </w:rPr>
            </w:pPr>
            <w:r>
              <w:rPr>
                <w:rFonts w:ascii="Times New Roman" w:hAnsi="Times New Roman"/>
                <w:sz w:val="21"/>
                <w:szCs w:val="21"/>
              </w:rPr>
              <w:t>处理单元</w:t>
            </w:r>
          </w:p>
        </w:tc>
        <w:tc>
          <w:tcPr>
            <w:tcW w:w="1062" w:type="dxa"/>
            <w:vAlign w:val="center"/>
          </w:tcPr>
          <w:p>
            <w:pPr>
              <w:spacing w:line="340" w:lineRule="exact"/>
              <w:jc w:val="center"/>
              <w:rPr>
                <w:rFonts w:ascii="Times New Roman" w:hAnsi="Times New Roman"/>
                <w:sz w:val="21"/>
                <w:szCs w:val="21"/>
              </w:rPr>
            </w:pPr>
            <w:r>
              <w:rPr>
                <w:rFonts w:ascii="Times New Roman" w:hAnsi="Times New Roman"/>
                <w:sz w:val="21"/>
                <w:szCs w:val="21"/>
              </w:rPr>
              <w:t>COD</w:t>
            </w:r>
          </w:p>
        </w:tc>
        <w:tc>
          <w:tcPr>
            <w:tcW w:w="1073" w:type="dxa"/>
            <w:vAlign w:val="center"/>
          </w:tcPr>
          <w:p>
            <w:pPr>
              <w:spacing w:line="340" w:lineRule="exact"/>
              <w:jc w:val="center"/>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p>
        </w:tc>
        <w:tc>
          <w:tcPr>
            <w:tcW w:w="1063" w:type="dxa"/>
            <w:vAlign w:val="center"/>
          </w:tcPr>
          <w:p>
            <w:pPr>
              <w:spacing w:line="340" w:lineRule="exact"/>
              <w:jc w:val="center"/>
              <w:rPr>
                <w:rFonts w:ascii="Times New Roman" w:hAnsi="Times New Roman"/>
                <w:sz w:val="21"/>
                <w:szCs w:val="21"/>
              </w:rPr>
            </w:pPr>
            <w:r>
              <w:rPr>
                <w:rFonts w:ascii="Times New Roman" w:hAnsi="Times New Roman"/>
                <w:sz w:val="21"/>
                <w:szCs w:val="21"/>
              </w:rPr>
              <w:t>SS</w:t>
            </w:r>
          </w:p>
        </w:tc>
        <w:tc>
          <w:tcPr>
            <w:tcW w:w="956" w:type="dxa"/>
            <w:vAlign w:val="center"/>
          </w:tcPr>
          <w:p>
            <w:pPr>
              <w:spacing w:line="340" w:lineRule="exact"/>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-N</w:t>
            </w:r>
          </w:p>
        </w:tc>
        <w:tc>
          <w:tcPr>
            <w:tcW w:w="1000" w:type="dxa"/>
            <w:vAlign w:val="center"/>
          </w:tcPr>
          <w:p>
            <w:pPr>
              <w:spacing w:line="340" w:lineRule="exact"/>
              <w:jc w:val="center"/>
              <w:rPr>
                <w:rFonts w:ascii="Times New Roman" w:hAnsi="Times New Roman"/>
                <w:sz w:val="21"/>
                <w:szCs w:val="21"/>
              </w:rPr>
            </w:pPr>
            <w:r>
              <w:rPr>
                <w:rFonts w:ascii="Times New Roman" w:hAnsi="Times New Roman"/>
                <w:sz w:val="21"/>
                <w:szCs w:val="21"/>
              </w:rPr>
              <w:t>TP</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tblHeader/>
          <w:jc w:val="center"/>
        </w:trPr>
        <w:tc>
          <w:tcPr>
            <w:tcW w:w="2928" w:type="dxa"/>
            <w:gridSpan w:val="2"/>
            <w:noWrap/>
            <w:vAlign w:val="center"/>
          </w:tcPr>
          <w:p>
            <w:pPr>
              <w:spacing w:line="340" w:lineRule="exact"/>
              <w:jc w:val="center"/>
              <w:rPr>
                <w:rFonts w:ascii="Times New Roman" w:hAnsi="Times New Roman"/>
                <w:sz w:val="21"/>
                <w:szCs w:val="21"/>
              </w:rPr>
            </w:pPr>
            <w:r>
              <w:rPr>
                <w:rFonts w:ascii="Times New Roman" w:hAnsi="Times New Roman"/>
                <w:sz w:val="21"/>
                <w:szCs w:val="21"/>
              </w:rPr>
              <w:t>本项目养殖废水</w:t>
            </w:r>
          </w:p>
        </w:tc>
        <w:tc>
          <w:tcPr>
            <w:tcW w:w="1062" w:type="dxa"/>
            <w:vAlign w:val="center"/>
          </w:tcPr>
          <w:p>
            <w:pPr>
              <w:spacing w:line="340" w:lineRule="exact"/>
              <w:jc w:val="center"/>
              <w:rPr>
                <w:rFonts w:ascii="Times New Roman" w:hAnsi="Times New Roman"/>
                <w:sz w:val="21"/>
                <w:szCs w:val="21"/>
              </w:rPr>
            </w:pPr>
            <w:r>
              <w:rPr>
                <w:rFonts w:ascii="Times New Roman" w:hAnsi="Times New Roman"/>
                <w:sz w:val="21"/>
                <w:szCs w:val="21"/>
              </w:rPr>
              <w:t>3000</w:t>
            </w:r>
          </w:p>
        </w:tc>
        <w:tc>
          <w:tcPr>
            <w:tcW w:w="1073" w:type="dxa"/>
            <w:vAlign w:val="center"/>
          </w:tcPr>
          <w:p>
            <w:pPr>
              <w:spacing w:line="340" w:lineRule="exact"/>
              <w:jc w:val="center"/>
              <w:rPr>
                <w:rFonts w:ascii="Times New Roman" w:hAnsi="Times New Roman"/>
                <w:sz w:val="21"/>
                <w:szCs w:val="21"/>
              </w:rPr>
            </w:pPr>
            <w:r>
              <w:rPr>
                <w:rFonts w:ascii="Times New Roman" w:hAnsi="Times New Roman"/>
                <w:sz w:val="21"/>
                <w:szCs w:val="21"/>
              </w:rPr>
              <w:t>1800</w:t>
            </w:r>
          </w:p>
        </w:tc>
        <w:tc>
          <w:tcPr>
            <w:tcW w:w="1063" w:type="dxa"/>
            <w:vAlign w:val="center"/>
          </w:tcPr>
          <w:p>
            <w:pPr>
              <w:spacing w:line="340" w:lineRule="exact"/>
              <w:jc w:val="center"/>
              <w:rPr>
                <w:rFonts w:ascii="Times New Roman" w:hAnsi="Times New Roman"/>
                <w:sz w:val="21"/>
                <w:szCs w:val="21"/>
              </w:rPr>
            </w:pPr>
            <w:r>
              <w:rPr>
                <w:rFonts w:ascii="Times New Roman" w:hAnsi="Times New Roman"/>
                <w:sz w:val="21"/>
                <w:szCs w:val="21"/>
              </w:rPr>
              <w:t>3600</w:t>
            </w:r>
          </w:p>
        </w:tc>
        <w:tc>
          <w:tcPr>
            <w:tcW w:w="956" w:type="dxa"/>
            <w:vAlign w:val="center"/>
          </w:tcPr>
          <w:p>
            <w:pPr>
              <w:spacing w:line="340" w:lineRule="exact"/>
              <w:jc w:val="center"/>
              <w:rPr>
                <w:rFonts w:ascii="Times New Roman" w:hAnsi="Times New Roman"/>
                <w:sz w:val="21"/>
                <w:szCs w:val="21"/>
              </w:rPr>
            </w:pPr>
            <w:r>
              <w:rPr>
                <w:rFonts w:ascii="Times New Roman" w:hAnsi="Times New Roman"/>
                <w:sz w:val="21"/>
                <w:szCs w:val="21"/>
              </w:rPr>
              <w:t>500</w:t>
            </w:r>
          </w:p>
        </w:tc>
        <w:tc>
          <w:tcPr>
            <w:tcW w:w="1000" w:type="dxa"/>
            <w:vAlign w:val="center"/>
          </w:tcPr>
          <w:p>
            <w:pPr>
              <w:spacing w:line="340" w:lineRule="exact"/>
              <w:jc w:val="center"/>
              <w:rPr>
                <w:rFonts w:ascii="Times New Roman" w:hAnsi="Times New Roman"/>
                <w:sz w:val="21"/>
                <w:szCs w:val="21"/>
              </w:rPr>
            </w:pPr>
            <w:r>
              <w:rPr>
                <w:rFonts w:ascii="Times New Roman" w:hAnsi="Times New Roman"/>
                <w:sz w:val="21"/>
                <w:szCs w:val="21"/>
              </w:rPr>
              <w:t>100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1743" w:type="dxa"/>
            <w:vMerge w:val="restart"/>
            <w:vAlign w:val="center"/>
          </w:tcPr>
          <w:p>
            <w:pPr>
              <w:spacing w:line="340" w:lineRule="exact"/>
              <w:jc w:val="center"/>
              <w:rPr>
                <w:rFonts w:ascii="Times New Roman" w:hAnsi="Times New Roman"/>
                <w:sz w:val="21"/>
                <w:szCs w:val="21"/>
              </w:rPr>
            </w:pPr>
            <w:r>
              <w:rPr>
                <w:rFonts w:ascii="Times New Roman" w:hAnsi="Times New Roman"/>
                <w:sz w:val="21"/>
                <w:szCs w:val="21"/>
              </w:rPr>
              <w:t>厌氧发酵</w:t>
            </w:r>
          </w:p>
        </w:tc>
        <w:tc>
          <w:tcPr>
            <w:tcW w:w="1185" w:type="dxa"/>
            <w:vAlign w:val="center"/>
          </w:tcPr>
          <w:p>
            <w:pPr>
              <w:spacing w:line="340" w:lineRule="exact"/>
              <w:jc w:val="center"/>
              <w:rPr>
                <w:rFonts w:ascii="Times New Roman" w:hAnsi="Times New Roman"/>
                <w:sz w:val="21"/>
                <w:szCs w:val="21"/>
              </w:rPr>
            </w:pPr>
            <w:r>
              <w:rPr>
                <w:rFonts w:ascii="Times New Roman" w:hAnsi="Times New Roman"/>
                <w:sz w:val="21"/>
                <w:szCs w:val="21"/>
              </w:rPr>
              <w:t>出水</w:t>
            </w:r>
          </w:p>
        </w:tc>
        <w:tc>
          <w:tcPr>
            <w:tcW w:w="1062" w:type="dxa"/>
            <w:vAlign w:val="center"/>
          </w:tcPr>
          <w:p>
            <w:pPr>
              <w:spacing w:line="340" w:lineRule="exact"/>
              <w:jc w:val="center"/>
              <w:rPr>
                <w:rFonts w:ascii="Times New Roman" w:hAnsi="Times New Roman"/>
                <w:sz w:val="21"/>
                <w:szCs w:val="21"/>
              </w:rPr>
            </w:pPr>
            <w:r>
              <w:rPr>
                <w:rFonts w:ascii="Times New Roman" w:hAnsi="Times New Roman"/>
                <w:sz w:val="21"/>
                <w:szCs w:val="21"/>
              </w:rPr>
              <w:t>600</w:t>
            </w:r>
          </w:p>
        </w:tc>
        <w:tc>
          <w:tcPr>
            <w:tcW w:w="1073" w:type="dxa"/>
            <w:vAlign w:val="center"/>
          </w:tcPr>
          <w:p>
            <w:pPr>
              <w:spacing w:line="340" w:lineRule="exact"/>
              <w:jc w:val="center"/>
              <w:rPr>
                <w:rFonts w:ascii="Times New Roman" w:hAnsi="Times New Roman"/>
                <w:sz w:val="21"/>
                <w:szCs w:val="21"/>
              </w:rPr>
            </w:pPr>
            <w:r>
              <w:rPr>
                <w:rFonts w:ascii="Times New Roman" w:hAnsi="Times New Roman"/>
                <w:sz w:val="21"/>
                <w:szCs w:val="21"/>
              </w:rPr>
              <w:t>270</w:t>
            </w:r>
          </w:p>
        </w:tc>
        <w:tc>
          <w:tcPr>
            <w:tcW w:w="1063" w:type="dxa"/>
            <w:vAlign w:val="center"/>
          </w:tcPr>
          <w:p>
            <w:pPr>
              <w:spacing w:line="340" w:lineRule="exact"/>
              <w:jc w:val="center"/>
              <w:rPr>
                <w:rFonts w:ascii="Times New Roman" w:hAnsi="Times New Roman"/>
                <w:sz w:val="21"/>
                <w:szCs w:val="21"/>
              </w:rPr>
            </w:pPr>
            <w:r>
              <w:rPr>
                <w:rFonts w:ascii="Times New Roman" w:hAnsi="Times New Roman"/>
                <w:sz w:val="21"/>
                <w:szCs w:val="21"/>
              </w:rPr>
              <w:t>1080</w:t>
            </w:r>
          </w:p>
        </w:tc>
        <w:tc>
          <w:tcPr>
            <w:tcW w:w="956" w:type="dxa"/>
            <w:vAlign w:val="center"/>
          </w:tcPr>
          <w:p>
            <w:pPr>
              <w:spacing w:line="340" w:lineRule="exact"/>
              <w:jc w:val="center"/>
              <w:rPr>
                <w:rFonts w:ascii="Times New Roman" w:hAnsi="Times New Roman"/>
                <w:sz w:val="21"/>
                <w:szCs w:val="21"/>
              </w:rPr>
            </w:pPr>
            <w:r>
              <w:rPr>
                <w:rFonts w:ascii="Times New Roman" w:hAnsi="Times New Roman"/>
                <w:sz w:val="21"/>
                <w:szCs w:val="21"/>
              </w:rPr>
              <w:t>400</w:t>
            </w:r>
          </w:p>
        </w:tc>
        <w:tc>
          <w:tcPr>
            <w:tcW w:w="1000" w:type="dxa"/>
            <w:vAlign w:val="center"/>
          </w:tcPr>
          <w:p>
            <w:pPr>
              <w:spacing w:line="340" w:lineRule="exact"/>
              <w:jc w:val="center"/>
              <w:rPr>
                <w:rFonts w:ascii="Times New Roman" w:hAnsi="Times New Roman"/>
                <w:sz w:val="21"/>
                <w:szCs w:val="21"/>
              </w:rPr>
            </w:pPr>
            <w:r>
              <w:rPr>
                <w:rFonts w:ascii="Times New Roman" w:hAnsi="Times New Roman"/>
                <w:sz w:val="21"/>
                <w:szCs w:val="21"/>
              </w:rPr>
              <w:t>80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1" w:hRule="atLeast"/>
          <w:jc w:val="center"/>
        </w:trPr>
        <w:tc>
          <w:tcPr>
            <w:tcW w:w="1743" w:type="dxa"/>
            <w:vMerge w:val="continue"/>
            <w:vAlign w:val="center"/>
          </w:tcPr>
          <w:p>
            <w:pPr>
              <w:spacing w:line="340" w:lineRule="exact"/>
              <w:jc w:val="center"/>
              <w:rPr>
                <w:rFonts w:ascii="Times New Roman" w:hAnsi="Times New Roman"/>
                <w:sz w:val="21"/>
                <w:szCs w:val="21"/>
              </w:rPr>
            </w:pPr>
          </w:p>
        </w:tc>
        <w:tc>
          <w:tcPr>
            <w:tcW w:w="1185" w:type="dxa"/>
            <w:vAlign w:val="center"/>
          </w:tcPr>
          <w:p>
            <w:pPr>
              <w:spacing w:line="340" w:lineRule="exact"/>
              <w:jc w:val="center"/>
              <w:rPr>
                <w:rFonts w:ascii="Times New Roman" w:hAnsi="Times New Roman"/>
                <w:sz w:val="21"/>
                <w:szCs w:val="21"/>
              </w:rPr>
            </w:pPr>
            <w:r>
              <w:rPr>
                <w:rFonts w:ascii="Times New Roman" w:hAnsi="Times New Roman"/>
                <w:sz w:val="21"/>
                <w:szCs w:val="21"/>
              </w:rPr>
              <w:t>效率（%）</w:t>
            </w:r>
          </w:p>
        </w:tc>
        <w:tc>
          <w:tcPr>
            <w:tcW w:w="1062" w:type="dxa"/>
            <w:vAlign w:val="center"/>
          </w:tcPr>
          <w:p>
            <w:pPr>
              <w:spacing w:line="340" w:lineRule="exact"/>
              <w:jc w:val="center"/>
              <w:rPr>
                <w:rFonts w:ascii="Times New Roman" w:hAnsi="Times New Roman"/>
                <w:sz w:val="21"/>
                <w:szCs w:val="21"/>
              </w:rPr>
            </w:pPr>
            <w:r>
              <w:rPr>
                <w:rFonts w:ascii="Times New Roman" w:hAnsi="Times New Roman"/>
                <w:sz w:val="21"/>
                <w:szCs w:val="21"/>
              </w:rPr>
              <w:t>80</w:t>
            </w:r>
          </w:p>
        </w:tc>
        <w:tc>
          <w:tcPr>
            <w:tcW w:w="1073" w:type="dxa"/>
            <w:vAlign w:val="center"/>
          </w:tcPr>
          <w:p>
            <w:pPr>
              <w:spacing w:line="340" w:lineRule="exact"/>
              <w:jc w:val="center"/>
              <w:rPr>
                <w:rFonts w:ascii="Times New Roman" w:hAnsi="Times New Roman"/>
                <w:sz w:val="21"/>
                <w:szCs w:val="21"/>
              </w:rPr>
            </w:pPr>
            <w:r>
              <w:rPr>
                <w:rFonts w:ascii="Times New Roman" w:hAnsi="Times New Roman"/>
                <w:sz w:val="21"/>
                <w:szCs w:val="21"/>
              </w:rPr>
              <w:t>85</w:t>
            </w:r>
          </w:p>
        </w:tc>
        <w:tc>
          <w:tcPr>
            <w:tcW w:w="1063" w:type="dxa"/>
            <w:vAlign w:val="center"/>
          </w:tcPr>
          <w:p>
            <w:pPr>
              <w:spacing w:line="340" w:lineRule="exact"/>
              <w:jc w:val="center"/>
              <w:rPr>
                <w:rFonts w:ascii="Times New Roman" w:hAnsi="Times New Roman"/>
                <w:sz w:val="21"/>
                <w:szCs w:val="21"/>
              </w:rPr>
            </w:pPr>
            <w:r>
              <w:rPr>
                <w:rFonts w:ascii="Times New Roman" w:hAnsi="Times New Roman"/>
                <w:sz w:val="21"/>
                <w:szCs w:val="21"/>
              </w:rPr>
              <w:t>70</w:t>
            </w:r>
          </w:p>
        </w:tc>
        <w:tc>
          <w:tcPr>
            <w:tcW w:w="956" w:type="dxa"/>
            <w:vAlign w:val="center"/>
          </w:tcPr>
          <w:p>
            <w:pPr>
              <w:spacing w:line="340" w:lineRule="exact"/>
              <w:jc w:val="center"/>
              <w:rPr>
                <w:rFonts w:ascii="Times New Roman" w:hAnsi="Times New Roman"/>
                <w:sz w:val="21"/>
                <w:szCs w:val="21"/>
              </w:rPr>
            </w:pPr>
            <w:r>
              <w:rPr>
                <w:rFonts w:ascii="Times New Roman" w:hAnsi="Times New Roman"/>
                <w:sz w:val="21"/>
                <w:szCs w:val="21"/>
              </w:rPr>
              <w:t>20</w:t>
            </w:r>
          </w:p>
        </w:tc>
        <w:tc>
          <w:tcPr>
            <w:tcW w:w="1000" w:type="dxa"/>
            <w:vAlign w:val="center"/>
          </w:tcPr>
          <w:p>
            <w:pPr>
              <w:spacing w:line="340" w:lineRule="exact"/>
              <w:jc w:val="center"/>
              <w:rPr>
                <w:rFonts w:ascii="Times New Roman" w:hAnsi="Times New Roman"/>
                <w:sz w:val="21"/>
                <w:szCs w:val="21"/>
              </w:rPr>
            </w:pPr>
            <w:r>
              <w:rPr>
                <w:rFonts w:ascii="Times New Roman" w:hAnsi="Times New Roman"/>
                <w:sz w:val="21"/>
                <w:szCs w:val="21"/>
              </w:rPr>
              <w:t>20</w:t>
            </w:r>
          </w:p>
        </w:tc>
      </w:tr>
    </w:tbl>
    <w:p>
      <w:pPr>
        <w:snapToGrid w:val="0"/>
        <w:spacing w:line="460" w:lineRule="exact"/>
        <w:ind w:firstLine="480" w:firstLineChars="200"/>
        <w:rPr>
          <w:rFonts w:ascii="Times New Roman" w:hAnsi="Times New Roman"/>
          <w:sz w:val="24"/>
          <w:szCs w:val="24"/>
        </w:rPr>
      </w:pPr>
      <w:r>
        <w:rPr>
          <w:rFonts w:ascii="Times New Roman" w:hAnsi="Times New Roman"/>
          <w:sz w:val="24"/>
        </w:rPr>
        <w:t>本项目废水经过厌氧发酵工艺处理后，交由当地粪污收运合作社收集后</w:t>
      </w:r>
      <w:r>
        <w:rPr>
          <w:rFonts w:ascii="Times New Roman" w:hAnsi="Times New Roman"/>
          <w:sz w:val="24"/>
          <w:szCs w:val="24"/>
        </w:rPr>
        <w:t>用作冉义镇标准化农田施肥。废水处理前后污染物的产生及消减情况见表2.4-8。</w:t>
      </w:r>
    </w:p>
    <w:p>
      <w:pPr>
        <w:spacing w:line="460" w:lineRule="exact"/>
        <w:jc w:val="center"/>
        <w:rPr>
          <w:rFonts w:ascii="Times New Roman" w:hAnsi="Times New Roman" w:eastAsia="黑体"/>
          <w:sz w:val="21"/>
          <w:szCs w:val="21"/>
        </w:rPr>
      </w:pPr>
      <w:r>
        <w:rPr>
          <w:rFonts w:ascii="Times New Roman" w:hAnsi="Times New Roman" w:eastAsia="黑体"/>
          <w:sz w:val="21"/>
          <w:szCs w:val="21"/>
        </w:rPr>
        <w:t>表2.4-8   项目水污染物排放统计</w:t>
      </w:r>
    </w:p>
    <w:tbl>
      <w:tblPr>
        <w:tblStyle w:val="90"/>
        <w:tblW w:w="8453"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889"/>
        <w:gridCol w:w="1417"/>
        <w:gridCol w:w="1746"/>
        <w:gridCol w:w="880"/>
        <w:gridCol w:w="880"/>
        <w:gridCol w:w="880"/>
        <w:gridCol w:w="880"/>
        <w:gridCol w:w="881"/>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43" w:hRule="atLeast"/>
        </w:trPr>
        <w:tc>
          <w:tcPr>
            <w:tcW w:w="889" w:type="dxa"/>
            <w:vMerge w:val="restart"/>
            <w:vAlign w:val="center"/>
          </w:tcPr>
          <w:p>
            <w:pPr>
              <w:pStyle w:val="54"/>
            </w:pPr>
            <w:bookmarkStart w:id="122" w:name="OLE_LINK2"/>
            <w:r>
              <w:t>污染源</w:t>
            </w:r>
          </w:p>
        </w:tc>
        <w:tc>
          <w:tcPr>
            <w:tcW w:w="1417" w:type="dxa"/>
            <w:vMerge w:val="restart"/>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废水量</w:t>
            </w:r>
          </w:p>
        </w:tc>
        <w:tc>
          <w:tcPr>
            <w:tcW w:w="1746" w:type="dxa"/>
            <w:vMerge w:val="restart"/>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污染物产生</w:t>
            </w:r>
          </w:p>
        </w:tc>
        <w:tc>
          <w:tcPr>
            <w:tcW w:w="4401" w:type="dxa"/>
            <w:gridSpan w:val="5"/>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污染物名称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134" w:hRule="atLeast"/>
        </w:trPr>
        <w:tc>
          <w:tcPr>
            <w:tcW w:w="889" w:type="dxa"/>
            <w:vMerge w:val="continue"/>
            <w:vAlign w:val="center"/>
          </w:tcPr>
          <w:p>
            <w:pPr>
              <w:pStyle w:val="54"/>
            </w:pPr>
          </w:p>
        </w:tc>
        <w:tc>
          <w:tcPr>
            <w:tcW w:w="1417" w:type="dxa"/>
            <w:vMerge w:val="continue"/>
            <w:vAlign w:val="center"/>
          </w:tcPr>
          <w:p>
            <w:pPr>
              <w:spacing w:line="340" w:lineRule="exact"/>
              <w:jc w:val="center"/>
              <w:rPr>
                <w:rFonts w:ascii="Times New Roman" w:hAnsi="Times New Roman" w:eastAsiaTheme="minorEastAsia"/>
                <w:sz w:val="21"/>
                <w:szCs w:val="21"/>
              </w:rPr>
            </w:pPr>
          </w:p>
        </w:tc>
        <w:tc>
          <w:tcPr>
            <w:tcW w:w="1746" w:type="dxa"/>
            <w:vMerge w:val="continue"/>
            <w:vAlign w:val="center"/>
          </w:tcPr>
          <w:p>
            <w:pPr>
              <w:spacing w:line="340" w:lineRule="exact"/>
              <w:jc w:val="center"/>
              <w:rPr>
                <w:rFonts w:ascii="Times New Roman" w:hAnsi="Times New Roman" w:eastAsiaTheme="minorEastAsia"/>
                <w:sz w:val="21"/>
                <w:szCs w:val="21"/>
              </w:rPr>
            </w:pP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COD</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BOD</w:t>
            </w:r>
            <w:r>
              <w:rPr>
                <w:rFonts w:ascii="Times New Roman" w:hAnsi="Times New Roman" w:eastAsiaTheme="minorEastAsia"/>
                <w:sz w:val="21"/>
                <w:szCs w:val="21"/>
                <w:vertAlign w:val="subscript"/>
              </w:rPr>
              <w:t>5</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SS</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氨氮</w:t>
            </w:r>
          </w:p>
        </w:tc>
        <w:tc>
          <w:tcPr>
            <w:tcW w:w="88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总磷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80" w:hRule="atLeast"/>
        </w:trPr>
        <w:tc>
          <w:tcPr>
            <w:tcW w:w="889" w:type="dxa"/>
            <w:vMerge w:val="restart"/>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养殖场废水</w:t>
            </w:r>
          </w:p>
        </w:tc>
        <w:tc>
          <w:tcPr>
            <w:tcW w:w="1417" w:type="dxa"/>
            <w:vMerge w:val="restart"/>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78.96m</w:t>
            </w:r>
            <w:r>
              <w:rPr>
                <w:rFonts w:ascii="Times New Roman" w:hAnsi="Times New Roman" w:eastAsiaTheme="minorEastAsia"/>
                <w:sz w:val="21"/>
                <w:szCs w:val="21"/>
                <w:vertAlign w:val="superscript"/>
              </w:rPr>
              <w:t>3</w:t>
            </w:r>
            <w:r>
              <w:rPr>
                <w:rFonts w:ascii="Times New Roman" w:hAnsi="Times New Roman" w:eastAsiaTheme="minorEastAsia"/>
                <w:sz w:val="21"/>
                <w:szCs w:val="21"/>
              </w:rPr>
              <w:t>/d</w:t>
            </w:r>
          </w:p>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28820.4 m</w:t>
            </w:r>
            <w:r>
              <w:rPr>
                <w:rFonts w:ascii="Times New Roman" w:hAnsi="Times New Roman" w:eastAsiaTheme="minorEastAsia"/>
                <w:sz w:val="21"/>
                <w:szCs w:val="21"/>
                <w:vertAlign w:val="superscript"/>
              </w:rPr>
              <w:t>3</w:t>
            </w:r>
            <w:r>
              <w:rPr>
                <w:rFonts w:ascii="Times New Roman" w:hAnsi="Times New Roman" w:eastAsiaTheme="minorEastAsia"/>
                <w:sz w:val="21"/>
                <w:szCs w:val="21"/>
              </w:rPr>
              <w:t>/a</w:t>
            </w:r>
          </w:p>
        </w:tc>
        <w:tc>
          <w:tcPr>
            <w:tcW w:w="17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产生浓度(mg/L)</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3000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1800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3600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500</w:t>
            </w:r>
          </w:p>
        </w:tc>
        <w:tc>
          <w:tcPr>
            <w:tcW w:w="88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86" w:hRule="atLeast"/>
        </w:trPr>
        <w:tc>
          <w:tcPr>
            <w:tcW w:w="889" w:type="dxa"/>
            <w:vMerge w:val="continue"/>
            <w:vAlign w:val="center"/>
          </w:tcPr>
          <w:p>
            <w:pPr>
              <w:spacing w:line="340" w:lineRule="exact"/>
              <w:jc w:val="center"/>
              <w:rPr>
                <w:rFonts w:ascii="Times New Roman" w:hAnsi="Times New Roman" w:eastAsiaTheme="minorEastAsia"/>
                <w:sz w:val="21"/>
                <w:szCs w:val="21"/>
              </w:rPr>
            </w:pPr>
          </w:p>
        </w:tc>
        <w:tc>
          <w:tcPr>
            <w:tcW w:w="1417" w:type="dxa"/>
            <w:vMerge w:val="continue"/>
            <w:vAlign w:val="center"/>
          </w:tcPr>
          <w:p>
            <w:pPr>
              <w:spacing w:line="340" w:lineRule="exact"/>
              <w:jc w:val="center"/>
              <w:rPr>
                <w:rFonts w:ascii="Times New Roman" w:hAnsi="Times New Roman" w:eastAsiaTheme="minorEastAsia"/>
                <w:sz w:val="21"/>
                <w:szCs w:val="21"/>
              </w:rPr>
            </w:pPr>
          </w:p>
        </w:tc>
        <w:tc>
          <w:tcPr>
            <w:tcW w:w="17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产生量(t/a)</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86.46</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51.876</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103.752</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14.41</w:t>
            </w:r>
          </w:p>
        </w:tc>
        <w:tc>
          <w:tcPr>
            <w:tcW w:w="88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2.882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92" w:hRule="atLeast"/>
        </w:trPr>
        <w:tc>
          <w:tcPr>
            <w:tcW w:w="889" w:type="dxa"/>
            <w:vMerge w:val="restart"/>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生活废水</w:t>
            </w:r>
          </w:p>
        </w:tc>
        <w:tc>
          <w:tcPr>
            <w:tcW w:w="1417" w:type="dxa"/>
            <w:vMerge w:val="restart"/>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1.67m</w:t>
            </w:r>
            <w:r>
              <w:rPr>
                <w:rFonts w:ascii="Times New Roman" w:hAnsi="Times New Roman" w:eastAsiaTheme="minorEastAsia"/>
                <w:sz w:val="21"/>
                <w:szCs w:val="21"/>
                <w:vertAlign w:val="superscript"/>
              </w:rPr>
              <w:t>3</w:t>
            </w:r>
            <w:r>
              <w:rPr>
                <w:rFonts w:ascii="Times New Roman" w:hAnsi="Times New Roman" w:eastAsiaTheme="minorEastAsia"/>
                <w:sz w:val="21"/>
                <w:szCs w:val="21"/>
              </w:rPr>
              <w:t>/d</w:t>
            </w:r>
          </w:p>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2609.55 m</w:t>
            </w:r>
            <w:r>
              <w:rPr>
                <w:rFonts w:ascii="Times New Roman" w:hAnsi="Times New Roman" w:eastAsiaTheme="minorEastAsia"/>
                <w:sz w:val="21"/>
                <w:szCs w:val="21"/>
                <w:vertAlign w:val="superscript"/>
              </w:rPr>
              <w:t>3</w:t>
            </w:r>
            <w:r>
              <w:rPr>
                <w:rFonts w:ascii="Times New Roman" w:hAnsi="Times New Roman" w:eastAsiaTheme="minorEastAsia"/>
                <w:sz w:val="21"/>
                <w:szCs w:val="21"/>
              </w:rPr>
              <w:t>/a</w:t>
            </w:r>
          </w:p>
        </w:tc>
        <w:tc>
          <w:tcPr>
            <w:tcW w:w="17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产生浓度(mg/L)</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350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200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200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45</w:t>
            </w:r>
          </w:p>
        </w:tc>
        <w:tc>
          <w:tcPr>
            <w:tcW w:w="88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92" w:hRule="atLeast"/>
        </w:trPr>
        <w:tc>
          <w:tcPr>
            <w:tcW w:w="889" w:type="dxa"/>
            <w:vMerge w:val="continue"/>
            <w:vAlign w:val="center"/>
          </w:tcPr>
          <w:p>
            <w:pPr>
              <w:spacing w:line="340" w:lineRule="exact"/>
              <w:jc w:val="center"/>
              <w:rPr>
                <w:rFonts w:ascii="Times New Roman" w:hAnsi="Times New Roman" w:eastAsiaTheme="minorEastAsia"/>
                <w:sz w:val="21"/>
                <w:szCs w:val="21"/>
              </w:rPr>
            </w:pPr>
          </w:p>
        </w:tc>
        <w:tc>
          <w:tcPr>
            <w:tcW w:w="1417" w:type="dxa"/>
            <w:vMerge w:val="continue"/>
            <w:vAlign w:val="center"/>
          </w:tcPr>
          <w:p>
            <w:pPr>
              <w:spacing w:line="340" w:lineRule="exact"/>
              <w:jc w:val="center"/>
              <w:rPr>
                <w:rFonts w:ascii="Times New Roman" w:hAnsi="Times New Roman" w:eastAsiaTheme="minorEastAsia"/>
                <w:sz w:val="21"/>
                <w:szCs w:val="21"/>
              </w:rPr>
            </w:pPr>
          </w:p>
        </w:tc>
        <w:tc>
          <w:tcPr>
            <w:tcW w:w="17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产生量(t/a)</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0.914</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0.522</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0.522</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0.117</w:t>
            </w:r>
          </w:p>
        </w:tc>
        <w:tc>
          <w:tcPr>
            <w:tcW w:w="88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0.052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92" w:hRule="atLeast"/>
        </w:trPr>
        <w:tc>
          <w:tcPr>
            <w:tcW w:w="889"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总计</w:t>
            </w:r>
          </w:p>
        </w:tc>
        <w:tc>
          <w:tcPr>
            <w:tcW w:w="1417"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80.63m</w:t>
            </w:r>
            <w:r>
              <w:rPr>
                <w:rFonts w:ascii="Times New Roman" w:hAnsi="Times New Roman" w:eastAsiaTheme="minorEastAsia"/>
                <w:sz w:val="21"/>
                <w:szCs w:val="21"/>
                <w:vertAlign w:val="superscript"/>
              </w:rPr>
              <w:t>3</w:t>
            </w:r>
            <w:r>
              <w:rPr>
                <w:rFonts w:ascii="Times New Roman" w:hAnsi="Times New Roman" w:eastAsiaTheme="minorEastAsia"/>
                <w:sz w:val="21"/>
                <w:szCs w:val="21"/>
              </w:rPr>
              <w:t>/d</w:t>
            </w:r>
          </w:p>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31429.95 m</w:t>
            </w:r>
            <w:r>
              <w:rPr>
                <w:rFonts w:ascii="Times New Roman" w:hAnsi="Times New Roman" w:eastAsiaTheme="minorEastAsia"/>
                <w:sz w:val="21"/>
                <w:szCs w:val="21"/>
                <w:vertAlign w:val="superscript"/>
              </w:rPr>
              <w:t>3</w:t>
            </w:r>
            <w:r>
              <w:rPr>
                <w:rFonts w:ascii="Times New Roman" w:hAnsi="Times New Roman" w:eastAsiaTheme="minorEastAsia"/>
                <w:sz w:val="21"/>
                <w:szCs w:val="21"/>
              </w:rPr>
              <w:t>/a</w:t>
            </w:r>
          </w:p>
        </w:tc>
        <w:tc>
          <w:tcPr>
            <w:tcW w:w="17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排放量(t/a)</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880"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88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0</w:t>
            </w:r>
          </w:p>
        </w:tc>
      </w:tr>
      <w:bookmarkEnd w:id="122"/>
    </w:tbl>
    <w:p>
      <w:pPr>
        <w:pStyle w:val="108"/>
        <w:rPr>
          <w:sz w:val="24"/>
        </w:rPr>
      </w:pPr>
      <w:bookmarkStart w:id="123" w:name="_Toc9873335"/>
      <w:r>
        <w:t>2.4.3  噪声</w:t>
      </w:r>
      <w:bookmarkEnd w:id="123"/>
      <w:r>
        <w:rPr>
          <w:sz w:val="24"/>
        </w:rPr>
        <w:tab/>
      </w:r>
    </w:p>
    <w:p>
      <w:pPr>
        <w:snapToGrid w:val="0"/>
        <w:spacing w:line="460" w:lineRule="exact"/>
        <w:ind w:firstLine="482"/>
        <w:rPr>
          <w:rFonts w:ascii="Times New Roman" w:hAnsi="Times New Roman"/>
          <w:sz w:val="24"/>
        </w:rPr>
      </w:pPr>
      <w:r>
        <w:rPr>
          <w:rFonts w:ascii="Times New Roman" w:hAnsi="Times New Roman"/>
          <w:sz w:val="24"/>
        </w:rPr>
        <w:t>本项目噪声源主要为猪只叫声、圈舍风机、废水处理站水泵等，噪声声级范围70～90dB（A），防治措施为减少外界噪声对圈舍的干扰，通过自由采食和自由饮水工艺，尽可能满足猪只的</w:t>
      </w:r>
      <w:r>
        <w:rPr>
          <w:rFonts w:ascii="Times New Roman" w:hAnsi="Times New Roman"/>
          <w:sz w:val="24"/>
          <w:szCs w:val="24"/>
          <w:lang w:val="zh-CN"/>
        </w:rPr>
        <w:t>饮食需要，</w:t>
      </w:r>
      <w:r>
        <w:rPr>
          <w:rFonts w:ascii="Times New Roman" w:hAnsi="Times New Roman"/>
          <w:sz w:val="24"/>
        </w:rPr>
        <w:t>设备减振、隔声及消声。项目噪声污染源见表2.4-9。</w:t>
      </w:r>
    </w:p>
    <w:p>
      <w:pPr>
        <w:pStyle w:val="154"/>
        <w:spacing w:line="460" w:lineRule="exact"/>
        <w:ind w:firstLine="0"/>
        <w:jc w:val="center"/>
        <w:rPr>
          <w:rFonts w:ascii="Times New Roman" w:hAnsi="Times New Roman" w:eastAsia="黑体" w:cs="Times New Roman"/>
          <w:b w:val="0"/>
          <w:sz w:val="21"/>
        </w:rPr>
      </w:pPr>
      <w:r>
        <w:rPr>
          <w:rFonts w:ascii="Times New Roman" w:hAnsi="Times New Roman" w:eastAsia="黑体" w:cs="Times New Roman"/>
          <w:b w:val="0"/>
          <w:sz w:val="21"/>
        </w:rPr>
        <w:t>表2.4-9  噪声污染源</w:t>
      </w:r>
    </w:p>
    <w:tbl>
      <w:tblPr>
        <w:tblStyle w:val="90"/>
        <w:tblW w:w="8528"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65"/>
        <w:gridCol w:w="2292"/>
        <w:gridCol w:w="1936"/>
        <w:gridCol w:w="343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6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序号</w:t>
            </w:r>
          </w:p>
        </w:tc>
        <w:tc>
          <w:tcPr>
            <w:tcW w:w="2292"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设备名称</w:t>
            </w:r>
          </w:p>
        </w:tc>
        <w:tc>
          <w:tcPr>
            <w:tcW w:w="1936"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声级值dB(A)</w:t>
            </w:r>
          </w:p>
        </w:tc>
        <w:tc>
          <w:tcPr>
            <w:tcW w:w="343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所在位置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6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1</w:t>
            </w:r>
          </w:p>
        </w:tc>
        <w:tc>
          <w:tcPr>
            <w:tcW w:w="2292"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猪只叫声</w:t>
            </w:r>
          </w:p>
        </w:tc>
        <w:tc>
          <w:tcPr>
            <w:tcW w:w="1936"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70～80</w:t>
            </w:r>
          </w:p>
        </w:tc>
        <w:tc>
          <w:tcPr>
            <w:tcW w:w="343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圈舍</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6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2</w:t>
            </w:r>
          </w:p>
        </w:tc>
        <w:tc>
          <w:tcPr>
            <w:tcW w:w="2292"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风机</w:t>
            </w:r>
          </w:p>
        </w:tc>
        <w:tc>
          <w:tcPr>
            <w:tcW w:w="1936"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80～90</w:t>
            </w:r>
          </w:p>
        </w:tc>
        <w:tc>
          <w:tcPr>
            <w:tcW w:w="343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污水处理系统</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6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3</w:t>
            </w:r>
          </w:p>
        </w:tc>
        <w:tc>
          <w:tcPr>
            <w:tcW w:w="2292"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水泵</w:t>
            </w:r>
          </w:p>
        </w:tc>
        <w:tc>
          <w:tcPr>
            <w:tcW w:w="1936"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80～90</w:t>
            </w:r>
          </w:p>
        </w:tc>
        <w:tc>
          <w:tcPr>
            <w:tcW w:w="3435" w:type="dxa"/>
            <w:vAlign w:val="center"/>
          </w:tcPr>
          <w:p>
            <w:pPr>
              <w:pStyle w:val="113"/>
              <w:spacing w:line="340" w:lineRule="exact"/>
              <w:rPr>
                <w:rFonts w:ascii="Times New Roman" w:hAnsi="Times New Roman" w:eastAsiaTheme="minorEastAsia"/>
                <w:sz w:val="21"/>
                <w:szCs w:val="21"/>
              </w:rPr>
            </w:pPr>
            <w:r>
              <w:rPr>
                <w:rFonts w:ascii="Times New Roman" w:hAnsi="Times New Roman" w:eastAsiaTheme="minorEastAsia"/>
                <w:sz w:val="21"/>
                <w:szCs w:val="21"/>
              </w:rPr>
              <w:t>污水处理系统</w:t>
            </w:r>
          </w:p>
        </w:tc>
      </w:tr>
    </w:tbl>
    <w:p>
      <w:pPr>
        <w:snapToGrid w:val="0"/>
        <w:spacing w:line="460" w:lineRule="exact"/>
        <w:ind w:firstLine="482"/>
        <w:rPr>
          <w:rFonts w:ascii="Times New Roman" w:hAnsi="Times New Roman"/>
          <w:sz w:val="24"/>
        </w:rPr>
      </w:pPr>
      <w:r>
        <w:rPr>
          <w:rFonts w:ascii="Times New Roman" w:hAnsi="Times New Roman"/>
          <w:sz w:val="24"/>
        </w:rPr>
        <w:t>本项目所有猪只运输采用封闭运输车辆，为了避免运输途中的噪声影响，企业应规划好运输路线，包括牟礼镇种猪场仔猪运输至本育肥场的23km路线，以及育肥猪运输冉义镇的路线，尽量避免穿越人群集中区域和住宅集中区域以及城市中心区</w:t>
      </w:r>
    </w:p>
    <w:p>
      <w:pPr>
        <w:pStyle w:val="108"/>
        <w:rPr>
          <w:sz w:val="24"/>
        </w:rPr>
      </w:pPr>
      <w:bookmarkStart w:id="124" w:name="_Toc9873336"/>
      <w:r>
        <w:t>2.4.4  固体废物</w:t>
      </w:r>
      <w:bookmarkEnd w:id="124"/>
    </w:p>
    <w:p>
      <w:pPr>
        <w:snapToGrid w:val="0"/>
        <w:ind w:firstLine="480" w:firstLineChars="200"/>
        <w:rPr>
          <w:rFonts w:ascii="Times New Roman" w:hAnsi="Times New Roman"/>
          <w:sz w:val="24"/>
        </w:rPr>
      </w:pPr>
      <w:r>
        <w:rPr>
          <w:rFonts w:ascii="Times New Roman" w:hAnsi="Times New Roman"/>
          <w:sz w:val="24"/>
        </w:rPr>
        <w:t>本项目固体废物主要为干猪粪、蓄液池产生的沼渣、沉渣。另外还有少量病死猪，废医疗器具，沼气废脱硫剂和职工生活垃圾。</w:t>
      </w:r>
    </w:p>
    <w:p>
      <w:pPr>
        <w:snapToGrid w:val="0"/>
        <w:ind w:firstLine="480" w:firstLineChars="200"/>
        <w:rPr>
          <w:rFonts w:ascii="Times New Roman" w:hAnsi="Times New Roman"/>
          <w:sz w:val="24"/>
          <w:szCs w:val="24"/>
        </w:rPr>
      </w:pPr>
      <w:r>
        <w:rPr>
          <w:rFonts w:ascii="Times New Roman" w:hAnsi="Times New Roman"/>
          <w:sz w:val="24"/>
          <w:szCs w:val="24"/>
        </w:rPr>
        <w:t>根据前面的分析可知，各类固体废物产生量及处置措施如下：</w:t>
      </w:r>
    </w:p>
    <w:p>
      <w:pPr>
        <w:snapToGrid w:val="0"/>
        <w:ind w:firstLine="480" w:firstLineChars="200"/>
        <w:rPr>
          <w:rFonts w:ascii="Times New Roman" w:hAnsi="Times New Roman"/>
          <w:sz w:val="24"/>
          <w:szCs w:val="24"/>
        </w:rPr>
      </w:pPr>
      <w:r>
        <w:rPr>
          <w:rFonts w:ascii="Times New Roman" w:hAnsi="Times New Roman"/>
          <w:sz w:val="24"/>
          <w:szCs w:val="24"/>
        </w:rPr>
        <w:t>（1）粪便量为39.8t/d，经过人工清理收集，70%人工清粪效率，干粪在场内干粪堆场暂存，由成都市敬华农业有限公司清运用作堆肥。</w:t>
      </w:r>
    </w:p>
    <w:p>
      <w:pPr>
        <w:ind w:firstLine="480" w:firstLineChars="200"/>
        <w:rPr>
          <w:rFonts w:ascii="Times New Roman" w:hAnsi="Times New Roman"/>
          <w:sz w:val="24"/>
          <w:szCs w:val="24"/>
        </w:rPr>
      </w:pPr>
      <w:r>
        <w:rPr>
          <w:rFonts w:ascii="Times New Roman" w:hAnsi="Times New Roman"/>
          <w:sz w:val="24"/>
          <w:szCs w:val="24"/>
        </w:rPr>
        <w:t>（2）病死猪：本项目采购成品小猪仔进行育肥，进场前已进行检疫，猪只死亡率很低。非传染疫情病死的猪尸体在当地畜牧主管部门的指导下，根据《畜禽病害肉尸及基产品无害化处理规程》（GB16548-1996）第3条病死畜禽的无害化处理方法，在养殖场隔离区冷冻暂存，尽快送成都市科农动物无害化处置有限公司安全处置。严禁病死畜禽随意掩埋，严禁出售或作为饲料再利用。</w:t>
      </w:r>
    </w:p>
    <w:p>
      <w:pPr>
        <w:ind w:firstLine="482"/>
        <w:rPr>
          <w:rFonts w:ascii="Times New Roman" w:hAnsi="Times New Roman"/>
          <w:sz w:val="24"/>
          <w:szCs w:val="24"/>
        </w:rPr>
      </w:pPr>
      <w:r>
        <w:rPr>
          <w:rFonts w:ascii="Times New Roman" w:hAnsi="Times New Roman"/>
          <w:sz w:val="24"/>
          <w:szCs w:val="24"/>
        </w:rPr>
        <w:t>（3）医疗废物：场内少量医疗废物交由成都瀚洋环保实业有限公司进行处理。</w:t>
      </w:r>
    </w:p>
    <w:p>
      <w:pPr>
        <w:ind w:firstLine="482"/>
        <w:rPr>
          <w:rFonts w:ascii="Times New Roman" w:hAnsi="Times New Roman"/>
          <w:sz w:val="24"/>
          <w:szCs w:val="24"/>
        </w:rPr>
      </w:pPr>
      <w:r>
        <w:rPr>
          <w:rFonts w:ascii="Times New Roman" w:hAnsi="Times New Roman"/>
          <w:sz w:val="24"/>
          <w:szCs w:val="24"/>
        </w:rPr>
        <w:t>（4）废活性炭：圈舍排风口采用活性炭吸附，废活性炭交有资质的单位处理。</w:t>
      </w:r>
    </w:p>
    <w:p>
      <w:pPr>
        <w:ind w:firstLine="482"/>
        <w:rPr>
          <w:rFonts w:ascii="Times New Roman" w:hAnsi="Times New Roman"/>
          <w:sz w:val="24"/>
          <w:szCs w:val="24"/>
        </w:rPr>
      </w:pPr>
      <w:r>
        <w:rPr>
          <w:rFonts w:ascii="Times New Roman" w:hAnsi="Times New Roman"/>
          <w:sz w:val="24"/>
          <w:szCs w:val="24"/>
        </w:rPr>
        <w:t>（5）生活垃圾：职工生活垃圾由环卫部门统一收集处理。</w:t>
      </w:r>
    </w:p>
    <w:p>
      <w:pPr>
        <w:ind w:firstLine="482"/>
        <w:rPr>
          <w:rFonts w:ascii="Times New Roman" w:hAnsi="Times New Roman"/>
          <w:snapToGrid w:val="0"/>
          <w:sz w:val="24"/>
          <w:szCs w:val="24"/>
        </w:rPr>
      </w:pPr>
      <w:r>
        <w:rPr>
          <w:rFonts w:ascii="Times New Roman" w:hAnsi="Times New Roman"/>
          <w:sz w:val="24"/>
          <w:szCs w:val="24"/>
        </w:rPr>
        <w:t>（6）食堂餐厨垃圾：厂区设置职工食堂，产生的餐厨</w:t>
      </w:r>
      <w:r>
        <w:rPr>
          <w:rFonts w:ascii="Times New Roman" w:hAnsi="Times New Roman"/>
          <w:snapToGrid w:val="0"/>
          <w:sz w:val="24"/>
          <w:szCs w:val="24"/>
        </w:rPr>
        <w:t>由成都德新饲料油脂有限公司进行处理。</w:t>
      </w:r>
    </w:p>
    <w:p>
      <w:pPr>
        <w:ind w:firstLine="482"/>
        <w:contextualSpacing/>
        <w:rPr>
          <w:rFonts w:ascii="Times New Roman" w:hAnsi="Times New Roman"/>
          <w:sz w:val="24"/>
          <w:szCs w:val="24"/>
        </w:rPr>
      </w:pPr>
      <w:r>
        <w:rPr>
          <w:rFonts w:ascii="Times New Roman" w:hAnsi="Times New Roman"/>
          <w:sz w:val="24"/>
          <w:szCs w:val="24"/>
        </w:rPr>
        <w:t>干粪在场区干粪堆场暂存，每天日产日清，送有机肥厂综合利用，生产有机肥。环评要求，干粪堆场的设置应满足《畜禽养殖业污染防治技术规范》（HJ/T81-2001）、《畜禽养殖业污染治理工程技术规划》（HJ497-2009）中关于堆粪场的相关要求。干粪堆场周边应设置地沟收集设施，并接入污水处理系统。堆粪场应做好防风和防雨措施，对渗滤液收集池加盖。本项目干粪堆场设置注意防风防雨。</w:t>
      </w:r>
    </w:p>
    <w:p>
      <w:pPr>
        <w:ind w:firstLine="482"/>
        <w:contextualSpacing/>
        <w:rPr>
          <w:rFonts w:ascii="Times New Roman" w:hAnsi="Times New Roman"/>
          <w:sz w:val="24"/>
          <w:szCs w:val="24"/>
        </w:rPr>
      </w:pPr>
      <w:r>
        <w:rPr>
          <w:rFonts w:ascii="Times New Roman" w:hAnsi="Times New Roman"/>
          <w:sz w:val="24"/>
          <w:szCs w:val="24"/>
        </w:rPr>
        <w:t>干粪堆场粪便运出必须采用袋装密闭清运，严禁沿途洒落，避免洒落的干粪被雨水冲刷污染土壤和地下水。</w:t>
      </w:r>
    </w:p>
    <w:p>
      <w:pPr>
        <w:ind w:firstLine="482"/>
        <w:contextualSpacing/>
        <w:rPr>
          <w:rFonts w:ascii="Times New Roman" w:hAnsi="Times New Roman"/>
          <w:sz w:val="24"/>
          <w:szCs w:val="24"/>
        </w:rPr>
      </w:pPr>
      <w:r>
        <w:rPr>
          <w:rFonts w:ascii="Times New Roman" w:hAnsi="Times New Roman"/>
          <w:sz w:val="24"/>
          <w:szCs w:val="24"/>
        </w:rPr>
        <w:t>同时，加强场区管理，在运输干粪的途中发现有洒落的情况时，及时清扫，避免洒落的干粪被雨水冲刷污染土壤和地下水。</w:t>
      </w:r>
    </w:p>
    <w:p>
      <w:pPr>
        <w:ind w:firstLine="480" w:firstLineChars="200"/>
        <w:contextualSpacing/>
        <w:rPr>
          <w:rFonts w:ascii="Times New Roman" w:hAnsi="Times New Roman"/>
          <w:sz w:val="24"/>
        </w:rPr>
      </w:pPr>
      <w:r>
        <w:rPr>
          <w:rFonts w:ascii="Times New Roman" w:hAnsi="Times New Roman"/>
          <w:sz w:val="24"/>
        </w:rPr>
        <w:t>项目固体废弃物的产生及处置措施见表2.4-10。</w:t>
      </w:r>
    </w:p>
    <w:p>
      <w:pPr>
        <w:contextualSpacing/>
        <w:jc w:val="center"/>
        <w:rPr>
          <w:rFonts w:ascii="Times New Roman" w:hAnsi="Times New Roman" w:eastAsia="黑体"/>
          <w:sz w:val="21"/>
          <w:szCs w:val="21"/>
        </w:rPr>
      </w:pPr>
      <w:r>
        <w:rPr>
          <w:rFonts w:ascii="Times New Roman" w:hAnsi="Times New Roman" w:eastAsia="黑体"/>
          <w:sz w:val="21"/>
          <w:szCs w:val="21"/>
        </w:rPr>
        <w:t>表2.4-10 固体废物产生量估计及处置方法</w:t>
      </w:r>
    </w:p>
    <w:tbl>
      <w:tblPr>
        <w:tblStyle w:val="90"/>
        <w:tblW w:w="8445"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225"/>
        <w:gridCol w:w="2116"/>
        <w:gridCol w:w="1437"/>
        <w:gridCol w:w="266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82" w:hRule="atLeast"/>
        </w:trPr>
        <w:tc>
          <w:tcPr>
            <w:tcW w:w="2225"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污染源</w:t>
            </w:r>
          </w:p>
        </w:tc>
        <w:tc>
          <w:tcPr>
            <w:tcW w:w="2116"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名称</w:t>
            </w:r>
          </w:p>
        </w:tc>
        <w:tc>
          <w:tcPr>
            <w:tcW w:w="1437"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产生量（t/a）</w:t>
            </w:r>
          </w:p>
        </w:tc>
        <w:tc>
          <w:tcPr>
            <w:tcW w:w="2667"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处置处理方法及去向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16" w:hRule="atLeast"/>
        </w:trPr>
        <w:tc>
          <w:tcPr>
            <w:tcW w:w="2225"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圈舍</w:t>
            </w:r>
          </w:p>
        </w:tc>
        <w:tc>
          <w:tcPr>
            <w:tcW w:w="2116"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干猪粪</w:t>
            </w:r>
          </w:p>
        </w:tc>
        <w:tc>
          <w:tcPr>
            <w:tcW w:w="1437"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10168.9</w:t>
            </w:r>
          </w:p>
        </w:tc>
        <w:tc>
          <w:tcPr>
            <w:tcW w:w="2667" w:type="dxa"/>
          </w:tcPr>
          <w:p>
            <w:pPr>
              <w:pStyle w:val="113"/>
              <w:spacing w:line="320" w:lineRule="exact"/>
              <w:rPr>
                <w:rFonts w:ascii="Times New Roman" w:hAnsi="Times New Roman" w:eastAsia="宋体"/>
                <w:sz w:val="21"/>
                <w:szCs w:val="21"/>
              </w:rPr>
            </w:pPr>
            <w:r>
              <w:rPr>
                <w:rFonts w:ascii="Times New Roman" w:hAnsi="Times New Roman" w:eastAsia="宋体"/>
                <w:sz w:val="21"/>
                <w:szCs w:val="21"/>
              </w:rPr>
              <w:t>由成都市敬华农业有限公司清运用作堆肥</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16" w:hRule="atLeast"/>
        </w:trPr>
        <w:tc>
          <w:tcPr>
            <w:tcW w:w="2225"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圈舍</w:t>
            </w:r>
          </w:p>
        </w:tc>
        <w:tc>
          <w:tcPr>
            <w:tcW w:w="2116"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病死猪</w:t>
            </w:r>
          </w:p>
        </w:tc>
        <w:tc>
          <w:tcPr>
            <w:tcW w:w="1437"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300头/a</w:t>
            </w:r>
          </w:p>
        </w:tc>
        <w:tc>
          <w:tcPr>
            <w:tcW w:w="2667"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交由成都市科农动物无害化处置有限公司安全处置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16" w:hRule="atLeast"/>
        </w:trPr>
        <w:tc>
          <w:tcPr>
            <w:tcW w:w="2225"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隔离圈舍、兽医室</w:t>
            </w:r>
          </w:p>
        </w:tc>
        <w:tc>
          <w:tcPr>
            <w:tcW w:w="2116"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医疗废物</w:t>
            </w:r>
          </w:p>
        </w:tc>
        <w:tc>
          <w:tcPr>
            <w:tcW w:w="1437"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2.5</w:t>
            </w:r>
          </w:p>
        </w:tc>
        <w:tc>
          <w:tcPr>
            <w:tcW w:w="2667"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交由成都瀚洋环保实业有限公司处理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2" w:hRule="atLeast"/>
        </w:trPr>
        <w:tc>
          <w:tcPr>
            <w:tcW w:w="2225"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办公生活区</w:t>
            </w:r>
          </w:p>
        </w:tc>
        <w:tc>
          <w:tcPr>
            <w:tcW w:w="2116"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生活垃圾</w:t>
            </w:r>
          </w:p>
        </w:tc>
        <w:tc>
          <w:tcPr>
            <w:tcW w:w="1437"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1.5</w:t>
            </w:r>
          </w:p>
        </w:tc>
        <w:tc>
          <w:tcPr>
            <w:tcW w:w="2667" w:type="dxa"/>
          </w:tcPr>
          <w:p>
            <w:pPr>
              <w:pStyle w:val="113"/>
              <w:spacing w:line="320" w:lineRule="exact"/>
              <w:ind w:firstLine="19"/>
              <w:rPr>
                <w:rFonts w:ascii="Times New Roman" w:hAnsi="Times New Roman" w:eastAsia="宋体"/>
                <w:sz w:val="21"/>
                <w:szCs w:val="21"/>
              </w:rPr>
            </w:pPr>
            <w:r>
              <w:rPr>
                <w:rFonts w:ascii="Times New Roman" w:hAnsi="Times New Roman" w:eastAsia="宋体"/>
                <w:sz w:val="21"/>
                <w:szCs w:val="21"/>
              </w:rPr>
              <w:t>送生活垃圾填埋场处置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2" w:hRule="atLeast"/>
        </w:trPr>
        <w:tc>
          <w:tcPr>
            <w:tcW w:w="2225"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食堂</w:t>
            </w:r>
          </w:p>
        </w:tc>
        <w:tc>
          <w:tcPr>
            <w:tcW w:w="2116"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餐厨垃圾</w:t>
            </w:r>
          </w:p>
        </w:tc>
        <w:tc>
          <w:tcPr>
            <w:tcW w:w="1437"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7.3</w:t>
            </w:r>
          </w:p>
        </w:tc>
        <w:tc>
          <w:tcPr>
            <w:tcW w:w="2667" w:type="dxa"/>
          </w:tcPr>
          <w:p>
            <w:pPr>
              <w:pStyle w:val="113"/>
              <w:spacing w:line="320" w:lineRule="exact"/>
              <w:ind w:firstLine="19"/>
              <w:rPr>
                <w:rFonts w:ascii="Times New Roman" w:hAnsi="Times New Roman" w:eastAsia="宋体"/>
                <w:sz w:val="21"/>
                <w:szCs w:val="21"/>
              </w:rPr>
            </w:pPr>
            <w:r>
              <w:rPr>
                <w:rFonts w:ascii="Times New Roman" w:hAnsi="Times New Roman" w:eastAsia="宋体"/>
                <w:sz w:val="21"/>
                <w:szCs w:val="21"/>
              </w:rPr>
              <w:t>交由成都德新饲料油脂有限公司处理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2" w:hRule="atLeast"/>
        </w:trPr>
        <w:tc>
          <w:tcPr>
            <w:tcW w:w="2225"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圈舍废气净化</w:t>
            </w:r>
          </w:p>
        </w:tc>
        <w:tc>
          <w:tcPr>
            <w:tcW w:w="2116"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废活性炭</w:t>
            </w:r>
          </w:p>
        </w:tc>
        <w:tc>
          <w:tcPr>
            <w:tcW w:w="1437"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2</w:t>
            </w:r>
          </w:p>
        </w:tc>
        <w:tc>
          <w:tcPr>
            <w:tcW w:w="2667" w:type="dxa"/>
          </w:tcPr>
          <w:p>
            <w:pPr>
              <w:pStyle w:val="113"/>
              <w:spacing w:line="320" w:lineRule="exact"/>
              <w:ind w:firstLine="19"/>
              <w:rPr>
                <w:rFonts w:ascii="Times New Roman" w:hAnsi="Times New Roman" w:eastAsia="宋体"/>
                <w:sz w:val="21"/>
                <w:szCs w:val="21"/>
              </w:rPr>
            </w:pPr>
            <w:r>
              <w:rPr>
                <w:rFonts w:ascii="Times New Roman" w:hAnsi="Times New Roman" w:eastAsia="宋体"/>
                <w:sz w:val="21"/>
                <w:szCs w:val="21"/>
              </w:rPr>
              <w:t>送有资质的单位处置</w:t>
            </w:r>
          </w:p>
        </w:tc>
      </w:tr>
    </w:tbl>
    <w:p>
      <w:pPr>
        <w:pStyle w:val="108"/>
        <w:rPr>
          <w:sz w:val="24"/>
          <w:szCs w:val="24"/>
        </w:rPr>
      </w:pPr>
      <w:bookmarkStart w:id="125" w:name="_Toc9873337"/>
      <w:r>
        <w:t>2.4.5  本项目 “三废”产生及排放情况汇总</w:t>
      </w:r>
      <w:bookmarkEnd w:id="125"/>
    </w:p>
    <w:p>
      <w:pPr>
        <w:pStyle w:val="41"/>
        <w:spacing w:line="480" w:lineRule="exact"/>
        <w:rPr>
          <w:rFonts w:ascii="Times New Roman" w:hAnsi="Times New Roman" w:cs="Times New Roman"/>
          <w:sz w:val="24"/>
          <w:szCs w:val="24"/>
        </w:rPr>
      </w:pPr>
      <w:r>
        <w:rPr>
          <w:rFonts w:ascii="Times New Roman" w:hAnsi="Times New Roman" w:cs="Times New Roman"/>
          <w:sz w:val="24"/>
          <w:szCs w:val="24"/>
        </w:rPr>
        <w:t xml:space="preserve">    本项目污染物产生及排放情况汇总见表2.4-11。</w:t>
      </w:r>
    </w:p>
    <w:p>
      <w:pPr>
        <w:pStyle w:val="41"/>
        <w:spacing w:line="300" w:lineRule="exact"/>
        <w:jc w:val="center"/>
        <w:rPr>
          <w:rFonts w:ascii="Times New Roman" w:hAnsi="Times New Roman" w:eastAsia="黑体" w:cs="Times New Roman"/>
          <w:bCs/>
          <w:snapToGrid w:val="0"/>
          <w:kern w:val="0"/>
        </w:rPr>
        <w:sectPr>
          <w:headerReference r:id="rId8" w:type="default"/>
          <w:pgSz w:w="11906" w:h="16838"/>
          <w:pgMar w:top="1440" w:right="1800" w:bottom="1440" w:left="1800" w:header="851" w:footer="992" w:gutter="0"/>
          <w:cols w:space="425" w:num="1"/>
          <w:docGrid w:type="lines" w:linePitch="312" w:charSpace="0"/>
        </w:sectPr>
      </w:pPr>
    </w:p>
    <w:p>
      <w:pPr>
        <w:spacing w:line="240" w:lineRule="auto"/>
        <w:jc w:val="center"/>
        <w:rPr>
          <w:rFonts w:ascii="Times New Roman" w:hAnsi="Times New Roman" w:eastAsia="黑体"/>
          <w:sz w:val="21"/>
          <w:szCs w:val="21"/>
        </w:rPr>
      </w:pPr>
      <w:r>
        <w:rPr>
          <w:rFonts w:ascii="Times New Roman" w:hAnsi="Times New Roman" w:eastAsia="黑体"/>
          <w:sz w:val="21"/>
          <w:szCs w:val="21"/>
        </w:rPr>
        <w:t>表2.4-11 　本项目污染物产生排放量统计表</w:t>
      </w:r>
    </w:p>
    <w:tbl>
      <w:tblPr>
        <w:tblStyle w:val="91"/>
        <w:tblW w:w="14174"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134"/>
        <w:gridCol w:w="708"/>
        <w:gridCol w:w="1276"/>
        <w:gridCol w:w="1418"/>
        <w:gridCol w:w="5670"/>
        <w:gridCol w:w="1417"/>
        <w:gridCol w:w="145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943" w:type="dxa"/>
            <w:gridSpan w:val="3"/>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污染物</w:t>
            </w:r>
          </w:p>
        </w:tc>
        <w:tc>
          <w:tcPr>
            <w:tcW w:w="2694"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处理前</w:t>
            </w:r>
          </w:p>
        </w:tc>
        <w:tc>
          <w:tcPr>
            <w:tcW w:w="5670"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处理方式</w:t>
            </w:r>
          </w:p>
        </w:tc>
        <w:tc>
          <w:tcPr>
            <w:tcW w:w="2867"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处理后</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943" w:type="dxa"/>
            <w:gridSpan w:val="3"/>
            <w:vMerge w:val="continue"/>
            <w:vAlign w:val="center"/>
          </w:tcPr>
          <w:p>
            <w:pPr>
              <w:spacing w:line="240" w:lineRule="auto"/>
              <w:jc w:val="center"/>
              <w:rPr>
                <w:rFonts w:ascii="Times New Roman" w:hAnsi="Times New Roman" w:eastAsiaTheme="minorEastAsia"/>
                <w:sz w:val="21"/>
                <w:szCs w:val="21"/>
              </w:rPr>
            </w:pP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产生量（t/a）</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排放量（t/a）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废水</w:t>
            </w: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水量</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31429.95</w:t>
            </w:r>
          </w:p>
        </w:tc>
        <w:tc>
          <w:tcPr>
            <w:tcW w:w="5670"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餐饮废水及生活废水经预处理后进水发酵深坑，人工清粪后的粪液通过漏缝进入深坑（深坑厌氧储存池有效容积为6.5万m</w:t>
            </w:r>
            <w:r>
              <w:rPr>
                <w:rFonts w:ascii="Times New Roman" w:hAnsi="Times New Roman" w:eastAsiaTheme="minorEastAsia"/>
                <w:sz w:val="21"/>
                <w:szCs w:val="21"/>
                <w:vertAlign w:val="superscript"/>
              </w:rPr>
              <w:t>3</w:t>
            </w:r>
            <w:r>
              <w:rPr>
                <w:rFonts w:ascii="Times New Roman" w:hAnsi="Times New Roman" w:eastAsiaTheme="minorEastAsia"/>
                <w:sz w:val="21"/>
                <w:szCs w:val="21"/>
              </w:rPr>
              <w:t>）发酵；采用“固液分离+全漏缝+2.7米深坑发酵”）处理后的粪液采取专业抽粪合作社+专业施肥队伍还田处置，不外排</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COD</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3000（350）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87.374</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BOD</w:t>
            </w:r>
            <w:r>
              <w:rPr>
                <w:rFonts w:ascii="Times New Roman" w:hAnsi="Times New Roman" w:eastAsiaTheme="minorEastAsia"/>
                <w:sz w:val="21"/>
                <w:szCs w:val="21"/>
                <w:vertAlign w:val="subscript"/>
              </w:rPr>
              <w:t>5</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1800（200）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52.398</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SS</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3600（200）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104.274</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氨氮</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500（45）</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14.527</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TP</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100（20）</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2.934</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废气</w:t>
            </w:r>
          </w:p>
        </w:tc>
        <w:tc>
          <w:tcPr>
            <w:tcW w:w="1134"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圈舍、干粪堆场</w:t>
            </w:r>
          </w:p>
        </w:tc>
        <w:tc>
          <w:tcPr>
            <w:tcW w:w="70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NH</w:t>
            </w:r>
            <w:r>
              <w:rPr>
                <w:rFonts w:ascii="Times New Roman" w:hAnsi="Times New Roman" w:eastAsiaTheme="minorEastAsia"/>
                <w:sz w:val="21"/>
                <w:szCs w:val="21"/>
                <w:vertAlign w:val="subscript"/>
              </w:rPr>
              <w:t>3</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6.3628</w:t>
            </w:r>
          </w:p>
        </w:tc>
        <w:tc>
          <w:tcPr>
            <w:tcW w:w="5670"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保育舍和育肥舍圈舍整体为负压封闭状态；废气通过抽风系统收集，并经活性炭处理后通过圈舍耳房排放</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0.3181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134" w:type="dxa"/>
            <w:vMerge w:val="continue"/>
            <w:vAlign w:val="center"/>
          </w:tcPr>
          <w:p>
            <w:pPr>
              <w:spacing w:line="240" w:lineRule="auto"/>
              <w:jc w:val="center"/>
              <w:rPr>
                <w:rFonts w:ascii="Times New Roman" w:hAnsi="Times New Roman" w:eastAsiaTheme="minorEastAsia"/>
                <w:sz w:val="21"/>
                <w:szCs w:val="21"/>
              </w:rPr>
            </w:pPr>
          </w:p>
        </w:tc>
        <w:tc>
          <w:tcPr>
            <w:tcW w:w="708"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0.3748</w:t>
            </w:r>
          </w:p>
        </w:tc>
        <w:tc>
          <w:tcPr>
            <w:tcW w:w="5670" w:type="dxa"/>
            <w:vMerge w:val="continue"/>
            <w:vAlign w:val="center"/>
          </w:tcPr>
          <w:p>
            <w:pPr>
              <w:spacing w:line="240" w:lineRule="auto"/>
              <w:jc w:val="center"/>
              <w:rPr>
                <w:rFonts w:ascii="Times New Roman" w:hAnsi="Times New Roman" w:eastAsiaTheme="minorEastAsia"/>
                <w:sz w:val="21"/>
                <w:szCs w:val="21"/>
              </w:rPr>
            </w:pP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0.0187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食堂油烟</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1套静电油烟净化器处理后通过专用烟道引至屋顶达标排放</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0.4~0.6</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柴油发电机尾气</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少量</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经自带烟气净化装置处理后引至屋顶达标排放</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少量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restart"/>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固废</w:t>
            </w: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干猪粪</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10168.9</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由成都市敬华农业有限公司清运用作堆肥</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病死猪</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300头/a</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交由成都市科农动物无害化处置有限公司安全处置</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食堂餐厨垃圾</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7.3</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交由成都德新饲料油脂有限公司处理</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72" w:hRule="atLeast"/>
        </w:trPr>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生活垃圾</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由当地环卫部门收集处理</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lang w:val="zh-CN"/>
              </w:rPr>
              <w:t>医疗废物</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2.5</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交由成都瀚洋环保</w:t>
            </w:r>
            <w:r>
              <w:rPr>
                <w:rFonts w:hint="eastAsia" w:ascii="Times New Roman" w:hAnsi="Times New Roman" w:eastAsiaTheme="minorEastAsia"/>
                <w:sz w:val="21"/>
                <w:szCs w:val="21"/>
              </w:rPr>
              <w:t>实业</w:t>
            </w:r>
            <w:r>
              <w:rPr>
                <w:rFonts w:ascii="Times New Roman" w:hAnsi="Times New Roman" w:eastAsiaTheme="minorEastAsia"/>
                <w:sz w:val="21"/>
                <w:szCs w:val="21"/>
              </w:rPr>
              <w:t>有限公司处理</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101" w:type="dxa"/>
            <w:vMerge w:val="continue"/>
            <w:vAlign w:val="center"/>
          </w:tcPr>
          <w:p>
            <w:pPr>
              <w:spacing w:line="240" w:lineRule="auto"/>
              <w:jc w:val="center"/>
              <w:rPr>
                <w:rFonts w:ascii="Times New Roman" w:hAnsi="Times New Roman" w:eastAsiaTheme="minorEastAsia"/>
                <w:sz w:val="21"/>
                <w:szCs w:val="21"/>
              </w:rPr>
            </w:pPr>
          </w:p>
        </w:tc>
        <w:tc>
          <w:tcPr>
            <w:tcW w:w="1842" w:type="dxa"/>
            <w:gridSpan w:val="2"/>
            <w:vAlign w:val="center"/>
          </w:tcPr>
          <w:p>
            <w:pPr>
              <w:spacing w:line="240" w:lineRule="auto"/>
              <w:jc w:val="center"/>
              <w:rPr>
                <w:rFonts w:ascii="Times New Roman" w:hAnsi="Times New Roman"/>
                <w:sz w:val="21"/>
                <w:szCs w:val="21"/>
                <w:lang w:val="zh-CN"/>
              </w:rPr>
            </w:pPr>
            <w:r>
              <w:rPr>
                <w:rFonts w:ascii="Times New Roman" w:hAnsi="Times New Roman"/>
                <w:sz w:val="21"/>
                <w:szCs w:val="21"/>
                <w:lang w:val="zh-CN"/>
              </w:rPr>
              <w:t>废活性炭</w:t>
            </w:r>
          </w:p>
        </w:tc>
        <w:tc>
          <w:tcPr>
            <w:tcW w:w="12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18"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56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交有资质单位处置</w:t>
            </w:r>
          </w:p>
        </w:tc>
        <w:tc>
          <w:tcPr>
            <w:tcW w:w="141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c>
          <w:tcPr>
            <w:tcW w:w="145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r>
    </w:tbl>
    <w:p>
      <w:pPr>
        <w:pStyle w:val="41"/>
        <w:spacing w:line="300" w:lineRule="exact"/>
        <w:jc w:val="center"/>
        <w:rPr>
          <w:rFonts w:ascii="Times New Roman" w:hAnsi="Times New Roman" w:eastAsia="黑体" w:cs="Times New Roman"/>
          <w:bCs/>
          <w:snapToGrid w:val="0"/>
          <w:kern w:val="0"/>
        </w:rPr>
      </w:pPr>
    </w:p>
    <w:p>
      <w:pPr>
        <w:pStyle w:val="41"/>
        <w:spacing w:line="300" w:lineRule="exact"/>
        <w:jc w:val="center"/>
        <w:rPr>
          <w:rFonts w:ascii="Times New Roman" w:hAnsi="Times New Roman" w:eastAsia="黑体" w:cs="Times New Roman"/>
          <w:bCs/>
          <w:snapToGrid w:val="0"/>
          <w:kern w:val="0"/>
        </w:rPr>
      </w:pPr>
    </w:p>
    <w:p>
      <w:pPr>
        <w:pStyle w:val="103"/>
        <w:numPr>
          <w:ilvl w:val="0"/>
          <w:numId w:val="0"/>
        </w:numPr>
        <w:rPr>
          <w:rFonts w:ascii="Times New Roman" w:hAnsi="Times New Roman"/>
          <w:b w:val="0"/>
          <w:bCs/>
          <w:kern w:val="28"/>
          <w:sz w:val="32"/>
          <w:szCs w:val="32"/>
        </w:rPr>
      </w:pPr>
      <w:bookmarkStart w:id="126" w:name="_Toc9873338"/>
      <w:r>
        <w:rPr>
          <w:rFonts w:ascii="Times New Roman" w:hAnsi="Times New Roman"/>
          <w:b w:val="0"/>
          <w:bCs/>
          <w:kern w:val="28"/>
          <w:sz w:val="32"/>
          <w:szCs w:val="32"/>
        </w:rPr>
        <w:t>2.5　扩建前后三本账</w:t>
      </w:r>
      <w:bookmarkEnd w:id="126"/>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本项目扩建前后，废水、废气、固废污染物排放量统计见下表2.5-1：</w:t>
      </w:r>
    </w:p>
    <w:p>
      <w:pPr>
        <w:autoSpaceDE w:val="0"/>
        <w:autoSpaceDN w:val="0"/>
        <w:adjustRightInd w:val="0"/>
        <w:jc w:val="center"/>
        <w:rPr>
          <w:rFonts w:ascii="Times New Roman" w:hAnsi="Times New Roman" w:eastAsia="黑体"/>
          <w:kern w:val="0"/>
          <w:sz w:val="21"/>
          <w:szCs w:val="21"/>
        </w:rPr>
      </w:pPr>
      <w:r>
        <w:rPr>
          <w:rFonts w:ascii="Times New Roman" w:hAnsi="Times New Roman" w:eastAsia="黑体"/>
          <w:kern w:val="0"/>
          <w:sz w:val="21"/>
          <w:szCs w:val="21"/>
        </w:rPr>
        <w:t xml:space="preserve">表2.5-1  项目扩建前后污染物排放“三本帐”统计   </w:t>
      </w:r>
      <w:r>
        <w:rPr>
          <w:rFonts w:ascii="Times New Roman" w:hAnsi="Times New Roman"/>
          <w:sz w:val="21"/>
          <w:szCs w:val="21"/>
        </w:rPr>
        <w:t>t/a</w:t>
      </w:r>
    </w:p>
    <w:tbl>
      <w:tblPr>
        <w:tblStyle w:val="90"/>
        <w:tblW w:w="13194" w:type="dxa"/>
        <w:jc w:val="center"/>
        <w:tblInd w:w="295"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45"/>
        <w:gridCol w:w="2017"/>
        <w:gridCol w:w="1376"/>
        <w:gridCol w:w="1370"/>
        <w:gridCol w:w="1370"/>
        <w:gridCol w:w="1371"/>
        <w:gridCol w:w="1701"/>
        <w:gridCol w:w="1559"/>
        <w:gridCol w:w="138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7" w:hRule="atLeast"/>
          <w:jc w:val="center"/>
        </w:trPr>
        <w:tc>
          <w:tcPr>
            <w:tcW w:w="104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环境</w:t>
            </w:r>
          </w:p>
          <w:p>
            <w:pPr>
              <w:spacing w:line="276" w:lineRule="auto"/>
              <w:jc w:val="center"/>
              <w:rPr>
                <w:rFonts w:ascii="Times New Roman" w:hAnsi="Times New Roman"/>
                <w:sz w:val="21"/>
                <w:szCs w:val="21"/>
              </w:rPr>
            </w:pPr>
            <w:r>
              <w:rPr>
                <w:rFonts w:ascii="Times New Roman" w:hAnsi="Times New Roman"/>
                <w:sz w:val="21"/>
                <w:szCs w:val="21"/>
              </w:rPr>
              <w:t>要素</w:t>
            </w:r>
          </w:p>
        </w:tc>
        <w:tc>
          <w:tcPr>
            <w:tcW w:w="2017"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污染物</w:t>
            </w:r>
          </w:p>
        </w:tc>
        <w:tc>
          <w:tcPr>
            <w:tcW w:w="1376"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现有工程</w:t>
            </w:r>
          </w:p>
          <w:p>
            <w:pPr>
              <w:spacing w:line="276" w:lineRule="auto"/>
              <w:jc w:val="center"/>
              <w:rPr>
                <w:rFonts w:ascii="Times New Roman" w:hAnsi="Times New Roman"/>
                <w:sz w:val="21"/>
                <w:szCs w:val="21"/>
              </w:rPr>
            </w:pPr>
            <w:r>
              <w:rPr>
                <w:rFonts w:ascii="Times New Roman" w:hAnsi="Times New Roman"/>
                <w:sz w:val="21"/>
                <w:szCs w:val="21"/>
              </w:rPr>
              <w:t>排放量</w:t>
            </w:r>
          </w:p>
        </w:tc>
        <w:tc>
          <w:tcPr>
            <w:tcW w:w="4111" w:type="dxa"/>
            <w:gridSpan w:val="3"/>
            <w:vAlign w:val="center"/>
          </w:tcPr>
          <w:p>
            <w:pPr>
              <w:spacing w:line="276" w:lineRule="auto"/>
              <w:jc w:val="center"/>
              <w:rPr>
                <w:rFonts w:ascii="Times New Roman" w:hAnsi="Times New Roman"/>
                <w:sz w:val="21"/>
                <w:szCs w:val="21"/>
              </w:rPr>
            </w:pPr>
            <w:r>
              <w:rPr>
                <w:rFonts w:ascii="Times New Roman" w:hAnsi="Times New Roman"/>
                <w:sz w:val="21"/>
                <w:szCs w:val="21"/>
              </w:rPr>
              <w:t>本次扩建工程</w:t>
            </w:r>
          </w:p>
        </w:tc>
        <w:tc>
          <w:tcPr>
            <w:tcW w:w="1701"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“以新带老”</w:t>
            </w:r>
          </w:p>
          <w:p>
            <w:pPr>
              <w:spacing w:line="276" w:lineRule="auto"/>
              <w:jc w:val="center"/>
              <w:rPr>
                <w:rFonts w:ascii="Times New Roman" w:hAnsi="Times New Roman"/>
                <w:sz w:val="21"/>
                <w:szCs w:val="21"/>
                <w:vertAlign w:val="subscript"/>
              </w:rPr>
            </w:pPr>
            <w:r>
              <w:rPr>
                <w:rFonts w:ascii="Times New Roman" w:hAnsi="Times New Roman"/>
                <w:sz w:val="21"/>
                <w:szCs w:val="21"/>
              </w:rPr>
              <w:t>消减量</w:t>
            </w:r>
          </w:p>
        </w:tc>
        <w:tc>
          <w:tcPr>
            <w:tcW w:w="1559"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最终排放量</w:t>
            </w:r>
          </w:p>
        </w:tc>
        <w:tc>
          <w:tcPr>
            <w:tcW w:w="138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排放增减量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7"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Merge w:val="continue"/>
            <w:vAlign w:val="center"/>
          </w:tcPr>
          <w:p>
            <w:pPr>
              <w:spacing w:line="276" w:lineRule="auto"/>
              <w:jc w:val="center"/>
              <w:rPr>
                <w:rFonts w:ascii="Times New Roman" w:hAnsi="Times New Roman"/>
                <w:sz w:val="21"/>
                <w:szCs w:val="21"/>
              </w:rPr>
            </w:pPr>
          </w:p>
        </w:tc>
        <w:tc>
          <w:tcPr>
            <w:tcW w:w="1376" w:type="dxa"/>
            <w:vMerge w:val="continue"/>
            <w:vAlign w:val="center"/>
          </w:tcPr>
          <w:p>
            <w:pPr>
              <w:spacing w:line="276" w:lineRule="auto"/>
              <w:jc w:val="center"/>
              <w:rPr>
                <w:rFonts w:ascii="Times New Roman" w:hAnsi="Times New Roman"/>
                <w:sz w:val="21"/>
                <w:szCs w:val="21"/>
              </w:rPr>
            </w:pP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产生量</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自身消减量</w:t>
            </w:r>
          </w:p>
        </w:tc>
        <w:tc>
          <w:tcPr>
            <w:tcW w:w="1371" w:type="dxa"/>
            <w:vAlign w:val="center"/>
          </w:tcPr>
          <w:p>
            <w:pPr>
              <w:spacing w:line="276" w:lineRule="auto"/>
              <w:jc w:val="center"/>
              <w:rPr>
                <w:rFonts w:ascii="Times New Roman" w:hAnsi="Times New Roman"/>
                <w:sz w:val="21"/>
                <w:szCs w:val="21"/>
              </w:rPr>
            </w:pPr>
            <w:r>
              <w:rPr>
                <w:rFonts w:ascii="Times New Roman" w:hAnsi="Times New Roman"/>
                <w:sz w:val="21"/>
                <w:szCs w:val="21"/>
              </w:rPr>
              <w:t>排放量</w:t>
            </w:r>
          </w:p>
        </w:tc>
        <w:tc>
          <w:tcPr>
            <w:tcW w:w="1701" w:type="dxa"/>
            <w:vMerge w:val="continue"/>
            <w:vAlign w:val="center"/>
          </w:tcPr>
          <w:p>
            <w:pPr>
              <w:spacing w:line="276" w:lineRule="auto"/>
              <w:jc w:val="center"/>
              <w:rPr>
                <w:rFonts w:ascii="Times New Roman" w:hAnsi="Times New Roman"/>
                <w:sz w:val="21"/>
                <w:szCs w:val="21"/>
              </w:rPr>
            </w:pPr>
          </w:p>
        </w:tc>
        <w:tc>
          <w:tcPr>
            <w:tcW w:w="1559" w:type="dxa"/>
            <w:vMerge w:val="continue"/>
            <w:vAlign w:val="center"/>
          </w:tcPr>
          <w:p>
            <w:pPr>
              <w:spacing w:line="276" w:lineRule="auto"/>
              <w:jc w:val="center"/>
              <w:rPr>
                <w:rFonts w:ascii="Times New Roman" w:hAnsi="Times New Roman"/>
                <w:sz w:val="21"/>
                <w:szCs w:val="21"/>
              </w:rPr>
            </w:pPr>
          </w:p>
        </w:tc>
        <w:tc>
          <w:tcPr>
            <w:tcW w:w="1385" w:type="dxa"/>
            <w:vMerge w:val="continue"/>
            <w:vAlign w:val="center"/>
          </w:tcPr>
          <w:p>
            <w:pPr>
              <w:spacing w:line="276" w:lineRule="auto"/>
              <w:jc w:val="center"/>
              <w:rPr>
                <w:rFonts w:ascii="Times New Roman" w:hAnsi="Times New Roman"/>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7" w:hRule="atLeast"/>
          <w:jc w:val="center"/>
        </w:trPr>
        <w:tc>
          <w:tcPr>
            <w:tcW w:w="104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大气</w:t>
            </w: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氨</w:t>
            </w:r>
          </w:p>
        </w:tc>
        <w:tc>
          <w:tcPr>
            <w:tcW w:w="13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0.1565</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6.3628</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6.0447</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0.3181</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0.4746</w:t>
            </w:r>
          </w:p>
        </w:tc>
        <w:tc>
          <w:tcPr>
            <w:tcW w:w="1385" w:type="dxa"/>
            <w:vAlign w:val="center"/>
          </w:tcPr>
          <w:p>
            <w:pPr>
              <w:spacing w:line="276" w:lineRule="auto"/>
              <w:jc w:val="center"/>
              <w:rPr>
                <w:rFonts w:ascii="Times New Roman" w:hAnsi="Times New Roman"/>
                <w:sz w:val="21"/>
                <w:szCs w:val="21"/>
              </w:rPr>
            </w:pPr>
            <w:r>
              <w:rPr>
                <w:rFonts w:ascii="Times New Roman" w:hAnsi="Times New Roman"/>
                <w:sz w:val="21"/>
                <w:szCs w:val="21"/>
              </w:rPr>
              <w:t>+0.3181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7"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硫化氢</w:t>
            </w:r>
          </w:p>
        </w:tc>
        <w:tc>
          <w:tcPr>
            <w:tcW w:w="1376"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0.0092</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0.3748</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0.3561</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sz w:val="21"/>
                <w:szCs w:val="21"/>
              </w:rPr>
              <w:t>0.0187</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0.0279</w:t>
            </w:r>
          </w:p>
        </w:tc>
        <w:tc>
          <w:tcPr>
            <w:tcW w:w="1385" w:type="dxa"/>
            <w:vAlign w:val="center"/>
          </w:tcPr>
          <w:p>
            <w:pPr>
              <w:spacing w:line="276" w:lineRule="auto"/>
              <w:jc w:val="center"/>
              <w:rPr>
                <w:rFonts w:ascii="Times New Roman" w:hAnsi="Times New Roman"/>
                <w:sz w:val="21"/>
                <w:szCs w:val="21"/>
              </w:rPr>
            </w:pPr>
            <w:r>
              <w:rPr>
                <w:rFonts w:ascii="Times New Roman" w:hAnsi="Times New Roman"/>
                <w:sz w:val="21"/>
                <w:szCs w:val="21"/>
              </w:rPr>
              <w:t>+0.0187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53" w:hRule="atLeast"/>
          <w:jc w:val="center"/>
        </w:trPr>
        <w:tc>
          <w:tcPr>
            <w:tcW w:w="1045" w:type="dxa"/>
            <w:vAlign w:val="center"/>
          </w:tcPr>
          <w:p>
            <w:pPr>
              <w:spacing w:line="276" w:lineRule="auto"/>
              <w:jc w:val="center"/>
              <w:rPr>
                <w:rFonts w:ascii="Times New Roman" w:hAnsi="Times New Roman"/>
                <w:sz w:val="21"/>
                <w:szCs w:val="21"/>
              </w:rPr>
            </w:pPr>
            <w:r>
              <w:rPr>
                <w:rFonts w:ascii="Times New Roman" w:hAnsi="Times New Roman"/>
                <w:sz w:val="21"/>
                <w:szCs w:val="21"/>
              </w:rPr>
              <w:t>水</w:t>
            </w: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废水</w:t>
            </w:r>
          </w:p>
        </w:tc>
        <w:tc>
          <w:tcPr>
            <w:tcW w:w="1376"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0" w:type="dxa"/>
            <w:vAlign w:val="center"/>
          </w:tcPr>
          <w:p>
            <w:pPr>
              <w:spacing w:line="276" w:lineRule="auto"/>
              <w:jc w:val="center"/>
              <w:rPr>
                <w:rFonts w:ascii="Times New Roman" w:hAnsi="Times New Roman"/>
                <w:sz w:val="21"/>
                <w:szCs w:val="21"/>
              </w:rPr>
            </w:pPr>
            <w:r>
              <w:rPr>
                <w:rFonts w:ascii="Times New Roman" w:hAnsi="Times New Roman" w:eastAsiaTheme="minorEastAsia"/>
                <w:sz w:val="21"/>
                <w:szCs w:val="21"/>
              </w:rPr>
              <w:t>31429.95</w:t>
            </w:r>
          </w:p>
        </w:tc>
        <w:tc>
          <w:tcPr>
            <w:tcW w:w="1370" w:type="dxa"/>
            <w:vAlign w:val="center"/>
          </w:tcPr>
          <w:p>
            <w:pPr>
              <w:spacing w:line="276" w:lineRule="auto"/>
              <w:jc w:val="center"/>
              <w:rPr>
                <w:rFonts w:ascii="Times New Roman" w:hAnsi="Times New Roman"/>
                <w:sz w:val="21"/>
                <w:szCs w:val="21"/>
              </w:rPr>
            </w:pPr>
            <w:r>
              <w:rPr>
                <w:rFonts w:ascii="Times New Roman" w:hAnsi="Times New Roman" w:eastAsiaTheme="minorEastAsia"/>
                <w:sz w:val="21"/>
                <w:szCs w:val="21"/>
              </w:rPr>
              <w:t>31429.95</w:t>
            </w:r>
          </w:p>
        </w:tc>
        <w:tc>
          <w:tcPr>
            <w:tcW w:w="137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85"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 w:hRule="atLeast"/>
          <w:jc w:val="center"/>
        </w:trPr>
        <w:tc>
          <w:tcPr>
            <w:tcW w:w="1045" w:type="dxa"/>
            <w:vMerge w:val="restart"/>
            <w:vAlign w:val="center"/>
          </w:tcPr>
          <w:p>
            <w:pPr>
              <w:spacing w:line="276" w:lineRule="auto"/>
              <w:jc w:val="center"/>
              <w:rPr>
                <w:rFonts w:ascii="Times New Roman" w:hAnsi="Times New Roman"/>
                <w:sz w:val="21"/>
                <w:szCs w:val="21"/>
              </w:rPr>
            </w:pPr>
            <w:r>
              <w:rPr>
                <w:rFonts w:ascii="Times New Roman" w:hAnsi="Times New Roman"/>
                <w:sz w:val="21"/>
                <w:szCs w:val="21"/>
              </w:rPr>
              <w:t>固体废物</w:t>
            </w: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干猪粪</w:t>
            </w:r>
          </w:p>
        </w:tc>
        <w:tc>
          <w:tcPr>
            <w:tcW w:w="13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5002.69</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10168.9</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10168.9</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15171.59</w:t>
            </w:r>
          </w:p>
        </w:tc>
        <w:tc>
          <w:tcPr>
            <w:tcW w:w="13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+10168.9</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病死猪（头/a）</w:t>
            </w:r>
          </w:p>
        </w:tc>
        <w:tc>
          <w:tcPr>
            <w:tcW w:w="13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100头/a</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300头/a</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300头/a</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400头/a</w:t>
            </w:r>
          </w:p>
        </w:tc>
        <w:tc>
          <w:tcPr>
            <w:tcW w:w="13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+300头/a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餐厨垃圾</w:t>
            </w:r>
          </w:p>
        </w:tc>
        <w:tc>
          <w:tcPr>
            <w:tcW w:w="13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7.3</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7.3</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7.3</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14.6</w:t>
            </w:r>
          </w:p>
        </w:tc>
        <w:tc>
          <w:tcPr>
            <w:tcW w:w="13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06"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生活垃圾</w:t>
            </w:r>
          </w:p>
        </w:tc>
        <w:tc>
          <w:tcPr>
            <w:tcW w:w="13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3</w:t>
            </w:r>
          </w:p>
        </w:tc>
        <w:tc>
          <w:tcPr>
            <w:tcW w:w="13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06"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医疗废物</w:t>
            </w:r>
          </w:p>
        </w:tc>
        <w:tc>
          <w:tcPr>
            <w:tcW w:w="13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2.5</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2.5</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3.5</w:t>
            </w:r>
          </w:p>
        </w:tc>
        <w:tc>
          <w:tcPr>
            <w:tcW w:w="13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06" w:hRule="atLeast"/>
          <w:jc w:val="center"/>
        </w:trPr>
        <w:tc>
          <w:tcPr>
            <w:tcW w:w="1045" w:type="dxa"/>
            <w:vMerge w:val="continue"/>
            <w:vAlign w:val="center"/>
          </w:tcPr>
          <w:p>
            <w:pPr>
              <w:spacing w:line="276" w:lineRule="auto"/>
              <w:jc w:val="center"/>
              <w:rPr>
                <w:rFonts w:ascii="Times New Roman" w:hAnsi="Times New Roman"/>
                <w:sz w:val="21"/>
                <w:szCs w:val="21"/>
              </w:rPr>
            </w:pPr>
          </w:p>
        </w:tc>
        <w:tc>
          <w:tcPr>
            <w:tcW w:w="2017" w:type="dxa"/>
            <w:vAlign w:val="center"/>
          </w:tcPr>
          <w:p>
            <w:pPr>
              <w:spacing w:line="276" w:lineRule="auto"/>
              <w:jc w:val="center"/>
              <w:rPr>
                <w:rFonts w:ascii="Times New Roman" w:hAnsi="Times New Roman"/>
                <w:sz w:val="21"/>
                <w:szCs w:val="21"/>
              </w:rPr>
            </w:pPr>
            <w:r>
              <w:rPr>
                <w:rFonts w:ascii="Times New Roman" w:hAnsi="Times New Roman"/>
                <w:sz w:val="21"/>
                <w:szCs w:val="21"/>
              </w:rPr>
              <w:t>废活性炭</w:t>
            </w:r>
          </w:p>
        </w:tc>
        <w:tc>
          <w:tcPr>
            <w:tcW w:w="13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1370"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1370"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371"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1701" w:type="dxa"/>
            <w:vAlign w:val="center"/>
          </w:tcPr>
          <w:p>
            <w:pPr>
              <w:spacing w:line="276" w:lineRule="auto"/>
              <w:jc w:val="center"/>
              <w:rPr>
                <w:rFonts w:ascii="Times New Roman" w:hAnsi="Times New Roman"/>
                <w:sz w:val="21"/>
                <w:szCs w:val="21"/>
              </w:rPr>
            </w:pPr>
            <w:r>
              <w:rPr>
                <w:rFonts w:ascii="Times New Roman" w:hAnsi="Times New Roman"/>
                <w:sz w:val="21"/>
                <w:szCs w:val="21"/>
              </w:rPr>
              <w:t>0</w:t>
            </w:r>
          </w:p>
        </w:tc>
        <w:tc>
          <w:tcPr>
            <w:tcW w:w="1559" w:type="dxa"/>
            <w:vAlign w:val="center"/>
          </w:tcPr>
          <w:p>
            <w:pPr>
              <w:spacing w:line="276" w:lineRule="auto"/>
              <w:jc w:val="center"/>
              <w:rPr>
                <w:rFonts w:ascii="Times New Roman" w:hAnsi="Times New Roman"/>
                <w:sz w:val="21"/>
                <w:szCs w:val="21"/>
              </w:rPr>
            </w:pPr>
            <w:r>
              <w:rPr>
                <w:rFonts w:ascii="Times New Roman" w:hAnsi="Times New Roman"/>
                <w:sz w:val="21"/>
                <w:szCs w:val="21"/>
              </w:rPr>
              <w:t>3.0</w:t>
            </w:r>
          </w:p>
        </w:tc>
        <w:tc>
          <w:tcPr>
            <w:tcW w:w="13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+2.0</w:t>
            </w:r>
          </w:p>
        </w:tc>
      </w:tr>
    </w:tbl>
    <w:p>
      <w:pPr>
        <w:pStyle w:val="41"/>
        <w:spacing w:line="300" w:lineRule="exact"/>
        <w:jc w:val="center"/>
        <w:rPr>
          <w:rFonts w:ascii="Times New Roman" w:hAnsi="Times New Roman" w:eastAsia="黑体" w:cs="Times New Roman"/>
          <w:bCs/>
          <w:snapToGrid w:val="0"/>
          <w:kern w:val="0"/>
        </w:rPr>
      </w:pPr>
    </w:p>
    <w:p>
      <w:pPr>
        <w:pStyle w:val="41"/>
        <w:spacing w:line="300" w:lineRule="exact"/>
        <w:jc w:val="center"/>
        <w:rPr>
          <w:rFonts w:ascii="Times New Roman" w:hAnsi="Times New Roman" w:eastAsia="黑体" w:cs="Times New Roman"/>
          <w:bCs/>
          <w:snapToGrid w:val="0"/>
          <w:kern w:val="0"/>
        </w:rPr>
        <w:sectPr>
          <w:headerReference r:id="rId9" w:type="default"/>
          <w:pgSz w:w="16838" w:h="11906" w:orient="landscape"/>
          <w:pgMar w:top="1800" w:right="1440" w:bottom="1800" w:left="1440" w:header="851" w:footer="992" w:gutter="0"/>
          <w:cols w:space="425" w:num="1"/>
          <w:docGrid w:type="lines" w:linePitch="381" w:charSpace="0"/>
        </w:sectPr>
      </w:pPr>
    </w:p>
    <w:p>
      <w:pPr>
        <w:pStyle w:val="103"/>
        <w:numPr>
          <w:ilvl w:val="0"/>
          <w:numId w:val="0"/>
        </w:numPr>
        <w:rPr>
          <w:rFonts w:ascii="Times New Roman" w:hAnsi="Times New Roman"/>
          <w:b w:val="0"/>
          <w:bCs/>
          <w:kern w:val="28"/>
          <w:sz w:val="32"/>
          <w:szCs w:val="32"/>
        </w:rPr>
      </w:pPr>
      <w:bookmarkStart w:id="127" w:name="_Toc9873339"/>
      <w:r>
        <w:rPr>
          <w:rFonts w:ascii="Times New Roman" w:hAnsi="Times New Roman"/>
          <w:b w:val="0"/>
          <w:bCs/>
          <w:kern w:val="28"/>
          <w:sz w:val="32"/>
          <w:szCs w:val="32"/>
        </w:rPr>
        <w:t>2.6  总量控制</w:t>
      </w:r>
      <w:bookmarkEnd w:id="127"/>
    </w:p>
    <w:p>
      <w:pPr>
        <w:pStyle w:val="118"/>
        <w:widowControl w:val="0"/>
        <w:snapToGrid w:val="0"/>
        <w:spacing w:line="480" w:lineRule="exact"/>
        <w:ind w:firstLine="480" w:firstLineChars="200"/>
        <w:jc w:val="both"/>
        <w:rPr>
          <w:rFonts w:ascii="Times New Roman" w:hAnsi="Times New Roman" w:cs="Times New Roman"/>
        </w:rPr>
      </w:pPr>
      <w:bookmarkStart w:id="128" w:name="_Toc161196252"/>
      <w:r>
        <w:rPr>
          <w:rFonts w:ascii="Times New Roman" w:hAnsi="Times New Roman" w:cs="Times New Roman"/>
        </w:rPr>
        <w:t>项目废水均可还田和综合利用，不直接排入地表水体。</w:t>
      </w:r>
    </w:p>
    <w:p>
      <w:pPr>
        <w:pStyle w:val="118"/>
        <w:widowControl w:val="0"/>
        <w:snapToGrid w:val="0"/>
        <w:spacing w:line="480" w:lineRule="exact"/>
        <w:ind w:firstLine="480" w:firstLineChars="200"/>
        <w:jc w:val="both"/>
        <w:rPr>
          <w:rFonts w:ascii="Times New Roman" w:hAnsi="Times New Roman" w:cs="Times New Roman"/>
        </w:rPr>
      </w:pPr>
      <w:r>
        <w:rPr>
          <w:rFonts w:ascii="Times New Roman" w:hAnsi="Times New Roman" w:cs="Times New Roman"/>
        </w:rPr>
        <w:t>项目废气主要为恶臭污染物，不在国家要求的总量控制指标范围内。</w:t>
      </w:r>
    </w:p>
    <w:p>
      <w:pPr>
        <w:pStyle w:val="118"/>
        <w:widowControl w:val="0"/>
        <w:snapToGrid w:val="0"/>
        <w:spacing w:line="480" w:lineRule="exact"/>
        <w:ind w:firstLine="480" w:firstLineChars="200"/>
        <w:jc w:val="both"/>
        <w:rPr>
          <w:rFonts w:ascii="Times New Roman" w:hAnsi="Times New Roman" w:cs="Times New Roman"/>
        </w:rPr>
      </w:pPr>
      <w:r>
        <w:rPr>
          <w:rFonts w:ascii="Times New Roman" w:hAnsi="Times New Roman" w:cs="Times New Roman"/>
        </w:rPr>
        <w:t>项目产生的固废成都市敬华农业有限公司清运用作堆肥，不直接排入环境。</w:t>
      </w:r>
    </w:p>
    <w:p>
      <w:pPr>
        <w:pStyle w:val="118"/>
        <w:widowControl w:val="0"/>
        <w:snapToGrid w:val="0"/>
        <w:spacing w:line="480" w:lineRule="exact"/>
        <w:ind w:firstLine="480" w:firstLineChars="200"/>
        <w:jc w:val="both"/>
        <w:rPr>
          <w:rFonts w:ascii="Times New Roman" w:hAnsi="Times New Roman" w:cs="Times New Roman"/>
        </w:rPr>
      </w:pPr>
      <w:r>
        <w:rPr>
          <w:rFonts w:ascii="Times New Roman" w:hAnsi="Times New Roman" w:cs="Times New Roman"/>
        </w:rPr>
        <w:t>根据国家制定的总量控制指标要求，本项目不存在总量控制指标。</w:t>
      </w:r>
    </w:p>
    <w:bookmarkEnd w:id="128"/>
    <w:p>
      <w:pPr>
        <w:autoSpaceDE w:val="0"/>
        <w:autoSpaceDN w:val="0"/>
        <w:adjustRightInd w:val="0"/>
        <w:jc w:val="left"/>
        <w:rPr>
          <w:rFonts w:ascii="Times New Roman" w:hAnsi="Times New Roman" w:eastAsiaTheme="minorEastAsia"/>
          <w:kern w:val="0"/>
          <w:sz w:val="24"/>
          <w:szCs w:val="24"/>
        </w:rPr>
      </w:pPr>
    </w:p>
    <w:p>
      <w:pPr>
        <w:widowControl/>
        <w:spacing w:line="240" w:lineRule="auto"/>
        <w:jc w:val="left"/>
        <w:rPr>
          <w:rFonts w:ascii="Times New Roman" w:hAnsi="Times New Roman" w:eastAsiaTheme="minorEastAsia"/>
          <w:kern w:val="0"/>
          <w:sz w:val="24"/>
          <w:szCs w:val="24"/>
        </w:rPr>
      </w:pPr>
      <w:r>
        <w:rPr>
          <w:rFonts w:ascii="Times New Roman" w:hAnsi="Times New Roman" w:eastAsiaTheme="minorEastAsia"/>
          <w:kern w:val="0"/>
          <w:sz w:val="24"/>
          <w:szCs w:val="24"/>
        </w:rPr>
        <w:br w:type="page"/>
      </w:r>
    </w:p>
    <w:p>
      <w:pPr>
        <w:pStyle w:val="101"/>
        <w:spacing w:before="780" w:after="780"/>
        <w:rPr>
          <w:rFonts w:ascii="Times New Roman" w:hAnsi="Times New Roman"/>
        </w:rPr>
      </w:pPr>
      <w:bookmarkStart w:id="129" w:name="_Toc9873340"/>
      <w:r>
        <w:rPr>
          <w:rFonts w:ascii="Times New Roman" w:hAnsi="Times New Roman"/>
        </w:rPr>
        <w:t>第三章  环境现状调查与评价</w:t>
      </w:r>
      <w:bookmarkEnd w:id="129"/>
    </w:p>
    <w:p>
      <w:pPr>
        <w:pStyle w:val="103"/>
        <w:numPr>
          <w:ilvl w:val="0"/>
          <w:numId w:val="0"/>
        </w:numPr>
        <w:rPr>
          <w:rFonts w:ascii="Times New Roman" w:hAnsi="Times New Roman"/>
          <w:b w:val="0"/>
          <w:bCs/>
          <w:kern w:val="28"/>
          <w:sz w:val="32"/>
          <w:szCs w:val="32"/>
        </w:rPr>
      </w:pPr>
      <w:bookmarkStart w:id="130" w:name="_Toc9873341"/>
      <w:r>
        <w:rPr>
          <w:rFonts w:ascii="Times New Roman" w:hAnsi="Times New Roman"/>
          <w:b w:val="0"/>
          <w:bCs/>
          <w:kern w:val="28"/>
          <w:sz w:val="32"/>
          <w:szCs w:val="32"/>
        </w:rPr>
        <w:t>3.1　自然环境概况</w:t>
      </w:r>
      <w:bookmarkEnd w:id="130"/>
    </w:p>
    <w:p>
      <w:pPr>
        <w:pStyle w:val="108"/>
        <w:rPr>
          <w:b/>
        </w:rPr>
      </w:pPr>
      <w:bookmarkStart w:id="131" w:name="_Toc9873342"/>
      <w:r>
        <w:t>3.1.1  地理位置</w:t>
      </w:r>
      <w:bookmarkEnd w:id="131"/>
    </w:p>
    <w:p>
      <w:pPr>
        <w:pStyle w:val="118"/>
        <w:widowControl w:val="0"/>
        <w:snapToGrid w:val="0"/>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邛崃隶属四川省成都市，自古为“天府南来第一州”，位于成都平原西部，川滇、川藏公路要塞，距成都市区75公里。全市幅员面积1384平方公里。本项目位于四川省邛崃市冉义镇白玉村2、3组，中心地理坐标为东经103°37′59.91″，北纬30°27′25.29″。项目所在地处于邛崃市冉义镇园林村（原白玉村），拟建位置北面为大邑县安仁镇泉水村。</w:t>
      </w:r>
    </w:p>
    <w:p>
      <w:pPr>
        <w:pStyle w:val="118"/>
        <w:widowControl w:val="0"/>
        <w:snapToGrid w:val="0"/>
        <w:spacing w:line="360" w:lineRule="auto"/>
        <w:ind w:firstLine="480" w:firstLineChars="200"/>
        <w:rPr>
          <w:rFonts w:ascii="Times New Roman" w:hAnsi="Times New Roman" w:cs="Times New Roman" w:eastAsiaTheme="minorEastAsia"/>
        </w:rPr>
      </w:pPr>
      <w:r>
        <w:rPr>
          <w:rFonts w:ascii="Times New Roman" w:hAnsi="Times New Roman" w:cs="Times New Roman" w:eastAsiaTheme="minorEastAsia"/>
        </w:rPr>
        <w:t>本项目位于邛崃市冉义镇园林村35组，地理位置详见附图1。</w:t>
      </w:r>
    </w:p>
    <w:p>
      <w:pPr>
        <w:pStyle w:val="108"/>
      </w:pPr>
      <w:bookmarkStart w:id="132" w:name="_Toc9873343"/>
      <w:r>
        <w:t>3.1.2  地形、地貌</w:t>
      </w:r>
      <w:bookmarkEnd w:id="132"/>
    </w:p>
    <w:p>
      <w:pPr>
        <w:pStyle w:val="118"/>
        <w:widowControl w:val="0"/>
        <w:snapToGrid w:val="0"/>
        <w:spacing w:line="48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邛崃西倚龙门山系中南段的邛崃山脉，东临成都平原，山区与平原间为过渡的丘陵地带。山地占总面积30.8%，除了一小部分属于长丘山(总岗山)外，其余均属邛崃山脉中段。山体为红色砂页岩组成，山峦起伏，峻峭壮丽，海拔一般在1200米左右，玉林山为本市最高峰，海拔2000m以上；丘陵占全市总面积的31%，海拔一般为500－800m，相对高度50—200m，深丘和浅丘都有，因受长期剥蚀作用，山顶多呈浑圆型，并多以开辟利用。平坝占总面积的38.2%，海拔一般为450—550m，为成都平原的一部分。</w:t>
      </w:r>
    </w:p>
    <w:p>
      <w:pPr>
        <w:pStyle w:val="118"/>
        <w:widowControl w:val="0"/>
        <w:snapToGrid w:val="0"/>
        <w:spacing w:line="48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区内山、丘、坝兼有。市之东部及东北部为平坝，大地形平坦、开阔，略有起伏。面积311.36平方公里，占全市总面积的22.64%，土壤肥沃，宜种性广，灌溉便利，劳力集中，为市之粮油、稻、麦区。南部五面山、长丘山区，浅丘连绵，塘库棋布，面积248.64平方公里，占全市总面积的18.08%。中部西北缘为深丘，是浅丘与西部山区间的过渡带，面积245.98平方公里，占全市总面积的17.88%。</w:t>
      </w:r>
    </w:p>
    <w:p>
      <w:pPr>
        <w:pStyle w:val="108"/>
        <w:rPr>
          <w:b/>
        </w:rPr>
      </w:pPr>
      <w:bookmarkStart w:id="133" w:name="_Toc9873344"/>
      <w:r>
        <w:t>3.1.3  气候气象</w:t>
      </w:r>
      <w:bookmarkEnd w:id="133"/>
    </w:p>
    <w:p>
      <w:pPr>
        <w:spacing w:line="480" w:lineRule="exact"/>
        <w:ind w:firstLine="482"/>
        <w:rPr>
          <w:rFonts w:ascii="Times New Roman" w:hAnsi="Times New Roman" w:eastAsiaTheme="minorEastAsia"/>
          <w:sz w:val="24"/>
        </w:rPr>
      </w:pPr>
      <w:r>
        <w:rPr>
          <w:rFonts w:ascii="Times New Roman" w:hAnsi="Times New Roman" w:eastAsiaTheme="minorEastAsia"/>
          <w:sz w:val="24"/>
        </w:rPr>
        <w:t>邛崃市属亚热带湿润季风气候区。最热月是7月，最冷月是1月，降水集中于夏季，带有大陆性气候特点。冬无严寒，夏无酷暑，气候温和，雨量充沛，四季分明，日照偏少，四季划分与自然气候季节接近。</w:t>
      </w:r>
    </w:p>
    <w:p>
      <w:pPr>
        <w:spacing w:line="480" w:lineRule="exact"/>
        <w:ind w:firstLine="482"/>
        <w:rPr>
          <w:rFonts w:ascii="Times New Roman" w:hAnsi="Times New Roman" w:eastAsiaTheme="minorEastAsia"/>
          <w:sz w:val="24"/>
        </w:rPr>
      </w:pPr>
      <w:r>
        <w:rPr>
          <w:rFonts w:ascii="Times New Roman" w:hAnsi="Times New Roman" w:eastAsiaTheme="minorEastAsia"/>
          <w:sz w:val="24"/>
        </w:rPr>
        <w:t>多年平均气温为16.3</w:t>
      </w:r>
      <w:r>
        <w:rPr>
          <w:rFonts w:hint="eastAsia" w:ascii="宋体" w:hAnsi="宋体" w:cs="宋体"/>
          <w:sz w:val="24"/>
        </w:rPr>
        <w:t>℃</w:t>
      </w:r>
      <w:r>
        <w:rPr>
          <w:rFonts w:ascii="Times New Roman" w:hAnsi="Times New Roman" w:eastAsiaTheme="minorEastAsia"/>
          <w:sz w:val="24"/>
        </w:rPr>
        <w:t>，最高年平均气温为16.9</w:t>
      </w:r>
      <w:r>
        <w:rPr>
          <w:rFonts w:hint="eastAsia" w:ascii="宋体" w:hAnsi="宋体" w:cs="宋体"/>
          <w:sz w:val="24"/>
        </w:rPr>
        <w:t>℃</w:t>
      </w:r>
      <w:r>
        <w:rPr>
          <w:rFonts w:ascii="Times New Roman" w:hAnsi="Times New Roman" w:eastAsiaTheme="minorEastAsia"/>
          <w:sz w:val="24"/>
        </w:rPr>
        <w:t>（1963年和1973年）；</w:t>
      </w:r>
    </w:p>
    <w:p>
      <w:pPr>
        <w:spacing w:line="480" w:lineRule="exact"/>
        <w:ind w:firstLine="482"/>
        <w:rPr>
          <w:rFonts w:ascii="Times New Roman" w:hAnsi="Times New Roman" w:eastAsiaTheme="minorEastAsia"/>
          <w:sz w:val="24"/>
        </w:rPr>
      </w:pPr>
      <w:r>
        <w:rPr>
          <w:rFonts w:ascii="Times New Roman" w:hAnsi="Times New Roman" w:eastAsiaTheme="minorEastAsia"/>
          <w:sz w:val="24"/>
        </w:rPr>
        <w:t>极端最高气温35.4</w:t>
      </w:r>
      <w:r>
        <w:rPr>
          <w:rFonts w:hint="eastAsia" w:ascii="宋体" w:hAnsi="宋体" w:cs="宋体"/>
          <w:sz w:val="24"/>
        </w:rPr>
        <w:t>℃</w:t>
      </w:r>
      <w:r>
        <w:rPr>
          <w:rFonts w:ascii="Times New Roman" w:hAnsi="Times New Roman" w:eastAsiaTheme="minorEastAsia"/>
          <w:sz w:val="24"/>
        </w:rPr>
        <w:t>（1972年），极端最低气温-4.2</w:t>
      </w:r>
      <w:r>
        <w:rPr>
          <w:rFonts w:hint="eastAsia" w:ascii="宋体" w:hAnsi="宋体" w:cs="宋体"/>
          <w:sz w:val="24"/>
        </w:rPr>
        <w:t>℃</w:t>
      </w:r>
      <w:r>
        <w:rPr>
          <w:rFonts w:ascii="Times New Roman" w:hAnsi="Times New Roman" w:eastAsiaTheme="minorEastAsia"/>
          <w:sz w:val="24"/>
        </w:rPr>
        <w:t>（1959年）；</w:t>
      </w:r>
    </w:p>
    <w:p>
      <w:pPr>
        <w:spacing w:line="480" w:lineRule="exact"/>
        <w:ind w:firstLine="482"/>
        <w:rPr>
          <w:rFonts w:ascii="Times New Roman" w:hAnsi="Times New Roman" w:eastAsiaTheme="minorEastAsia"/>
          <w:sz w:val="24"/>
        </w:rPr>
      </w:pPr>
      <w:r>
        <w:rPr>
          <w:rFonts w:ascii="Times New Roman" w:hAnsi="Times New Roman" w:eastAsiaTheme="minorEastAsia"/>
          <w:sz w:val="24"/>
        </w:rPr>
        <w:t>多年平均降水量为1117.2mm，最多年降雨量1467.8mm（1959年），最少年降雨量806.3mm（1965年）；</w:t>
      </w:r>
    </w:p>
    <w:p>
      <w:pPr>
        <w:spacing w:line="480" w:lineRule="exact"/>
        <w:ind w:firstLine="482"/>
        <w:rPr>
          <w:rFonts w:ascii="Times New Roman" w:hAnsi="Times New Roman" w:eastAsiaTheme="minorEastAsia"/>
          <w:sz w:val="24"/>
        </w:rPr>
      </w:pPr>
      <w:r>
        <w:rPr>
          <w:rFonts w:ascii="Times New Roman" w:hAnsi="Times New Roman" w:eastAsiaTheme="minorEastAsia"/>
          <w:sz w:val="24"/>
        </w:rPr>
        <w:t>多年平均相对湿度83%，最大年平均相对湿度86%（1985年），最小年平均相对湿度81%（1969年）；</w:t>
      </w:r>
    </w:p>
    <w:p>
      <w:pPr>
        <w:spacing w:line="480" w:lineRule="exact"/>
        <w:ind w:firstLine="482"/>
        <w:rPr>
          <w:rFonts w:ascii="Times New Roman" w:hAnsi="Times New Roman" w:eastAsiaTheme="minorEastAsia"/>
          <w:sz w:val="24"/>
        </w:rPr>
      </w:pPr>
      <w:r>
        <w:rPr>
          <w:rFonts w:ascii="Times New Roman" w:hAnsi="Times New Roman" w:eastAsiaTheme="minorEastAsia"/>
          <w:sz w:val="24"/>
        </w:rPr>
        <w:t>多年平均蒸发量为950.9mm，最多年蒸发量为1229.6mm（1969年），最少年蒸发量为709.3mm（1985年）；</w:t>
      </w:r>
    </w:p>
    <w:p>
      <w:pPr>
        <w:spacing w:line="480" w:lineRule="exact"/>
        <w:ind w:firstLine="482"/>
        <w:rPr>
          <w:rFonts w:ascii="Times New Roman" w:hAnsi="Times New Roman" w:eastAsiaTheme="minorEastAsia"/>
          <w:sz w:val="24"/>
        </w:rPr>
      </w:pPr>
      <w:r>
        <w:rPr>
          <w:rFonts w:ascii="Times New Roman" w:hAnsi="Times New Roman" w:eastAsiaTheme="minorEastAsia"/>
          <w:sz w:val="24"/>
        </w:rPr>
        <w:t>年平均风速1.2m/s，年静风频率41%。主导风向为东风，次主导风向西风和东北风，无霜期285天。</w:t>
      </w:r>
    </w:p>
    <w:p>
      <w:pPr>
        <w:pStyle w:val="108"/>
      </w:pPr>
      <w:bookmarkStart w:id="134" w:name="_Toc9873345"/>
      <w:r>
        <w:t>3.1.4  水文水系</w:t>
      </w:r>
      <w:bookmarkEnd w:id="134"/>
    </w:p>
    <w:p>
      <w:pPr>
        <w:pStyle w:val="118"/>
        <w:widowControl w:val="0"/>
        <w:snapToGrid w:val="0"/>
        <w:spacing w:line="48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境内河道纵横，河流落差大，水利资源丰富。南河、绌(音)江河、斜江河、蒲江河、玉溪河流经境内，全长共217.15公里。南河发源于邛崃正西山、天台山，流长91公里，年平均流量40立方米；绌(音)江河和斜江河都从大邑流入市境，境内长度分别为15公里和25公里；蒲江由蒲江县流入境内，境内流长5公里。这些河流皆系山溪河，夏涨冬枯，易涨易退，联系着区内数百条渠系，形成自流灌溉系统，是邛崃市灌溉主要水源。各河汇入蒲江后于市境东部流入新津县注入岷江。</w:t>
      </w:r>
    </w:p>
    <w:p>
      <w:pPr>
        <w:pStyle w:val="118"/>
        <w:widowControl w:val="0"/>
        <w:snapToGrid w:val="0"/>
        <w:spacing w:line="48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区内地表水年径流量9.91亿立方米，其中可利用量5.328亿立方米，加上从外区引来的可利用水量6.282亿立方米，共计11.6亿立方米，为全市工农业需水量的3.1倍。地下水年用量在1.06亿立方米以上。可养殖水域总计6.1万亩。</w:t>
      </w:r>
    </w:p>
    <w:p>
      <w:pPr>
        <w:pStyle w:val="118"/>
        <w:widowControl w:val="0"/>
        <w:snapToGrid w:val="0"/>
        <w:spacing w:line="48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本项目区域地表水体主要为斜江河，位于本项目东面，相距约480m。斜江河在本区域的主要功能为农灌、排洪、纳污等，在项目评价范围内无饮用水保护区。另外，项目西南有一条较大的农灌渠黄砂堰，距离项目580m。黄沙堰取水自斜江河，水量约3m</w:t>
      </w:r>
      <w:r>
        <w:rPr>
          <w:rFonts w:ascii="Times New Roman" w:hAnsi="Times New Roman" w:cs="Times New Roman" w:eastAsiaTheme="minorEastAsia"/>
          <w:vertAlign w:val="superscript"/>
        </w:rPr>
        <w:t>3</w:t>
      </w:r>
      <w:r>
        <w:rPr>
          <w:rFonts w:ascii="Times New Roman" w:hAnsi="Times New Roman" w:cs="Times New Roman" w:eastAsiaTheme="minorEastAsia"/>
        </w:rPr>
        <w:t>/s，灌溉农田范围包括冉义镇5500亩、高埂镇4500亩、羊安镇3500亩。</w:t>
      </w:r>
    </w:p>
    <w:p>
      <w:pPr>
        <w:pStyle w:val="118"/>
        <w:widowControl w:val="0"/>
        <w:snapToGrid w:val="0"/>
        <w:spacing w:line="480" w:lineRule="exact"/>
        <w:ind w:firstLine="480" w:firstLineChars="200"/>
        <w:rPr>
          <w:rFonts w:ascii="Times New Roman" w:hAnsi="Times New Roman" w:cs="Times New Roman"/>
        </w:rPr>
      </w:pPr>
    </w:p>
    <w:p>
      <w:pPr>
        <w:pStyle w:val="108"/>
      </w:pPr>
      <w:bookmarkStart w:id="135" w:name="_Toc9873346"/>
      <w:r>
        <w:t>3.1.5  生态环境</w:t>
      </w:r>
      <w:bookmarkEnd w:id="135"/>
    </w:p>
    <w:p>
      <w:pPr>
        <w:widowControl/>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邛崃境内绿野无垠，青山连绵。林业用地(含宜林荒山)613186亩，其中有林地447100亩，森林覆盖率为21.64%，森林面积223.3平方公里，主要分布在山区，多以杉树、桦树为主。该区生态环境以农田生态系统为主，土壤有机质含量较高，土质肥沃，适宜农业耕作，水稻、小麦、玉米、蔬菜种植面积大，家属家禽饲养比较普遍。该区人工种植树木及自生杂草覆盖度较大，水土流失不严重。</w:t>
      </w:r>
    </w:p>
    <w:p>
      <w:pPr>
        <w:pStyle w:val="103"/>
        <w:numPr>
          <w:ilvl w:val="0"/>
          <w:numId w:val="0"/>
        </w:numPr>
        <w:rPr>
          <w:rFonts w:ascii="Times New Roman" w:hAnsi="Times New Roman"/>
          <w:b w:val="0"/>
          <w:bCs/>
          <w:kern w:val="28"/>
          <w:sz w:val="32"/>
          <w:szCs w:val="32"/>
        </w:rPr>
      </w:pPr>
      <w:bookmarkStart w:id="136" w:name="_Toc9873347"/>
      <w:r>
        <w:rPr>
          <w:rFonts w:ascii="Times New Roman" w:hAnsi="Times New Roman"/>
          <w:b w:val="0"/>
          <w:bCs/>
          <w:kern w:val="28"/>
          <w:sz w:val="32"/>
          <w:szCs w:val="32"/>
        </w:rPr>
        <w:t>3.2 《冉义镇万亩高标准农田新型社区规划》简介</w:t>
      </w:r>
      <w:bookmarkEnd w:id="136"/>
    </w:p>
    <w:p>
      <w:pPr>
        <w:spacing w:line="460" w:lineRule="exact"/>
        <w:ind w:firstLine="470" w:firstLineChars="196"/>
        <w:rPr>
          <w:rFonts w:ascii="Times New Roman" w:hAnsi="Times New Roman" w:eastAsiaTheme="minorEastAsia"/>
          <w:sz w:val="24"/>
          <w:shd w:val="clear" w:color="auto" w:fill="FFFFFF"/>
        </w:rPr>
      </w:pPr>
      <w:r>
        <w:rPr>
          <w:rFonts w:ascii="Times New Roman" w:hAnsi="Times New Roman" w:eastAsiaTheme="minorEastAsia"/>
          <w:sz w:val="24"/>
          <w:shd w:val="clear" w:color="auto" w:fill="FFFFFF"/>
        </w:rPr>
        <w:t>冉义镇万亩高标准农田新型社区规划是邛崃市新农村建设的重点工作，新型社区共设置4个点位，分别为冉义集镇、火星、英汉和新民新型社区，计划安置4875户、17148人。其中，依托冉义高标准农田建设项目大力发展现代农业，是该规划的主要内容之一。</w:t>
      </w:r>
    </w:p>
    <w:p>
      <w:pPr>
        <w:spacing w:line="460" w:lineRule="exact"/>
        <w:ind w:firstLine="470" w:firstLineChars="196"/>
        <w:rPr>
          <w:rFonts w:ascii="Times New Roman" w:hAnsi="Times New Roman" w:eastAsiaTheme="minorEastAsia"/>
          <w:sz w:val="24"/>
          <w:shd w:val="clear" w:color="auto" w:fill="FFFFFF"/>
        </w:rPr>
      </w:pPr>
      <w:r>
        <w:rPr>
          <w:rFonts w:ascii="Times New Roman" w:hAnsi="Times New Roman" w:eastAsiaTheme="minorEastAsia"/>
          <w:sz w:val="24"/>
        </w:rPr>
        <w:t>冉义镇</w:t>
      </w:r>
      <w:r>
        <w:rPr>
          <w:rFonts w:ascii="Times New Roman" w:hAnsi="Times New Roman" w:eastAsiaTheme="minorEastAsia"/>
          <w:sz w:val="24"/>
          <w:shd w:val="clear" w:color="auto" w:fill="FFFFFF"/>
        </w:rPr>
        <w:t>全镇3.6万亩高标准农田将划建成以下现代农业与都市农业示范区：一是优质商品粮种植示范区，二是绿色有机果蔬种植示范区。三是种养循环经济示范区，四是高端制种示范区，五是农业休闲观光旅游区。目前已确定4个产业化项目：300亩鳗鱼养殖基地；500亩食用菌基地；成都金桌农业公司1000亩水稻示范园区；四川川娇集团7000亩种养循环经济示范区。</w:t>
      </w:r>
    </w:p>
    <w:p>
      <w:pPr>
        <w:spacing w:line="460" w:lineRule="exact"/>
        <w:ind w:firstLine="480" w:firstLineChars="200"/>
        <w:rPr>
          <w:rFonts w:ascii="Times New Roman" w:hAnsi="Times New Roman" w:eastAsiaTheme="minorEastAsia"/>
          <w:sz w:val="24"/>
          <w:shd w:val="clear" w:color="auto" w:fill="FFFFFF"/>
        </w:rPr>
      </w:pPr>
      <w:r>
        <w:rPr>
          <w:rFonts w:ascii="Times New Roman" w:hAnsi="Times New Roman" w:eastAsiaTheme="minorEastAsia"/>
          <w:sz w:val="24"/>
          <w:shd w:val="clear" w:color="auto" w:fill="FFFFFF"/>
        </w:rPr>
        <w:t>本项目拟建地位于上述规划中确定的“7000亩种养循环经济示范区”，与规划相符。同时，在该规划实施过程中，项目所在地园林处（原白玉村）的居民99%已经在集镇规划的居住区统一居住，只有零星住户尚未搬迁，项目所在地外环境简单，基本上全部为已整治完毕的高标准农田。综合分析，本项目与上述中依托冉义高标准农田建设项目大力发展现代农业的规划要求相符。</w:t>
      </w:r>
    </w:p>
    <w:p>
      <w:pPr>
        <w:pStyle w:val="103"/>
        <w:numPr>
          <w:ilvl w:val="0"/>
          <w:numId w:val="0"/>
        </w:numPr>
        <w:rPr>
          <w:rFonts w:ascii="Times New Roman" w:hAnsi="Times New Roman"/>
          <w:b w:val="0"/>
          <w:bCs/>
          <w:kern w:val="28"/>
          <w:sz w:val="32"/>
          <w:szCs w:val="32"/>
        </w:rPr>
      </w:pPr>
      <w:bookmarkStart w:id="137" w:name="_Toc9873348"/>
      <w:r>
        <w:rPr>
          <w:rFonts w:ascii="Times New Roman" w:hAnsi="Times New Roman"/>
          <w:b w:val="0"/>
          <w:bCs/>
          <w:kern w:val="28"/>
          <w:sz w:val="32"/>
          <w:szCs w:val="32"/>
        </w:rPr>
        <w:t>3.3  环境质量现状调查与评价</w:t>
      </w:r>
      <w:bookmarkEnd w:id="137"/>
    </w:p>
    <w:p>
      <w:pPr>
        <w:ind w:firstLine="480" w:firstLineChars="200"/>
        <w:rPr>
          <w:rFonts w:ascii="Times New Roman" w:hAnsi="Times New Roman"/>
          <w:sz w:val="24"/>
          <w:szCs w:val="24"/>
        </w:rPr>
      </w:pPr>
      <w:r>
        <w:rPr>
          <w:rFonts w:ascii="Times New Roman" w:hAnsi="Times New Roman"/>
          <w:sz w:val="24"/>
          <w:szCs w:val="24"/>
        </w:rPr>
        <w:t>为了解项目建设区域周围环境质量现状，本次评价委托四川环科检测技术有限公司对项目所在区域环境空气、地表水、地下水、声及土壤环境进行了现状监测，并收集了区域空气环境质量公报。</w:t>
      </w:r>
    </w:p>
    <w:p>
      <w:pPr>
        <w:pStyle w:val="108"/>
      </w:pPr>
      <w:bookmarkStart w:id="138" w:name="_Toc370717544"/>
      <w:bookmarkStart w:id="139" w:name="_Toc9873349"/>
      <w:bookmarkStart w:id="140" w:name="_Toc366362953"/>
      <w:bookmarkStart w:id="141" w:name="_Toc366489555"/>
      <w:bookmarkStart w:id="142" w:name="_Toc366503600"/>
      <w:r>
        <w:t>3.3.1　环境空气质量现状调查与评价</w:t>
      </w:r>
      <w:bookmarkEnd w:id="138"/>
      <w:bookmarkEnd w:id="139"/>
      <w:bookmarkEnd w:id="140"/>
      <w:bookmarkEnd w:id="141"/>
      <w:bookmarkEnd w:id="142"/>
    </w:p>
    <w:p>
      <w:pPr>
        <w:ind w:firstLine="480" w:firstLineChars="200"/>
        <w:rPr>
          <w:rFonts w:ascii="Times New Roman" w:hAnsi="Times New Roman"/>
          <w:sz w:val="24"/>
          <w:szCs w:val="24"/>
        </w:rPr>
      </w:pPr>
      <w:r>
        <w:rPr>
          <w:rFonts w:ascii="Times New Roman" w:hAnsi="Times New Roman"/>
          <w:sz w:val="24"/>
          <w:szCs w:val="24"/>
        </w:rPr>
        <w:t>采用现状监测和资料收集相结合的方法对区域空气环境质量进行现状评价。</w:t>
      </w:r>
    </w:p>
    <w:p>
      <w:pPr>
        <w:keepNext/>
        <w:keepLines/>
        <w:outlineLvl w:val="3"/>
        <w:rPr>
          <w:rFonts w:ascii="Times New Roman" w:hAnsi="Times New Roman"/>
          <w:b/>
          <w:bCs/>
          <w:sz w:val="24"/>
          <w:szCs w:val="28"/>
        </w:rPr>
      </w:pPr>
      <w:r>
        <w:rPr>
          <w:rFonts w:ascii="Times New Roman" w:hAnsi="Times New Roman"/>
          <w:b/>
          <w:bCs/>
          <w:sz w:val="24"/>
          <w:szCs w:val="28"/>
        </w:rPr>
        <w:t>3.3.1.1  区域环境质量达标情况</w:t>
      </w:r>
    </w:p>
    <w:p>
      <w:pPr>
        <w:pStyle w:val="110"/>
        <w:adjustRightInd/>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根据《环境影响评价技术导则-大气环境》（HJ2.2-2018）的要求，本项目引用成都市环境保护局（</w:t>
      </w:r>
      <w:r>
        <w:fldChar w:fldCharType="begin"/>
      </w:r>
      <w:r>
        <w:instrText xml:space="preserve"> HYPERLINK "http://www.cdepb.gov.cn/cdhbj/c110802/2018-06/05/content_" </w:instrText>
      </w:r>
      <w:r>
        <w:fldChar w:fldCharType="separate"/>
      </w:r>
      <w:r>
        <w:rPr>
          <w:rStyle w:val="86"/>
          <w:rFonts w:ascii="Times New Roman" w:hAnsi="Times New Roman" w:cs="Times New Roman"/>
          <w:color w:val="auto"/>
        </w:rPr>
        <w:t>http://www.cdepb.gov.cn/cdhbj/c110802/2018-06/05/content_</w:t>
      </w:r>
      <w:r>
        <w:rPr>
          <w:rStyle w:val="86"/>
          <w:rFonts w:ascii="Times New Roman" w:hAnsi="Times New Roman" w:cs="Times New Roman"/>
          <w:color w:val="auto"/>
        </w:rPr>
        <w:fldChar w:fldCharType="end"/>
      </w:r>
    </w:p>
    <w:p>
      <w:pPr>
        <w:pStyle w:val="110"/>
        <w:adjustRightInd/>
        <w:spacing w:line="360" w:lineRule="auto"/>
        <w:jc w:val="both"/>
        <w:rPr>
          <w:rFonts w:ascii="Times New Roman" w:hAnsi="Times New Roman" w:cs="Times New Roman"/>
          <w:color w:val="auto"/>
        </w:rPr>
      </w:pPr>
      <w:r>
        <w:rPr>
          <w:rFonts w:ascii="Times New Roman" w:hAnsi="Times New Roman" w:cs="Times New Roman"/>
          <w:color w:val="auto"/>
        </w:rPr>
        <w:t>d8838d3f3d454c88aec67a6bdcf0dd58.shtml）公布的2017年环境质量公报说明区域环境质量达标情况。项目所在区域近期未新增大气污染型企事业单位，大气污染物主要排放单元未发生重大变化，则本次数据引用有效。</w:t>
      </w:r>
    </w:p>
    <w:p>
      <w:pPr>
        <w:pStyle w:val="110"/>
        <w:adjustRightInd/>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根据成都市环境保护局发布的《2017年环境质量公报》，近郊区空气质量为：SO</w:t>
      </w:r>
      <w:r>
        <w:rPr>
          <w:rFonts w:ascii="Times New Roman" w:hAnsi="Times New Roman" w:cs="Times New Roman"/>
          <w:color w:val="auto"/>
          <w:vertAlign w:val="subscript"/>
        </w:rPr>
        <w:t>2</w:t>
      </w:r>
      <w:r>
        <w:rPr>
          <w:rFonts w:ascii="Times New Roman" w:hAnsi="Times New Roman" w:cs="Times New Roman"/>
          <w:color w:val="auto"/>
        </w:rPr>
        <w:t>年均值范围为10~16ug/m</w:t>
      </w:r>
      <w:r>
        <w:rPr>
          <w:rFonts w:ascii="Times New Roman" w:hAnsi="Times New Roman" w:cs="Times New Roman"/>
          <w:color w:val="auto"/>
          <w:vertAlign w:val="superscript"/>
        </w:rPr>
        <w:t>3</w:t>
      </w:r>
      <w:r>
        <w:rPr>
          <w:rFonts w:ascii="Times New Roman" w:hAnsi="Times New Roman" w:cs="Times New Roman"/>
          <w:color w:val="auto"/>
        </w:rPr>
        <w:t>，均达标；NO</w:t>
      </w:r>
      <w:r>
        <w:rPr>
          <w:rFonts w:ascii="Times New Roman" w:hAnsi="Times New Roman" w:cs="Times New Roman"/>
          <w:color w:val="auto"/>
          <w:vertAlign w:val="subscript"/>
        </w:rPr>
        <w:t>2</w:t>
      </w:r>
      <w:r>
        <w:rPr>
          <w:rFonts w:ascii="Times New Roman" w:hAnsi="Times New Roman" w:cs="Times New Roman"/>
          <w:color w:val="auto"/>
        </w:rPr>
        <w:t>年均值范围为26~45ug/m</w:t>
      </w:r>
      <w:r>
        <w:rPr>
          <w:rFonts w:ascii="Times New Roman" w:hAnsi="Times New Roman" w:cs="Times New Roman"/>
          <w:color w:val="auto"/>
          <w:vertAlign w:val="superscript"/>
        </w:rPr>
        <w:t>3</w:t>
      </w:r>
      <w:r>
        <w:rPr>
          <w:rFonts w:ascii="Times New Roman" w:hAnsi="Times New Roman" w:cs="Times New Roman"/>
          <w:color w:val="auto"/>
        </w:rPr>
        <w:t>，除新津外，均达标；PM</w:t>
      </w:r>
      <w:r>
        <w:rPr>
          <w:rFonts w:ascii="Times New Roman" w:hAnsi="Times New Roman" w:cs="Times New Roman"/>
          <w:color w:val="auto"/>
          <w:vertAlign w:val="subscript"/>
        </w:rPr>
        <w:t>10</w:t>
      </w:r>
      <w:r>
        <w:rPr>
          <w:rFonts w:ascii="Times New Roman" w:hAnsi="Times New Roman" w:cs="Times New Roman"/>
          <w:color w:val="auto"/>
        </w:rPr>
        <w:t>年均值范围为71~99ug/m</w:t>
      </w:r>
      <w:r>
        <w:rPr>
          <w:rFonts w:ascii="Times New Roman" w:hAnsi="Times New Roman" w:cs="Times New Roman"/>
          <w:color w:val="auto"/>
          <w:vertAlign w:val="superscript"/>
        </w:rPr>
        <w:t>3</w:t>
      </w:r>
      <w:r>
        <w:rPr>
          <w:rFonts w:ascii="Times New Roman" w:hAnsi="Times New Roman" w:cs="Times New Roman"/>
          <w:color w:val="auto"/>
        </w:rPr>
        <w:t>，均未达标；PM</w:t>
      </w:r>
      <w:r>
        <w:rPr>
          <w:rFonts w:ascii="Times New Roman" w:hAnsi="Times New Roman" w:cs="Times New Roman"/>
          <w:color w:val="auto"/>
          <w:vertAlign w:val="subscript"/>
        </w:rPr>
        <w:t>2.5</w:t>
      </w:r>
      <w:r>
        <w:rPr>
          <w:rFonts w:ascii="Times New Roman" w:hAnsi="Times New Roman" w:cs="Times New Roman"/>
          <w:color w:val="auto"/>
        </w:rPr>
        <w:t>年均值范围为46~65ug/m</w:t>
      </w:r>
      <w:r>
        <w:rPr>
          <w:rFonts w:ascii="Times New Roman" w:hAnsi="Times New Roman" w:cs="Times New Roman"/>
          <w:color w:val="auto"/>
          <w:vertAlign w:val="superscript"/>
        </w:rPr>
        <w:t>3</w:t>
      </w:r>
      <w:r>
        <w:rPr>
          <w:rFonts w:ascii="Times New Roman" w:hAnsi="Times New Roman" w:cs="Times New Roman"/>
          <w:color w:val="auto"/>
        </w:rPr>
        <w:t>，均未达标。CO日均值第95百分位浓度值范围为1.1~1.5ug/m</w:t>
      </w:r>
      <w:r>
        <w:rPr>
          <w:rFonts w:ascii="Times New Roman" w:hAnsi="Times New Roman" w:cs="Times New Roman"/>
          <w:color w:val="auto"/>
          <w:vertAlign w:val="superscript"/>
        </w:rPr>
        <w:t>3</w:t>
      </w:r>
      <w:r>
        <w:rPr>
          <w:rFonts w:ascii="Times New Roman" w:hAnsi="Times New Roman" w:cs="Times New Roman"/>
          <w:color w:val="auto"/>
        </w:rPr>
        <w:t>，均达标；O</w:t>
      </w:r>
      <w:r>
        <w:rPr>
          <w:rFonts w:ascii="Times New Roman" w:hAnsi="Times New Roman" w:cs="Times New Roman"/>
          <w:color w:val="auto"/>
          <w:vertAlign w:val="subscript"/>
        </w:rPr>
        <w:t>3</w:t>
      </w:r>
      <w:r>
        <w:rPr>
          <w:rFonts w:ascii="Times New Roman" w:hAnsi="Times New Roman" w:cs="Times New Roman"/>
          <w:color w:val="auto"/>
        </w:rPr>
        <w:t>日最大8小时均值的第90百分位浓度值范围为148~185ug/m</w:t>
      </w:r>
      <w:r>
        <w:rPr>
          <w:rFonts w:ascii="Times New Roman" w:hAnsi="Times New Roman" w:cs="Times New Roman"/>
          <w:color w:val="auto"/>
          <w:vertAlign w:val="superscript"/>
        </w:rPr>
        <w:t>3</w:t>
      </w:r>
      <w:r>
        <w:rPr>
          <w:rFonts w:ascii="Times New Roman" w:hAnsi="Times New Roman" w:cs="Times New Roman"/>
          <w:color w:val="auto"/>
        </w:rPr>
        <w:t>，除简阳市外，均未达标。</w:t>
      </w:r>
    </w:p>
    <w:p>
      <w:pPr>
        <w:pStyle w:val="110"/>
        <w:adjustRightInd/>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本项目位于成都崇州市冉义镇，项目所在区域内SO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年均值，CO日均值能满足《环境空气质量标准》（GB3095-2012）二级标准；PM</w:t>
      </w:r>
      <w:r>
        <w:rPr>
          <w:rFonts w:ascii="Times New Roman" w:hAnsi="Times New Roman" w:cs="Times New Roman"/>
          <w:color w:val="auto"/>
          <w:vertAlign w:val="subscript"/>
        </w:rPr>
        <w:t>2.5</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年均值，O</w:t>
      </w:r>
      <w:r>
        <w:rPr>
          <w:rFonts w:ascii="Times New Roman" w:hAnsi="Times New Roman" w:cs="Times New Roman"/>
          <w:color w:val="auto"/>
          <w:vertAlign w:val="subscript"/>
        </w:rPr>
        <w:t>3</w:t>
      </w:r>
      <w:r>
        <w:rPr>
          <w:rFonts w:ascii="Times New Roman" w:hAnsi="Times New Roman" w:cs="Times New Roman"/>
          <w:color w:val="auto"/>
        </w:rPr>
        <w:t>日最大8小时均值不能满足《环境空气质量标准》（GB3095-2012）二级标准，超标原因：主要受冬季雾霾和机动车尾气的影响。随着“制霾十条”严格落实，强化源头、分类、协作制霾，大力实施大气污染防治“650”工程，出台环境空气质量考核激励办法、机动车和非道路移动机械排气污染防治管理办法，开展夏季臭氧防控行动和秋冬季大气污染防治攻坚行动，狠抓压减燃煤、控车减油、治污减排、清洁降尘、科技制霾等措施区域环境空气质量将得到改善。</w:t>
      </w:r>
    </w:p>
    <w:p>
      <w:pPr>
        <w:keepNext/>
        <w:keepLines/>
        <w:outlineLvl w:val="3"/>
        <w:rPr>
          <w:rFonts w:ascii="Times New Roman" w:hAnsi="Times New Roman"/>
          <w:b/>
          <w:bCs/>
          <w:sz w:val="24"/>
          <w:szCs w:val="28"/>
        </w:rPr>
      </w:pPr>
      <w:r>
        <w:rPr>
          <w:rFonts w:ascii="Times New Roman" w:hAnsi="Times New Roman"/>
          <w:b/>
          <w:bCs/>
          <w:sz w:val="24"/>
          <w:szCs w:val="28"/>
        </w:rPr>
        <w:t>3.3.1.2  其他污染物环境质量现状</w:t>
      </w:r>
    </w:p>
    <w:p>
      <w:pPr>
        <w:ind w:firstLine="480" w:firstLineChars="200"/>
        <w:rPr>
          <w:rFonts w:ascii="Times New Roman" w:hAnsi="Times New Roman"/>
          <w:sz w:val="24"/>
          <w:szCs w:val="24"/>
        </w:rPr>
      </w:pPr>
      <w:r>
        <w:rPr>
          <w:rFonts w:ascii="Times New Roman" w:hAnsi="Times New Roman"/>
          <w:sz w:val="24"/>
          <w:szCs w:val="24"/>
        </w:rPr>
        <w:t>本次评价委托四川环科检测技术有限公司对项目所在区域氨、硫化氢进行了现状补充监测。</w:t>
      </w:r>
    </w:p>
    <w:p>
      <w:pPr>
        <w:ind w:firstLine="482" w:firstLineChars="200"/>
        <w:rPr>
          <w:rFonts w:ascii="Times New Roman" w:hAnsi="Times New Roman"/>
          <w:b/>
          <w:sz w:val="24"/>
          <w:szCs w:val="24"/>
        </w:rPr>
      </w:pPr>
      <w:bookmarkStart w:id="143" w:name="_Toc370717545"/>
      <w:bookmarkStart w:id="144" w:name="_Toc366489556"/>
      <w:bookmarkStart w:id="145" w:name="_Toc366503601"/>
      <w:r>
        <w:rPr>
          <w:rFonts w:ascii="Times New Roman" w:hAnsi="Times New Roman"/>
          <w:b/>
          <w:sz w:val="24"/>
          <w:szCs w:val="24"/>
        </w:rPr>
        <w:t>1、监测因子</w:t>
      </w:r>
      <w:bookmarkEnd w:id="143"/>
      <w:bookmarkEnd w:id="144"/>
      <w:bookmarkEnd w:id="145"/>
    </w:p>
    <w:p>
      <w:pPr>
        <w:ind w:firstLine="480" w:firstLineChars="200"/>
        <w:rPr>
          <w:rFonts w:ascii="Times New Roman" w:hAnsi="Times New Roman"/>
          <w:sz w:val="24"/>
          <w:szCs w:val="24"/>
        </w:rPr>
      </w:pPr>
      <w:r>
        <w:rPr>
          <w:rFonts w:ascii="Times New Roman" w:hAnsi="Times New Roman"/>
          <w:sz w:val="24"/>
          <w:szCs w:val="24"/>
        </w:rPr>
        <w:t>监测因子：氨、硫化氢</w:t>
      </w:r>
    </w:p>
    <w:p>
      <w:pPr>
        <w:ind w:firstLine="482" w:firstLineChars="200"/>
        <w:rPr>
          <w:rFonts w:ascii="Times New Roman" w:hAnsi="Times New Roman"/>
          <w:b/>
          <w:sz w:val="24"/>
          <w:szCs w:val="24"/>
        </w:rPr>
      </w:pPr>
      <w:bookmarkStart w:id="146" w:name="_Toc366503602"/>
      <w:bookmarkStart w:id="147" w:name="_Toc370717546"/>
      <w:bookmarkStart w:id="148" w:name="_Toc366489557"/>
      <w:r>
        <w:rPr>
          <w:rFonts w:ascii="Times New Roman" w:hAnsi="Times New Roman"/>
          <w:b/>
          <w:sz w:val="24"/>
          <w:szCs w:val="24"/>
        </w:rPr>
        <w:t>2、监测布点、监测时间、监测方法</w:t>
      </w:r>
      <w:bookmarkEnd w:id="146"/>
      <w:bookmarkEnd w:id="147"/>
      <w:bookmarkEnd w:id="148"/>
    </w:p>
    <w:p>
      <w:pPr>
        <w:ind w:firstLine="482" w:firstLineChars="200"/>
        <w:rPr>
          <w:rFonts w:ascii="Times New Roman" w:hAnsi="Times New Roman"/>
          <w:b/>
          <w:sz w:val="24"/>
          <w:szCs w:val="24"/>
        </w:rPr>
      </w:pPr>
      <w:r>
        <w:rPr>
          <w:rFonts w:ascii="Times New Roman" w:hAnsi="Times New Roman"/>
          <w:b/>
          <w:sz w:val="24"/>
          <w:szCs w:val="24"/>
        </w:rPr>
        <w:t>（1）监测布点</w:t>
      </w:r>
    </w:p>
    <w:p>
      <w:pPr>
        <w:ind w:firstLine="480" w:firstLineChars="200"/>
        <w:rPr>
          <w:rFonts w:ascii="Times New Roman" w:hAnsi="Times New Roman" w:eastAsia="黑体"/>
          <w:sz w:val="21"/>
          <w:szCs w:val="24"/>
        </w:rPr>
      </w:pPr>
      <w:r>
        <w:rPr>
          <w:rFonts w:ascii="Times New Roman" w:hAnsi="Times New Roman"/>
          <w:sz w:val="24"/>
          <w:szCs w:val="24"/>
        </w:rPr>
        <w:t>现状监测布点见表3.3-1，具体点位详见附图5。</w:t>
      </w:r>
      <w:r>
        <w:rPr>
          <w:rFonts w:ascii="Times New Roman" w:hAnsi="Times New Roman" w:eastAsia="黑体"/>
          <w:sz w:val="21"/>
          <w:szCs w:val="24"/>
        </w:rPr>
        <w:br w:type="page"/>
      </w:r>
    </w:p>
    <w:p>
      <w:pPr>
        <w:jc w:val="center"/>
        <w:rPr>
          <w:rFonts w:ascii="Times New Roman" w:hAnsi="Times New Roman" w:eastAsia="黑体"/>
          <w:sz w:val="24"/>
          <w:szCs w:val="24"/>
        </w:rPr>
      </w:pPr>
      <w:r>
        <w:rPr>
          <w:rFonts w:ascii="Times New Roman" w:hAnsi="Times New Roman" w:eastAsia="黑体"/>
          <w:sz w:val="21"/>
          <w:szCs w:val="24"/>
        </w:rPr>
        <w:t>表3.3-1　 环境空气现状监测布点位置</w:t>
      </w:r>
    </w:p>
    <w:tbl>
      <w:tblPr>
        <w:tblStyle w:val="90"/>
        <w:tblW w:w="8340"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427"/>
        <w:gridCol w:w="591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27"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序号</w:t>
            </w:r>
          </w:p>
        </w:tc>
        <w:tc>
          <w:tcPr>
            <w:tcW w:w="591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监测点位置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27"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5913" w:type="dxa"/>
            <w:vAlign w:val="center"/>
          </w:tcPr>
          <w:p>
            <w:pPr>
              <w:tabs>
                <w:tab w:val="left" w:pos="567"/>
              </w:tabs>
              <w:adjustRightInd w:val="0"/>
              <w:snapToGrid w:val="0"/>
              <w:jc w:val="center"/>
              <w:rPr>
                <w:rFonts w:ascii="Times New Roman" w:hAnsi="Times New Roman" w:eastAsiaTheme="minorEastAsia"/>
                <w:bCs/>
                <w:sz w:val="21"/>
                <w:szCs w:val="21"/>
              </w:rPr>
            </w:pPr>
            <w:r>
              <w:rPr>
                <w:rFonts w:ascii="Times New Roman" w:hAnsi="Times New Roman" w:eastAsiaTheme="minorEastAsia"/>
                <w:bCs/>
                <w:sz w:val="21"/>
                <w:szCs w:val="21"/>
              </w:rPr>
              <w:t>大邑县集中安置农户（项目北面）</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27"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5913" w:type="dxa"/>
            <w:vAlign w:val="center"/>
          </w:tcPr>
          <w:p>
            <w:pPr>
              <w:tabs>
                <w:tab w:val="left" w:pos="567"/>
              </w:tabs>
              <w:adjustRightInd w:val="0"/>
              <w:snapToGrid w:val="0"/>
              <w:jc w:val="center"/>
              <w:rPr>
                <w:rFonts w:ascii="Times New Roman" w:hAnsi="Times New Roman" w:eastAsiaTheme="minorEastAsia"/>
                <w:bCs/>
                <w:sz w:val="21"/>
                <w:szCs w:val="21"/>
              </w:rPr>
            </w:pPr>
            <w:r>
              <w:rPr>
                <w:rFonts w:ascii="Times New Roman" w:hAnsi="Times New Roman" w:eastAsiaTheme="minorEastAsia"/>
                <w:bCs/>
                <w:sz w:val="21"/>
                <w:szCs w:val="21"/>
              </w:rPr>
              <w:t>二期项目所在地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27"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5913" w:type="dxa"/>
            <w:vAlign w:val="center"/>
          </w:tcPr>
          <w:p>
            <w:pPr>
              <w:tabs>
                <w:tab w:val="left" w:pos="567"/>
              </w:tabs>
              <w:adjustRightInd w:val="0"/>
              <w:snapToGrid w:val="0"/>
              <w:jc w:val="center"/>
              <w:rPr>
                <w:rFonts w:ascii="Times New Roman" w:hAnsi="Times New Roman" w:eastAsiaTheme="minorEastAsia"/>
                <w:bCs/>
                <w:sz w:val="21"/>
                <w:szCs w:val="21"/>
              </w:rPr>
            </w:pPr>
            <w:r>
              <w:rPr>
                <w:rFonts w:ascii="Times New Roman" w:hAnsi="Times New Roman" w:eastAsiaTheme="minorEastAsia"/>
                <w:bCs/>
                <w:sz w:val="21"/>
                <w:szCs w:val="21"/>
              </w:rPr>
              <w:t>白玉村（项目西南方向1km）</w:t>
            </w:r>
          </w:p>
        </w:tc>
      </w:tr>
    </w:tbl>
    <w:p>
      <w:pPr>
        <w:spacing w:before="240"/>
        <w:ind w:firstLine="482" w:firstLineChars="200"/>
        <w:rPr>
          <w:rFonts w:ascii="Times New Roman" w:hAnsi="Times New Roman"/>
          <w:b/>
          <w:sz w:val="24"/>
          <w:szCs w:val="24"/>
        </w:rPr>
      </w:pPr>
      <w:r>
        <w:rPr>
          <w:rFonts w:ascii="Times New Roman" w:hAnsi="Times New Roman"/>
          <w:b/>
          <w:sz w:val="24"/>
          <w:szCs w:val="24"/>
        </w:rPr>
        <w:t>（2）监测时间及频次</w:t>
      </w:r>
    </w:p>
    <w:p>
      <w:pPr>
        <w:ind w:firstLine="480" w:firstLineChars="200"/>
        <w:rPr>
          <w:rFonts w:ascii="Times New Roman" w:hAnsi="Times New Roman"/>
          <w:sz w:val="24"/>
          <w:szCs w:val="24"/>
        </w:rPr>
      </w:pPr>
      <w:r>
        <w:rPr>
          <w:rFonts w:ascii="Times New Roman" w:hAnsi="Times New Roman"/>
          <w:sz w:val="24"/>
          <w:szCs w:val="24"/>
        </w:rPr>
        <w:t>监测时间：2019年2月27~3月5日共7天。</w:t>
      </w:r>
    </w:p>
    <w:p>
      <w:pPr>
        <w:ind w:firstLine="480" w:firstLineChars="200"/>
        <w:rPr>
          <w:rFonts w:ascii="Times New Roman" w:hAnsi="Times New Roman"/>
          <w:sz w:val="24"/>
          <w:szCs w:val="24"/>
        </w:rPr>
      </w:pPr>
      <w:r>
        <w:rPr>
          <w:rFonts w:ascii="Times New Roman" w:hAnsi="Times New Roman"/>
          <w:sz w:val="24"/>
          <w:szCs w:val="24"/>
        </w:rPr>
        <w:t>监测频次：氨、硫化氢</w:t>
      </w:r>
      <w:r>
        <w:rPr>
          <w:rFonts w:ascii="Times New Roman" w:hAnsi="Times New Roman"/>
          <w:bCs/>
          <w:sz w:val="24"/>
          <w:szCs w:val="24"/>
        </w:rPr>
        <w:t>每天监测4次，每次连续1小时采样，每天采样时间为02:00、08:00、14:00、20:00，每小时采样时间不小于45分钟。</w:t>
      </w:r>
    </w:p>
    <w:p>
      <w:pPr>
        <w:ind w:firstLine="482" w:firstLineChars="200"/>
        <w:rPr>
          <w:rFonts w:ascii="Times New Roman" w:hAnsi="Times New Roman"/>
          <w:b/>
          <w:sz w:val="24"/>
          <w:szCs w:val="24"/>
        </w:rPr>
      </w:pPr>
      <w:r>
        <w:rPr>
          <w:rFonts w:ascii="Times New Roman" w:hAnsi="Times New Roman"/>
          <w:b/>
          <w:sz w:val="24"/>
          <w:szCs w:val="24"/>
        </w:rPr>
        <w:t>（3）监测方法</w:t>
      </w:r>
    </w:p>
    <w:p>
      <w:pPr>
        <w:ind w:firstLine="480" w:firstLineChars="200"/>
        <w:rPr>
          <w:rFonts w:ascii="Times New Roman" w:hAnsi="Times New Roman"/>
          <w:sz w:val="24"/>
          <w:szCs w:val="24"/>
        </w:rPr>
      </w:pPr>
      <w:r>
        <w:rPr>
          <w:rFonts w:ascii="Times New Roman" w:hAnsi="Times New Roman"/>
          <w:sz w:val="24"/>
          <w:szCs w:val="24"/>
        </w:rPr>
        <w:t>按照《环境空气质量监测技术规范》（HJ/T194-2005）中的有关内容和要求进行监测。</w:t>
      </w:r>
    </w:p>
    <w:p>
      <w:pPr>
        <w:ind w:firstLine="482" w:firstLineChars="200"/>
        <w:rPr>
          <w:rFonts w:ascii="Times New Roman" w:hAnsi="Times New Roman"/>
          <w:b/>
          <w:sz w:val="24"/>
          <w:szCs w:val="24"/>
        </w:rPr>
      </w:pPr>
      <w:r>
        <w:rPr>
          <w:rFonts w:ascii="Times New Roman" w:hAnsi="Times New Roman"/>
          <w:b/>
          <w:sz w:val="24"/>
          <w:szCs w:val="24"/>
        </w:rPr>
        <w:t>3、评价因子、评价标准和评价方法</w:t>
      </w:r>
    </w:p>
    <w:p>
      <w:pPr>
        <w:ind w:firstLine="482" w:firstLineChars="200"/>
        <w:rPr>
          <w:rFonts w:ascii="Times New Roman" w:hAnsi="Times New Roman"/>
          <w:b/>
          <w:sz w:val="24"/>
          <w:szCs w:val="24"/>
        </w:rPr>
      </w:pPr>
      <w:r>
        <w:rPr>
          <w:rFonts w:ascii="Times New Roman" w:hAnsi="Times New Roman"/>
          <w:b/>
          <w:sz w:val="24"/>
          <w:szCs w:val="24"/>
        </w:rPr>
        <w:t>（1）评价因子</w:t>
      </w:r>
    </w:p>
    <w:p>
      <w:pPr>
        <w:ind w:firstLine="360" w:firstLineChars="150"/>
        <w:rPr>
          <w:rFonts w:ascii="Times New Roman" w:hAnsi="Times New Roman"/>
          <w:sz w:val="24"/>
          <w:szCs w:val="24"/>
        </w:rPr>
      </w:pPr>
      <w:r>
        <w:rPr>
          <w:rFonts w:ascii="Times New Roman" w:hAnsi="Times New Roman"/>
          <w:sz w:val="24"/>
          <w:szCs w:val="24"/>
        </w:rPr>
        <w:t>评价因子：氨、硫化氢。</w:t>
      </w:r>
    </w:p>
    <w:p>
      <w:pPr>
        <w:ind w:firstLine="482" w:firstLineChars="200"/>
        <w:rPr>
          <w:rFonts w:ascii="Times New Roman" w:hAnsi="Times New Roman"/>
          <w:b/>
          <w:sz w:val="24"/>
          <w:szCs w:val="24"/>
        </w:rPr>
      </w:pPr>
      <w:r>
        <w:rPr>
          <w:rFonts w:ascii="Times New Roman" w:hAnsi="Times New Roman"/>
          <w:b/>
          <w:sz w:val="24"/>
          <w:szCs w:val="24"/>
        </w:rPr>
        <w:t>（2）评价标准</w:t>
      </w:r>
    </w:p>
    <w:p>
      <w:pPr>
        <w:ind w:firstLine="600" w:firstLineChars="250"/>
        <w:rPr>
          <w:rFonts w:ascii="Times New Roman" w:hAnsi="Times New Roman"/>
          <w:sz w:val="24"/>
          <w:szCs w:val="24"/>
        </w:rPr>
      </w:pPr>
      <w:r>
        <w:rPr>
          <w:rFonts w:ascii="Times New Roman" w:hAnsi="Times New Roman"/>
          <w:sz w:val="24"/>
          <w:szCs w:val="24"/>
        </w:rPr>
        <w:t>氨、硫化氢执行《环境影响评价技术导则-大气环境》（HJ2.2-2018）附录D相应浓度限值要求。</w:t>
      </w:r>
    </w:p>
    <w:p>
      <w:pPr>
        <w:ind w:firstLine="482" w:firstLineChars="200"/>
        <w:rPr>
          <w:rFonts w:ascii="Times New Roman" w:hAnsi="Times New Roman"/>
          <w:b/>
          <w:sz w:val="24"/>
          <w:szCs w:val="24"/>
        </w:rPr>
      </w:pPr>
      <w:r>
        <w:rPr>
          <w:rFonts w:ascii="Times New Roman" w:hAnsi="Times New Roman"/>
          <w:b/>
          <w:sz w:val="24"/>
          <w:szCs w:val="24"/>
        </w:rPr>
        <w:t>（3）评价方法</w:t>
      </w:r>
    </w:p>
    <w:p>
      <w:pPr>
        <w:ind w:firstLine="480" w:firstLineChars="200"/>
        <w:rPr>
          <w:rFonts w:ascii="Times New Roman" w:hAnsi="Times New Roman"/>
          <w:sz w:val="24"/>
          <w:szCs w:val="24"/>
        </w:rPr>
      </w:pPr>
      <w:r>
        <w:rPr>
          <w:rFonts w:ascii="Times New Roman" w:hAnsi="Times New Roman"/>
          <w:sz w:val="24"/>
          <w:szCs w:val="24"/>
        </w:rPr>
        <w:t>大气环境现状采用占标率进行评价。评价公式：</w:t>
      </w:r>
    </w:p>
    <w:p>
      <w:pPr>
        <w:jc w:val="center"/>
        <w:rPr>
          <w:rFonts w:ascii="Times New Roman" w:hAnsi="Times New Roman"/>
          <w:sz w:val="24"/>
          <w:szCs w:val="24"/>
        </w:rPr>
      </w:pPr>
      <w:r>
        <w:rPr>
          <w:rFonts w:ascii="Times New Roman" w:hAnsi="Times New Roman"/>
          <w:sz w:val="24"/>
          <w:szCs w:val="24"/>
        </w:rPr>
        <w:drawing>
          <wp:inline distT="0" distB="0" distL="0" distR="0">
            <wp:extent cx="495300" cy="476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5300" cy="476250"/>
                    </a:xfrm>
                    <a:prstGeom prst="rect">
                      <a:avLst/>
                    </a:prstGeom>
                    <a:noFill/>
                    <a:ln>
                      <a:noFill/>
                    </a:ln>
                  </pic:spPr>
                </pic:pic>
              </a:graphicData>
            </a:graphic>
          </wp:inline>
        </w:drawing>
      </w:r>
    </w:p>
    <w:p>
      <w:pPr>
        <w:ind w:firstLine="600" w:firstLineChars="250"/>
        <w:rPr>
          <w:rFonts w:ascii="Times New Roman" w:hAnsi="Times New Roman"/>
          <w:sz w:val="24"/>
          <w:szCs w:val="24"/>
        </w:rPr>
      </w:pPr>
      <w:r>
        <w:rPr>
          <w:rFonts w:ascii="Times New Roman" w:hAnsi="Times New Roman"/>
          <w:position w:val="-58"/>
          <w:sz w:val="24"/>
          <w:szCs w:val="24"/>
        </w:rPr>
        <w:drawing>
          <wp:inline distT="0" distB="0" distL="0" distR="0">
            <wp:extent cx="3219450" cy="75247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19450" cy="752475"/>
                    </a:xfrm>
                    <a:prstGeom prst="rect">
                      <a:avLst/>
                    </a:prstGeom>
                    <a:noFill/>
                    <a:ln>
                      <a:noFill/>
                    </a:ln>
                  </pic:spPr>
                </pic:pic>
              </a:graphicData>
            </a:graphic>
          </wp:inline>
        </w:drawing>
      </w:r>
    </w:p>
    <w:p>
      <w:pPr>
        <w:ind w:firstLine="482" w:firstLineChars="200"/>
        <w:rPr>
          <w:rFonts w:ascii="Times New Roman" w:hAnsi="Times New Roman"/>
          <w:b/>
          <w:sz w:val="24"/>
          <w:szCs w:val="24"/>
        </w:rPr>
      </w:pPr>
      <w:bookmarkStart w:id="149" w:name="_Toc370717547"/>
      <w:bookmarkStart w:id="150" w:name="_Toc366503603"/>
      <w:bookmarkStart w:id="151" w:name="_Toc366489558"/>
      <w:r>
        <w:rPr>
          <w:rFonts w:ascii="Times New Roman" w:hAnsi="Times New Roman"/>
          <w:b/>
          <w:sz w:val="24"/>
          <w:szCs w:val="24"/>
        </w:rPr>
        <w:t>4、其他污染物现状监测及评价</w:t>
      </w:r>
      <w:bookmarkEnd w:id="149"/>
      <w:bookmarkEnd w:id="150"/>
      <w:bookmarkEnd w:id="151"/>
    </w:p>
    <w:p>
      <w:pPr>
        <w:ind w:firstLine="480" w:firstLineChars="200"/>
        <w:rPr>
          <w:rFonts w:ascii="Times New Roman" w:hAnsi="Times New Roman"/>
          <w:sz w:val="24"/>
          <w:szCs w:val="24"/>
        </w:rPr>
      </w:pPr>
      <w:r>
        <w:rPr>
          <w:rFonts w:ascii="Times New Roman" w:hAnsi="Times New Roman"/>
          <w:sz w:val="24"/>
          <w:szCs w:val="24"/>
        </w:rPr>
        <w:t>根据现状监测结果，区域其他污染物空气质量监测结果统计见表3.3-2。</w:t>
      </w:r>
    </w:p>
    <w:p>
      <w:pPr>
        <w:widowControl/>
        <w:spacing w:line="240" w:lineRule="auto"/>
        <w:jc w:val="left"/>
        <w:rPr>
          <w:rFonts w:ascii="Times New Roman" w:hAnsi="Times New Roman" w:eastAsia="黑体"/>
          <w:sz w:val="21"/>
          <w:szCs w:val="24"/>
        </w:rPr>
      </w:pPr>
      <w:r>
        <w:rPr>
          <w:rFonts w:ascii="Times New Roman" w:hAnsi="Times New Roman" w:eastAsia="黑体"/>
          <w:sz w:val="21"/>
          <w:szCs w:val="24"/>
        </w:rPr>
        <w:br w:type="page"/>
      </w:r>
    </w:p>
    <w:p>
      <w:pPr>
        <w:jc w:val="center"/>
        <w:rPr>
          <w:rFonts w:ascii="Times New Roman" w:hAnsi="Times New Roman" w:eastAsia="黑体"/>
          <w:color w:val="000000" w:themeColor="text1"/>
          <w:sz w:val="21"/>
          <w:szCs w:val="24"/>
          <w14:textFill>
            <w14:solidFill>
              <w14:schemeClr w14:val="tx1"/>
            </w14:solidFill>
          </w14:textFill>
        </w:rPr>
      </w:pPr>
      <w:r>
        <w:rPr>
          <w:rFonts w:ascii="Times New Roman" w:hAnsi="Times New Roman" w:eastAsia="黑体"/>
          <w:color w:val="000000" w:themeColor="text1"/>
          <w:sz w:val="21"/>
          <w:szCs w:val="24"/>
          <w14:textFill>
            <w14:solidFill>
              <w14:schemeClr w14:val="tx1"/>
            </w14:solidFill>
          </w14:textFill>
        </w:rPr>
        <w:t>表3.3-2　其他污染物空气质量现状监测结果表（单位：mg/m</w:t>
      </w:r>
      <w:r>
        <w:rPr>
          <w:rFonts w:ascii="Times New Roman" w:hAnsi="Times New Roman" w:eastAsia="黑体"/>
          <w:color w:val="000000" w:themeColor="text1"/>
          <w:sz w:val="21"/>
          <w:szCs w:val="24"/>
          <w:vertAlign w:val="superscript"/>
          <w14:textFill>
            <w14:solidFill>
              <w14:schemeClr w14:val="tx1"/>
            </w14:solidFill>
          </w14:textFill>
        </w:rPr>
        <w:t>3</w:t>
      </w:r>
      <w:r>
        <w:rPr>
          <w:rFonts w:ascii="Times New Roman" w:hAnsi="Times New Roman" w:eastAsia="黑体"/>
          <w:color w:val="000000" w:themeColor="text1"/>
          <w:sz w:val="21"/>
          <w:szCs w:val="24"/>
          <w14:textFill>
            <w14:solidFill>
              <w14:schemeClr w14:val="tx1"/>
            </w14:solidFill>
          </w14:textFill>
        </w:rPr>
        <w:t>）</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87"/>
        <w:gridCol w:w="1842"/>
        <w:gridCol w:w="1917"/>
        <w:gridCol w:w="1940"/>
        <w:gridCol w:w="193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16" w:hRule="atLeast"/>
        </w:trPr>
        <w:tc>
          <w:tcPr>
            <w:tcW w:w="2729" w:type="dxa"/>
            <w:gridSpan w:val="2"/>
            <w:tcBorders>
              <w:tl2br w:val="single" w:color="auto" w:sz="4" w:space="0"/>
            </w:tcBorders>
            <w:vAlign w:val="center"/>
          </w:tcPr>
          <w:p>
            <w:pPr>
              <w:adjustRightInd w:val="0"/>
              <w:snapToGrid w:val="0"/>
              <w:spacing w:before="12" w:after="12" w:line="240" w:lineRule="auto"/>
              <w:jc w:val="right"/>
              <w:rPr>
                <w:rFonts w:ascii="Times New Roman" w:hAnsi="Times New Roman" w:eastAsiaTheme="minorEastAsia"/>
                <w:color w:val="000000" w:themeColor="text1"/>
                <w:kern w:val="0"/>
                <w:sz w:val="21"/>
                <w14:textFill>
                  <w14:solidFill>
                    <w14:schemeClr w14:val="tx1"/>
                  </w14:solidFill>
                </w14:textFill>
              </w:rPr>
            </w:pPr>
            <w:r>
              <w:rPr>
                <w:rFonts w:ascii="Times New Roman" w:hAnsi="Times New Roman" w:eastAsiaTheme="minorEastAsia"/>
                <w:color w:val="000000" w:themeColor="text1"/>
                <w:kern w:val="0"/>
                <w:sz w:val="21"/>
                <w14:textFill>
                  <w14:solidFill>
                    <w14:schemeClr w14:val="tx1"/>
                  </w14:solidFill>
                </w14:textFill>
              </w:rPr>
              <w:t>监测点位</w:t>
            </w:r>
          </w:p>
          <w:p>
            <w:pPr>
              <w:adjustRightInd w:val="0"/>
              <w:snapToGrid w:val="0"/>
              <w:spacing w:before="12" w:after="12" w:line="240" w:lineRule="auto"/>
              <w:jc w:val="left"/>
              <w:rPr>
                <w:rFonts w:ascii="Times New Roman" w:hAnsi="Times New Roman" w:eastAsiaTheme="minorEastAsia"/>
                <w:color w:val="000000" w:themeColor="text1"/>
                <w:kern w:val="0"/>
                <w:sz w:val="21"/>
                <w14:textFill>
                  <w14:solidFill>
                    <w14:schemeClr w14:val="tx1"/>
                  </w14:solidFill>
                </w14:textFill>
              </w:rPr>
            </w:pPr>
            <w:r>
              <w:rPr>
                <w:rFonts w:ascii="Times New Roman" w:hAnsi="Times New Roman" w:eastAsiaTheme="minorEastAsia"/>
                <w:color w:val="000000" w:themeColor="text1"/>
                <w:kern w:val="0"/>
                <w:sz w:val="21"/>
                <w14:textFill>
                  <w14:solidFill>
                    <w14:schemeClr w14:val="tx1"/>
                  </w14:solidFill>
                </w14:textFill>
              </w:rPr>
              <w:t>监测项目</w:t>
            </w:r>
          </w:p>
        </w:tc>
        <w:tc>
          <w:tcPr>
            <w:tcW w:w="1917" w:type="dxa"/>
            <w:vAlign w:val="center"/>
          </w:tcPr>
          <w:p>
            <w:pPr>
              <w:adjustRightInd w:val="0"/>
              <w:snapToGrid w:val="0"/>
              <w:spacing w:before="12" w:after="12" w:line="240" w:lineRule="auto"/>
              <w:jc w:val="center"/>
              <w:rPr>
                <w:rFonts w:ascii="Times New Roman" w:hAnsi="Times New Roman" w:eastAsiaTheme="minorEastAsia"/>
                <w:color w:val="000000" w:themeColor="text1"/>
                <w:kern w:val="0"/>
                <w:sz w:val="21"/>
                <w14:textFill>
                  <w14:solidFill>
                    <w14:schemeClr w14:val="tx1"/>
                  </w14:solidFill>
                </w14:textFill>
              </w:rPr>
            </w:pPr>
            <w:r>
              <w:rPr>
                <w:rFonts w:ascii="Times New Roman" w:hAnsi="Times New Roman" w:eastAsiaTheme="minorEastAsia"/>
                <w:color w:val="000000" w:themeColor="text1"/>
                <w:kern w:val="0"/>
                <w:sz w:val="21"/>
                <w14:textFill>
                  <w14:solidFill>
                    <w14:schemeClr w14:val="tx1"/>
                  </w14:solidFill>
                </w14:textFill>
              </w:rPr>
              <w:t>5#</w:t>
            </w:r>
          </w:p>
        </w:tc>
        <w:tc>
          <w:tcPr>
            <w:tcW w:w="1940" w:type="dxa"/>
            <w:vAlign w:val="center"/>
          </w:tcPr>
          <w:p>
            <w:pPr>
              <w:adjustRightInd w:val="0"/>
              <w:snapToGrid w:val="0"/>
              <w:spacing w:before="12" w:after="12" w:line="240" w:lineRule="auto"/>
              <w:jc w:val="center"/>
              <w:rPr>
                <w:rFonts w:ascii="Times New Roman" w:hAnsi="Times New Roman" w:eastAsiaTheme="minorEastAsia"/>
                <w:color w:val="000000" w:themeColor="text1"/>
                <w:kern w:val="0"/>
                <w:sz w:val="21"/>
                <w14:textFill>
                  <w14:solidFill>
                    <w14:schemeClr w14:val="tx1"/>
                  </w14:solidFill>
                </w14:textFill>
              </w:rPr>
            </w:pPr>
            <w:r>
              <w:rPr>
                <w:rFonts w:ascii="Times New Roman" w:hAnsi="Times New Roman" w:eastAsiaTheme="minorEastAsia"/>
                <w:color w:val="000000" w:themeColor="text1"/>
                <w:kern w:val="0"/>
                <w:sz w:val="21"/>
                <w14:textFill>
                  <w14:solidFill>
                    <w14:schemeClr w14:val="tx1"/>
                  </w14:solidFill>
                </w14:textFill>
              </w:rPr>
              <w:t>6#</w:t>
            </w:r>
          </w:p>
        </w:tc>
        <w:tc>
          <w:tcPr>
            <w:tcW w:w="1936" w:type="dxa"/>
            <w:vAlign w:val="center"/>
          </w:tcPr>
          <w:p>
            <w:pPr>
              <w:adjustRightInd w:val="0"/>
              <w:snapToGrid w:val="0"/>
              <w:spacing w:before="12" w:after="12" w:line="240" w:lineRule="auto"/>
              <w:jc w:val="center"/>
              <w:rPr>
                <w:rFonts w:ascii="Times New Roman" w:hAnsi="Times New Roman" w:eastAsiaTheme="minorEastAsia"/>
                <w:color w:val="000000" w:themeColor="text1"/>
                <w:kern w:val="0"/>
                <w:sz w:val="21"/>
                <w14:textFill>
                  <w14:solidFill>
                    <w14:schemeClr w14:val="tx1"/>
                  </w14:solidFill>
                </w14:textFill>
              </w:rPr>
            </w:pPr>
            <w:r>
              <w:rPr>
                <w:rFonts w:ascii="Times New Roman" w:hAnsi="Times New Roman" w:eastAsiaTheme="minorEastAsia"/>
                <w:color w:val="000000" w:themeColor="text1"/>
                <w:kern w:val="0"/>
                <w:sz w:val="21"/>
                <w14:textFill>
                  <w14:solidFill>
                    <w14:schemeClr w14:val="tx1"/>
                  </w14:solidFill>
                </w14:textFill>
              </w:rPr>
              <w:t>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restart"/>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氨</w:t>
            </w: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浓度范围</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w:t>
            </w:r>
            <w:r>
              <w:rPr>
                <w:rFonts w:hint="eastAsia" w:ascii="Times New Roman" w:hAnsi="Times New Roman" w:eastAsiaTheme="minorEastAsia"/>
                <w:kern w:val="0"/>
                <w:sz w:val="21"/>
              </w:rPr>
              <w:t>10</w:t>
            </w:r>
            <w:r>
              <w:rPr>
                <w:rFonts w:ascii="Times New Roman" w:hAnsi="Times New Roman" w:eastAsiaTheme="minorEastAsia"/>
                <w:kern w:val="0"/>
                <w:sz w:val="21"/>
              </w:rPr>
              <w:t>~0.</w:t>
            </w:r>
            <w:r>
              <w:rPr>
                <w:rFonts w:hint="eastAsia" w:ascii="Times New Roman" w:hAnsi="Times New Roman" w:eastAsiaTheme="minorEastAsia"/>
                <w:kern w:val="0"/>
                <w:sz w:val="21"/>
              </w:rPr>
              <w:t>18</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w:t>
            </w:r>
            <w:r>
              <w:rPr>
                <w:rFonts w:hint="eastAsia" w:ascii="Times New Roman" w:hAnsi="Times New Roman" w:eastAsiaTheme="minorEastAsia"/>
                <w:kern w:val="0"/>
                <w:sz w:val="21"/>
              </w:rPr>
              <w:t>10</w:t>
            </w:r>
            <w:r>
              <w:rPr>
                <w:rFonts w:ascii="Times New Roman" w:hAnsi="Times New Roman" w:eastAsiaTheme="minorEastAsia"/>
                <w:kern w:val="0"/>
                <w:sz w:val="21"/>
              </w:rPr>
              <w:t>~0.</w:t>
            </w:r>
            <w:r>
              <w:rPr>
                <w:rFonts w:hint="eastAsia" w:ascii="Times New Roman" w:hAnsi="Times New Roman" w:eastAsiaTheme="minorEastAsia"/>
                <w:kern w:val="0"/>
                <w:sz w:val="21"/>
              </w:rPr>
              <w:t>17</w:t>
            </w:r>
          </w:p>
        </w:tc>
        <w:tc>
          <w:tcPr>
            <w:tcW w:w="193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w:t>
            </w:r>
            <w:r>
              <w:rPr>
                <w:rFonts w:hint="eastAsia" w:ascii="Times New Roman" w:hAnsi="Times New Roman" w:eastAsiaTheme="minorEastAsia"/>
                <w:kern w:val="0"/>
                <w:sz w:val="21"/>
              </w:rPr>
              <w:t>08</w:t>
            </w:r>
            <w:r>
              <w:rPr>
                <w:rFonts w:ascii="Times New Roman" w:hAnsi="Times New Roman" w:eastAsiaTheme="minorEastAsia"/>
                <w:kern w:val="0"/>
                <w:sz w:val="21"/>
              </w:rPr>
              <w:t>~0.</w:t>
            </w:r>
            <w:r>
              <w:rPr>
                <w:rFonts w:hint="eastAsia" w:ascii="Times New Roman" w:hAnsi="Times New Roman" w:eastAsiaTheme="minorEastAsia"/>
                <w:kern w:val="0"/>
                <w:sz w:val="21"/>
              </w:rPr>
              <w:t>1</w:t>
            </w:r>
            <w:r>
              <w:rPr>
                <w:rFonts w:ascii="Times New Roman" w:hAnsi="Times New Roman" w:eastAsiaTheme="minorEastAsia"/>
                <w:kern w:val="0"/>
                <w:sz w:val="21"/>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continue"/>
            <w:vAlign w:val="center"/>
          </w:tcPr>
          <w:p>
            <w:pPr>
              <w:adjustRightInd w:val="0"/>
              <w:snapToGrid w:val="0"/>
              <w:spacing w:before="12" w:after="12" w:line="240" w:lineRule="auto"/>
              <w:jc w:val="center"/>
              <w:rPr>
                <w:rFonts w:ascii="Times New Roman" w:hAnsi="Times New Roman" w:eastAsiaTheme="minorEastAsia"/>
                <w:kern w:val="0"/>
                <w:sz w:val="21"/>
              </w:rPr>
            </w:pP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标准值（1h平均）</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0.2</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0.2</w:t>
            </w:r>
          </w:p>
        </w:tc>
        <w:tc>
          <w:tcPr>
            <w:tcW w:w="1936" w:type="dxa"/>
            <w:tcBorders>
              <w:bottom w:val="single" w:color="auto" w:sz="4" w:space="0"/>
            </w:tcBorders>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continue"/>
            <w:vAlign w:val="center"/>
          </w:tcPr>
          <w:p>
            <w:pPr>
              <w:adjustRightInd w:val="0"/>
              <w:snapToGrid w:val="0"/>
              <w:spacing w:before="12" w:after="12" w:line="240" w:lineRule="auto"/>
              <w:jc w:val="center"/>
              <w:rPr>
                <w:rFonts w:ascii="Times New Roman" w:hAnsi="Times New Roman" w:eastAsiaTheme="minorEastAsia"/>
                <w:kern w:val="0"/>
                <w:sz w:val="21"/>
              </w:rPr>
            </w:pP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最大浓度占标率</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hint="eastAsia" w:ascii="Times New Roman" w:hAnsi="Times New Roman" w:eastAsiaTheme="minorEastAsia"/>
                <w:kern w:val="0"/>
                <w:sz w:val="21"/>
              </w:rPr>
              <w:t>9</w:t>
            </w:r>
            <w:r>
              <w:rPr>
                <w:rFonts w:ascii="Times New Roman" w:hAnsi="Times New Roman" w:eastAsiaTheme="minorEastAsia"/>
                <w:kern w:val="0"/>
                <w:sz w:val="21"/>
              </w:rPr>
              <w:t>0%</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85%</w:t>
            </w:r>
          </w:p>
        </w:tc>
        <w:tc>
          <w:tcPr>
            <w:tcW w:w="1936" w:type="dxa"/>
            <w:tcBorders>
              <w:top w:val="single" w:color="auto" w:sz="4" w:space="0"/>
            </w:tcBorders>
            <w:vAlign w:val="center"/>
          </w:tcPr>
          <w:p>
            <w:pPr>
              <w:adjustRightInd w:val="0"/>
              <w:snapToGrid w:val="0"/>
              <w:spacing w:before="12" w:after="12" w:line="240" w:lineRule="auto"/>
              <w:jc w:val="center"/>
              <w:rPr>
                <w:rFonts w:ascii="Times New Roman" w:hAnsi="Times New Roman" w:eastAsiaTheme="minorEastAsia"/>
                <w:kern w:val="0"/>
                <w:sz w:val="21"/>
              </w:rPr>
            </w:pPr>
            <w:r>
              <w:rPr>
                <w:rFonts w:hint="eastAsia" w:ascii="Times New Roman" w:hAnsi="Times New Roman" w:eastAsiaTheme="minorEastAsia"/>
                <w:kern w:val="0"/>
                <w:sz w:val="21"/>
              </w:rPr>
              <w:t>75</w:t>
            </w:r>
            <w:r>
              <w:rPr>
                <w:rFonts w:ascii="Times New Roman" w:hAnsi="Times New Roman" w:eastAsiaTheme="minorEastAsia"/>
                <w:kern w:val="0"/>
                <w:sz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continue"/>
            <w:vAlign w:val="center"/>
          </w:tcPr>
          <w:p>
            <w:pPr>
              <w:adjustRightInd w:val="0"/>
              <w:snapToGrid w:val="0"/>
              <w:spacing w:before="12" w:after="12" w:line="240" w:lineRule="auto"/>
              <w:jc w:val="center"/>
              <w:rPr>
                <w:rFonts w:ascii="Times New Roman" w:hAnsi="Times New Roman" w:eastAsiaTheme="minorEastAsia"/>
                <w:kern w:val="0"/>
                <w:sz w:val="21"/>
              </w:rPr>
            </w:pP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超标率</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hint="eastAsia" w:ascii="Times New Roman" w:hAnsi="Times New Roman" w:eastAsiaTheme="minorEastAsia"/>
                <w:kern w:val="0"/>
                <w:sz w:val="21"/>
              </w:rPr>
              <w:t>0</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hint="eastAsia" w:ascii="Times New Roman" w:hAnsi="Times New Roman" w:eastAsiaTheme="minorEastAsia"/>
                <w:kern w:val="0"/>
                <w:sz w:val="21"/>
              </w:rPr>
              <w:t>0</w:t>
            </w:r>
          </w:p>
        </w:tc>
        <w:tc>
          <w:tcPr>
            <w:tcW w:w="193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hint="eastAsia" w:ascii="Times New Roman" w:hAnsi="Times New Roman" w:eastAsiaTheme="minorEastAsia"/>
                <w:kern w:val="0"/>
                <w:sz w:val="21"/>
              </w:rPr>
              <w:t>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restart"/>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硫化氢</w:t>
            </w: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浓度范围</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0.001L~0.001</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0.002~0.004</w:t>
            </w:r>
          </w:p>
        </w:tc>
        <w:tc>
          <w:tcPr>
            <w:tcW w:w="193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0.001L~0.002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continue"/>
            <w:vAlign w:val="center"/>
          </w:tcPr>
          <w:p>
            <w:pPr>
              <w:adjustRightInd w:val="0"/>
              <w:snapToGrid w:val="0"/>
              <w:spacing w:before="12" w:after="12" w:line="240" w:lineRule="auto"/>
              <w:jc w:val="center"/>
              <w:rPr>
                <w:rFonts w:ascii="Times New Roman" w:hAnsi="Times New Roman" w:eastAsiaTheme="minorEastAsia"/>
                <w:kern w:val="0"/>
                <w:sz w:val="21"/>
              </w:rPr>
            </w:pP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标准值（1h平均）</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0.01</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0.01</w:t>
            </w:r>
          </w:p>
        </w:tc>
        <w:tc>
          <w:tcPr>
            <w:tcW w:w="193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0.01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continue"/>
            <w:vAlign w:val="center"/>
          </w:tcPr>
          <w:p>
            <w:pPr>
              <w:adjustRightInd w:val="0"/>
              <w:snapToGrid w:val="0"/>
              <w:spacing w:before="12" w:after="12" w:line="240" w:lineRule="auto"/>
              <w:jc w:val="center"/>
              <w:rPr>
                <w:rFonts w:ascii="Times New Roman" w:hAnsi="Times New Roman" w:eastAsiaTheme="minorEastAsia"/>
                <w:kern w:val="0"/>
                <w:sz w:val="21"/>
              </w:rPr>
            </w:pP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最大浓度占标率</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10%</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40%</w:t>
            </w:r>
          </w:p>
        </w:tc>
        <w:tc>
          <w:tcPr>
            <w:tcW w:w="193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20%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87" w:type="dxa"/>
            <w:vMerge w:val="continue"/>
            <w:vAlign w:val="center"/>
          </w:tcPr>
          <w:p>
            <w:pPr>
              <w:adjustRightInd w:val="0"/>
              <w:snapToGrid w:val="0"/>
              <w:spacing w:before="12" w:after="12" w:line="240" w:lineRule="auto"/>
              <w:jc w:val="center"/>
              <w:rPr>
                <w:rFonts w:ascii="Times New Roman" w:hAnsi="Times New Roman" w:eastAsiaTheme="minorEastAsia"/>
                <w:kern w:val="0"/>
                <w:sz w:val="21"/>
              </w:rPr>
            </w:pPr>
          </w:p>
        </w:tc>
        <w:tc>
          <w:tcPr>
            <w:tcW w:w="184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超标率</w:t>
            </w:r>
          </w:p>
        </w:tc>
        <w:tc>
          <w:tcPr>
            <w:tcW w:w="1917"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w:t>
            </w:r>
          </w:p>
        </w:tc>
        <w:tc>
          <w:tcPr>
            <w:tcW w:w="194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w:t>
            </w:r>
          </w:p>
        </w:tc>
        <w:tc>
          <w:tcPr>
            <w:tcW w:w="193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0</w:t>
            </w:r>
          </w:p>
        </w:tc>
      </w:tr>
    </w:tbl>
    <w:p>
      <w:pPr>
        <w:spacing w:before="240"/>
        <w:ind w:firstLine="480" w:firstLineChars="200"/>
        <w:rPr>
          <w:rFonts w:ascii="Times New Roman" w:hAnsi="Times New Roman"/>
          <w:sz w:val="24"/>
          <w:szCs w:val="24"/>
        </w:rPr>
      </w:pPr>
      <w:r>
        <w:rPr>
          <w:rFonts w:ascii="Times New Roman" w:hAnsi="Times New Roman"/>
          <w:sz w:val="24"/>
          <w:szCs w:val="24"/>
        </w:rPr>
        <w:t>现状监测结果表明，各监测点的氨</w:t>
      </w:r>
      <w:r>
        <w:rPr>
          <w:rFonts w:hint="eastAsia" w:ascii="Times New Roman" w:hAnsi="Times New Roman"/>
          <w:sz w:val="24"/>
          <w:szCs w:val="24"/>
        </w:rPr>
        <w:t>、</w:t>
      </w:r>
      <w:r>
        <w:rPr>
          <w:rFonts w:ascii="Times New Roman" w:hAnsi="Times New Roman"/>
          <w:sz w:val="24"/>
          <w:szCs w:val="24"/>
        </w:rPr>
        <w:t>硫化氢</w:t>
      </w:r>
      <w:r>
        <w:rPr>
          <w:rFonts w:hint="eastAsia" w:ascii="Times New Roman" w:hAnsi="Times New Roman"/>
          <w:sz w:val="24"/>
          <w:szCs w:val="24"/>
        </w:rPr>
        <w:t>监测值</w:t>
      </w:r>
      <w:r>
        <w:rPr>
          <w:rFonts w:ascii="Times New Roman" w:hAnsi="Times New Roman"/>
          <w:sz w:val="24"/>
          <w:szCs w:val="24"/>
        </w:rPr>
        <w:t>均满足《环境影响评价技术导则-大气环境》（HJ2.2-2018）附录D相应浓度限值要求。</w:t>
      </w:r>
    </w:p>
    <w:p>
      <w:pPr>
        <w:pStyle w:val="108"/>
      </w:pPr>
      <w:bookmarkStart w:id="152" w:name="_Toc9873350"/>
      <w:bookmarkStart w:id="153" w:name="_Toc366362954"/>
      <w:bookmarkStart w:id="154" w:name="_Toc366489559"/>
      <w:bookmarkStart w:id="155" w:name="_Toc366503604"/>
      <w:bookmarkStart w:id="156" w:name="_Toc370717548"/>
      <w:r>
        <w:t>3.3.2　地表水环境质量现状调查与评价</w:t>
      </w:r>
      <w:bookmarkEnd w:id="152"/>
      <w:bookmarkEnd w:id="153"/>
      <w:bookmarkEnd w:id="154"/>
      <w:bookmarkEnd w:id="155"/>
      <w:bookmarkEnd w:id="156"/>
    </w:p>
    <w:p>
      <w:pPr>
        <w:rPr>
          <w:rFonts w:ascii="Times New Roman" w:hAnsi="Times New Roman"/>
          <w:sz w:val="24"/>
          <w:szCs w:val="24"/>
        </w:rPr>
      </w:pPr>
      <w:r>
        <w:rPr>
          <w:rFonts w:ascii="Times New Roman" w:hAnsi="Times New Roman"/>
          <w:sz w:val="24"/>
          <w:szCs w:val="24"/>
        </w:rPr>
        <w:t xml:space="preserve">     本项目采用现状监测的方法对区域地表水斜江河环境质量进行现状评价。</w:t>
      </w:r>
    </w:p>
    <w:p>
      <w:pPr>
        <w:keepNext/>
        <w:keepLines/>
        <w:spacing w:before="120"/>
        <w:outlineLvl w:val="3"/>
        <w:rPr>
          <w:rFonts w:ascii="Times New Roman" w:hAnsi="Times New Roman"/>
          <w:b/>
          <w:bCs/>
          <w:sz w:val="24"/>
          <w:szCs w:val="28"/>
        </w:rPr>
      </w:pPr>
      <w:bookmarkStart w:id="157" w:name="_Toc370717549"/>
      <w:bookmarkStart w:id="158" w:name="_Toc366489560"/>
      <w:bookmarkStart w:id="159" w:name="_Toc366503605"/>
      <w:r>
        <w:rPr>
          <w:rFonts w:ascii="Times New Roman" w:hAnsi="Times New Roman"/>
          <w:b/>
          <w:bCs/>
          <w:sz w:val="24"/>
          <w:szCs w:val="28"/>
        </w:rPr>
        <w:t>3.3.2.1 监测因子</w:t>
      </w:r>
      <w:bookmarkEnd w:id="157"/>
      <w:bookmarkEnd w:id="158"/>
      <w:bookmarkEnd w:id="159"/>
    </w:p>
    <w:p>
      <w:pPr>
        <w:ind w:firstLine="480" w:firstLineChars="200"/>
        <w:rPr>
          <w:rFonts w:ascii="Times New Roman" w:hAnsi="Times New Roman"/>
          <w:sz w:val="24"/>
          <w:szCs w:val="24"/>
        </w:rPr>
      </w:pPr>
      <w:r>
        <w:rPr>
          <w:rFonts w:ascii="Times New Roman" w:hAnsi="Times New Roman"/>
          <w:sz w:val="24"/>
          <w:szCs w:val="24"/>
        </w:rPr>
        <w:t>现状监测因子：pH、DO、COD、BOD、氨氮、总磷、总氮、粪大肠菌群</w:t>
      </w:r>
    </w:p>
    <w:p>
      <w:pPr>
        <w:keepNext/>
        <w:keepLines/>
        <w:spacing w:before="120"/>
        <w:outlineLvl w:val="3"/>
        <w:rPr>
          <w:rFonts w:ascii="Times New Roman" w:hAnsi="Times New Roman"/>
          <w:b/>
          <w:bCs/>
          <w:sz w:val="24"/>
          <w:szCs w:val="28"/>
        </w:rPr>
      </w:pPr>
      <w:bookmarkStart w:id="160" w:name="_Toc370717550"/>
      <w:bookmarkStart w:id="161" w:name="_Toc366489561"/>
      <w:bookmarkStart w:id="162" w:name="_Toc366503606"/>
      <w:r>
        <w:rPr>
          <w:rFonts w:ascii="Times New Roman" w:hAnsi="Times New Roman"/>
          <w:b/>
          <w:bCs/>
          <w:sz w:val="24"/>
          <w:szCs w:val="28"/>
        </w:rPr>
        <w:t>3.3.2.2 监测布点、监测时间、监测方法</w:t>
      </w:r>
      <w:bookmarkEnd w:id="160"/>
      <w:bookmarkEnd w:id="161"/>
      <w:bookmarkEnd w:id="162"/>
    </w:p>
    <w:p>
      <w:pPr>
        <w:ind w:firstLine="482" w:firstLineChars="200"/>
        <w:rPr>
          <w:rFonts w:ascii="Times New Roman" w:hAnsi="Times New Roman"/>
          <w:b/>
          <w:sz w:val="24"/>
          <w:szCs w:val="24"/>
        </w:rPr>
      </w:pPr>
      <w:r>
        <w:rPr>
          <w:rFonts w:ascii="Times New Roman" w:hAnsi="Times New Roman"/>
          <w:b/>
          <w:sz w:val="24"/>
          <w:szCs w:val="24"/>
        </w:rPr>
        <w:t>（1）监测布点</w:t>
      </w:r>
    </w:p>
    <w:p>
      <w:pPr>
        <w:ind w:firstLine="480" w:firstLineChars="200"/>
        <w:rPr>
          <w:rFonts w:ascii="Times New Roman" w:hAnsi="Times New Roman"/>
          <w:sz w:val="24"/>
          <w:szCs w:val="24"/>
        </w:rPr>
      </w:pPr>
      <w:r>
        <w:rPr>
          <w:rFonts w:ascii="Times New Roman" w:hAnsi="Times New Roman"/>
          <w:sz w:val="24"/>
          <w:szCs w:val="24"/>
        </w:rPr>
        <w:t>现状监测布点见表3.3-3，具体点位详见附图5。</w:t>
      </w:r>
    </w:p>
    <w:p>
      <w:pPr>
        <w:spacing w:line="240" w:lineRule="auto"/>
        <w:jc w:val="center"/>
        <w:rPr>
          <w:rFonts w:ascii="Times New Roman" w:hAnsi="Times New Roman" w:eastAsia="黑体"/>
          <w:sz w:val="24"/>
          <w:szCs w:val="24"/>
        </w:rPr>
      </w:pPr>
      <w:r>
        <w:rPr>
          <w:rFonts w:ascii="Times New Roman" w:hAnsi="Times New Roman" w:eastAsia="黑体"/>
          <w:sz w:val="21"/>
          <w:szCs w:val="24"/>
        </w:rPr>
        <w:t>表3.3-3　 环境空气现状监测布点位置</w:t>
      </w:r>
    </w:p>
    <w:tbl>
      <w:tblPr>
        <w:tblStyle w:val="90"/>
        <w:tblW w:w="8340"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154"/>
        <w:gridCol w:w="3676"/>
        <w:gridCol w:w="251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54"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序号</w:t>
            </w:r>
          </w:p>
        </w:tc>
        <w:tc>
          <w:tcPr>
            <w:tcW w:w="36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监测点位置</w:t>
            </w:r>
          </w:p>
        </w:tc>
        <w:tc>
          <w:tcPr>
            <w:tcW w:w="2510"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地表水名称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54"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断面I</w:t>
            </w:r>
          </w:p>
        </w:tc>
        <w:tc>
          <w:tcPr>
            <w:tcW w:w="3676" w:type="dxa"/>
            <w:vAlign w:val="center"/>
          </w:tcPr>
          <w:p>
            <w:pPr>
              <w:adjustRightInd w:val="0"/>
              <w:snapToGrid w:val="0"/>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项目地上游500m处</w:t>
            </w:r>
          </w:p>
        </w:tc>
        <w:tc>
          <w:tcPr>
            <w:tcW w:w="2510" w:type="dxa"/>
            <w:vMerge w:val="restart"/>
            <w:vAlign w:val="center"/>
          </w:tcPr>
          <w:p>
            <w:pPr>
              <w:adjustRightInd w:val="0"/>
              <w:snapToGrid w:val="0"/>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斜江河</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54"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断面II</w:t>
            </w:r>
          </w:p>
        </w:tc>
        <w:tc>
          <w:tcPr>
            <w:tcW w:w="3676" w:type="dxa"/>
            <w:vAlign w:val="center"/>
          </w:tcPr>
          <w:p>
            <w:pPr>
              <w:adjustRightInd w:val="0"/>
              <w:snapToGrid w:val="0"/>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项目地下游1000m处</w:t>
            </w:r>
          </w:p>
        </w:tc>
        <w:tc>
          <w:tcPr>
            <w:tcW w:w="2510" w:type="dxa"/>
            <w:vMerge w:val="continue"/>
            <w:vAlign w:val="center"/>
          </w:tcPr>
          <w:p>
            <w:pPr>
              <w:adjustRightInd w:val="0"/>
              <w:snapToGrid w:val="0"/>
              <w:spacing w:line="276" w:lineRule="auto"/>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54"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断面III</w:t>
            </w:r>
          </w:p>
        </w:tc>
        <w:tc>
          <w:tcPr>
            <w:tcW w:w="3676" w:type="dxa"/>
            <w:vAlign w:val="center"/>
          </w:tcPr>
          <w:p>
            <w:pPr>
              <w:adjustRightInd w:val="0"/>
              <w:snapToGrid w:val="0"/>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项目地下游3000m处</w:t>
            </w:r>
          </w:p>
        </w:tc>
        <w:tc>
          <w:tcPr>
            <w:tcW w:w="2510" w:type="dxa"/>
            <w:vMerge w:val="continue"/>
            <w:vAlign w:val="center"/>
          </w:tcPr>
          <w:p>
            <w:pPr>
              <w:adjustRightInd w:val="0"/>
              <w:snapToGrid w:val="0"/>
              <w:spacing w:line="276" w:lineRule="auto"/>
              <w:jc w:val="center"/>
              <w:rPr>
                <w:rFonts w:ascii="Times New Roman" w:hAnsi="Times New Roman" w:eastAsiaTheme="minorEastAsia"/>
                <w:sz w:val="21"/>
                <w:szCs w:val="21"/>
              </w:rPr>
            </w:pPr>
          </w:p>
        </w:tc>
      </w:tr>
    </w:tbl>
    <w:p>
      <w:pPr>
        <w:spacing w:before="240"/>
        <w:ind w:firstLine="482" w:firstLineChars="200"/>
        <w:rPr>
          <w:rFonts w:ascii="Times New Roman" w:hAnsi="Times New Roman"/>
          <w:b/>
          <w:sz w:val="24"/>
          <w:szCs w:val="24"/>
        </w:rPr>
      </w:pPr>
      <w:r>
        <w:rPr>
          <w:rFonts w:ascii="Times New Roman" w:hAnsi="Times New Roman"/>
          <w:b/>
          <w:sz w:val="24"/>
          <w:szCs w:val="24"/>
        </w:rPr>
        <w:t>（2）监测时间</w:t>
      </w:r>
    </w:p>
    <w:p>
      <w:pPr>
        <w:ind w:firstLine="480" w:firstLineChars="200"/>
        <w:rPr>
          <w:rFonts w:ascii="Times New Roman" w:hAnsi="Times New Roman"/>
          <w:sz w:val="24"/>
          <w:szCs w:val="24"/>
        </w:rPr>
      </w:pPr>
      <w:r>
        <w:rPr>
          <w:rFonts w:ascii="Times New Roman" w:hAnsi="Times New Roman"/>
          <w:sz w:val="24"/>
          <w:szCs w:val="24"/>
        </w:rPr>
        <w:t>监测时间：2019年2月27日~3月1日，连续采样3天；</w:t>
      </w:r>
    </w:p>
    <w:p>
      <w:pPr>
        <w:ind w:firstLine="482" w:firstLineChars="200"/>
        <w:rPr>
          <w:rFonts w:ascii="Times New Roman" w:hAnsi="Times New Roman"/>
          <w:b/>
          <w:sz w:val="24"/>
          <w:szCs w:val="24"/>
        </w:rPr>
      </w:pPr>
      <w:r>
        <w:rPr>
          <w:rFonts w:ascii="Times New Roman" w:hAnsi="Times New Roman"/>
          <w:b/>
          <w:sz w:val="24"/>
          <w:szCs w:val="24"/>
        </w:rPr>
        <w:t>（3）监测方法</w:t>
      </w:r>
    </w:p>
    <w:p>
      <w:pPr>
        <w:ind w:firstLine="480" w:firstLineChars="200"/>
        <w:contextualSpacing/>
        <w:rPr>
          <w:rFonts w:ascii="Times New Roman" w:hAnsi="Times New Roman"/>
          <w:sz w:val="24"/>
          <w:szCs w:val="24"/>
        </w:rPr>
      </w:pPr>
      <w:r>
        <w:rPr>
          <w:rFonts w:ascii="Times New Roman" w:hAnsi="Times New Roman"/>
          <w:sz w:val="24"/>
          <w:szCs w:val="24"/>
        </w:rPr>
        <w:t>连续3天，每天采样一次。具体监测及分析方法按《地表水及污水监测技术规范》(HJ/T92-2002)以及“环评导则”技术要求和《地表水环境质量标准》（GB3838－2002）中选配的方法进行。</w:t>
      </w:r>
    </w:p>
    <w:p>
      <w:pPr>
        <w:keepNext/>
        <w:keepLines/>
        <w:contextualSpacing/>
        <w:outlineLvl w:val="3"/>
        <w:rPr>
          <w:rFonts w:ascii="Times New Roman" w:hAnsi="Times New Roman"/>
          <w:b/>
          <w:bCs/>
          <w:sz w:val="24"/>
          <w:szCs w:val="28"/>
        </w:rPr>
      </w:pPr>
      <w:r>
        <w:rPr>
          <w:rFonts w:ascii="Times New Roman" w:hAnsi="Times New Roman"/>
          <w:b/>
          <w:bCs/>
          <w:sz w:val="24"/>
          <w:szCs w:val="28"/>
        </w:rPr>
        <w:t>3.3.2.3 评价因子、评价标准及评价方法</w:t>
      </w:r>
    </w:p>
    <w:p>
      <w:pPr>
        <w:keepNext/>
        <w:keepLines/>
        <w:ind w:firstLine="482" w:firstLineChars="200"/>
        <w:contextualSpacing/>
        <w:rPr>
          <w:rFonts w:ascii="Times New Roman" w:hAnsi="Times New Roman"/>
          <w:sz w:val="24"/>
          <w:szCs w:val="24"/>
        </w:rPr>
      </w:pPr>
      <w:r>
        <w:rPr>
          <w:rFonts w:ascii="Times New Roman" w:hAnsi="Times New Roman"/>
          <w:b/>
          <w:bCs/>
          <w:sz w:val="24"/>
          <w:szCs w:val="24"/>
          <w:lang w:val="zh-CN"/>
        </w:rPr>
        <w:t>（1）评价因子：</w:t>
      </w:r>
      <w:r>
        <w:rPr>
          <w:rFonts w:ascii="Times New Roman" w:hAnsi="Times New Roman"/>
          <w:sz w:val="24"/>
          <w:szCs w:val="24"/>
        </w:rPr>
        <w:t>pH、DO、COD、BOD、氨氮、总磷、总氮、粪大肠菌群</w:t>
      </w:r>
      <w:r>
        <w:rPr>
          <w:rFonts w:ascii="Times New Roman" w:hAnsi="Times New Roman"/>
          <w:kern w:val="0"/>
          <w:sz w:val="24"/>
          <w:szCs w:val="24"/>
        </w:rPr>
        <w:t>。</w:t>
      </w:r>
    </w:p>
    <w:p>
      <w:pPr>
        <w:keepNext/>
        <w:keepLines/>
        <w:ind w:firstLine="482" w:firstLineChars="200"/>
        <w:contextualSpacing/>
        <w:rPr>
          <w:rFonts w:ascii="Times New Roman" w:hAnsi="Times New Roman"/>
          <w:b/>
          <w:bCs/>
          <w:sz w:val="24"/>
          <w:szCs w:val="24"/>
          <w:lang w:val="zh-CN"/>
        </w:rPr>
      </w:pPr>
      <w:r>
        <w:rPr>
          <w:rFonts w:ascii="Times New Roman" w:hAnsi="Times New Roman"/>
          <w:b/>
          <w:bCs/>
          <w:sz w:val="24"/>
          <w:szCs w:val="24"/>
          <w:lang w:val="zh-CN"/>
        </w:rPr>
        <w:t>（2）评价标准</w:t>
      </w:r>
    </w:p>
    <w:p>
      <w:pPr>
        <w:ind w:firstLine="480" w:firstLineChars="200"/>
        <w:contextualSpacing/>
        <w:rPr>
          <w:rFonts w:ascii="Times New Roman" w:hAnsi="Times New Roman"/>
          <w:sz w:val="24"/>
          <w:szCs w:val="24"/>
        </w:rPr>
      </w:pPr>
      <w:r>
        <w:rPr>
          <w:rFonts w:ascii="Times New Roman" w:hAnsi="Times New Roman"/>
          <w:sz w:val="24"/>
          <w:szCs w:val="24"/>
        </w:rPr>
        <w:t>地表水执行《地表水环境质量标准》（GB 3838-2002）中的III类标准。</w:t>
      </w:r>
    </w:p>
    <w:p>
      <w:pPr>
        <w:keepNext/>
        <w:keepLines/>
        <w:ind w:firstLine="482" w:firstLineChars="200"/>
        <w:contextualSpacing/>
        <w:rPr>
          <w:rFonts w:ascii="Times New Roman" w:hAnsi="Times New Roman"/>
          <w:b/>
          <w:bCs/>
          <w:sz w:val="24"/>
          <w:szCs w:val="24"/>
          <w:lang w:val="zh-CN"/>
        </w:rPr>
      </w:pPr>
      <w:r>
        <w:rPr>
          <w:rFonts w:ascii="Times New Roman" w:hAnsi="Times New Roman"/>
          <w:b/>
          <w:bCs/>
          <w:sz w:val="24"/>
          <w:szCs w:val="24"/>
          <w:lang w:val="zh-CN"/>
        </w:rPr>
        <w:t>（3）评价方法</w:t>
      </w:r>
    </w:p>
    <w:p>
      <w:pPr>
        <w:ind w:firstLine="480" w:firstLineChars="200"/>
        <w:contextualSpacing/>
        <w:rPr>
          <w:rFonts w:ascii="Times New Roman" w:hAnsi="Times New Roman"/>
          <w:kern w:val="0"/>
          <w:sz w:val="24"/>
          <w:szCs w:val="24"/>
        </w:rPr>
      </w:pPr>
      <w:r>
        <w:rPr>
          <w:rFonts w:ascii="Times New Roman" w:hAnsi="Times New Roman"/>
          <w:kern w:val="0"/>
          <w:sz w:val="24"/>
          <w:szCs w:val="24"/>
        </w:rPr>
        <w:t>采用单项标准指数法评价，其数学模式如下：</w:t>
      </w:r>
    </w:p>
    <w:p>
      <w:pPr>
        <w:spacing w:line="408" w:lineRule="auto"/>
        <w:ind w:firstLine="482" w:firstLineChars="200"/>
        <w:contextualSpacing/>
        <w:rPr>
          <w:rFonts w:ascii="Times New Roman" w:hAnsi="Times New Roman"/>
          <w:b/>
          <w:bCs/>
          <w:kern w:val="0"/>
          <w:sz w:val="24"/>
          <w:szCs w:val="24"/>
        </w:rPr>
      </w:pPr>
      <w:r>
        <w:rPr>
          <w:rFonts w:ascii="Times New Roman" w:hAnsi="Times New Roman"/>
          <w:b/>
          <w:bCs/>
          <w:kern w:val="0"/>
          <w:sz w:val="24"/>
          <w:szCs w:val="24"/>
        </w:rPr>
        <w:pict>
          <v:shape id="_x0000_s1029" o:spid="_x0000_s1029" o:spt="75" type="#_x0000_t75" style="position:absolute;left:0pt;margin-left:132.1pt;margin-top:11.9pt;height:36.95pt;width:47.05pt;z-index:251659264;mso-width-relative:page;mso-height-relative:page;" o:ole="t" filled="f" o:preferrelative="t" stroked="f" coordsize="21600,21600">
            <v:path/>
            <v:fill on="f" focussize="0,0"/>
            <v:stroke on="f" joinstyle="miter"/>
            <v:imagedata r:id="rId30" o:title=""/>
            <o:lock v:ext="edit" aspectratio="t"/>
          </v:shape>
          <o:OLEObject Type="Embed" ProgID="Equation.3" ShapeID="_x0000_s1029" DrawAspect="Content" ObjectID="_1468075726" r:id="rId29">
            <o:LockedField>false</o:LockedField>
          </o:OLEObject>
        </w:pict>
      </w:r>
      <w:r>
        <w:rPr>
          <w:rFonts w:ascii="Times New Roman" w:hAnsi="Times New Roman"/>
          <w:b/>
          <w:bCs/>
          <w:kern w:val="0"/>
          <w:sz w:val="24"/>
          <w:szCs w:val="24"/>
        </w:rPr>
        <w:t>一般污染物：</w:t>
      </w:r>
    </w:p>
    <w:p>
      <w:pPr>
        <w:spacing w:line="408" w:lineRule="auto"/>
        <w:ind w:firstLine="480" w:firstLineChars="200"/>
        <w:contextualSpacing/>
        <w:rPr>
          <w:rFonts w:ascii="Times New Roman" w:hAnsi="Times New Roman"/>
          <w:kern w:val="0"/>
          <w:sz w:val="24"/>
          <w:szCs w:val="24"/>
        </w:rPr>
      </w:pPr>
    </w:p>
    <w:p>
      <w:pPr>
        <w:spacing w:line="408" w:lineRule="auto"/>
        <w:ind w:firstLine="480" w:firstLineChars="200"/>
        <w:contextualSpacing/>
        <w:rPr>
          <w:rFonts w:ascii="Times New Roman" w:hAnsi="Times New Roman"/>
          <w:kern w:val="0"/>
          <w:sz w:val="24"/>
          <w:szCs w:val="24"/>
        </w:rPr>
      </w:pPr>
      <w:r>
        <w:rPr>
          <w:rFonts w:ascii="Times New Roman" w:hAnsi="Times New Roman"/>
          <w:kern w:val="0"/>
          <w:sz w:val="24"/>
          <w:szCs w:val="24"/>
        </w:rPr>
        <w:t>式中：S</w:t>
      </w:r>
      <w:r>
        <w:rPr>
          <w:rFonts w:ascii="Times New Roman" w:hAnsi="Times New Roman"/>
          <w:kern w:val="0"/>
          <w:sz w:val="24"/>
          <w:szCs w:val="24"/>
          <w:vertAlign w:val="subscript"/>
        </w:rPr>
        <w:t>ij</w:t>
      </w:r>
      <w:r>
        <w:rPr>
          <w:rFonts w:ascii="Times New Roman" w:hAnsi="Times New Roman"/>
          <w:kern w:val="0"/>
          <w:sz w:val="24"/>
          <w:szCs w:val="24"/>
        </w:rPr>
        <w:t>——I污染物在监测点j的标准指数；</w:t>
      </w:r>
    </w:p>
    <w:p>
      <w:pPr>
        <w:spacing w:line="408" w:lineRule="auto"/>
        <w:ind w:firstLine="1200" w:firstLineChars="500"/>
        <w:contextualSpacing/>
        <w:rPr>
          <w:rFonts w:ascii="Times New Roman" w:hAnsi="Times New Roman"/>
          <w:kern w:val="0"/>
          <w:sz w:val="24"/>
          <w:szCs w:val="24"/>
        </w:rPr>
      </w:pPr>
      <w:r>
        <w:rPr>
          <w:rFonts w:ascii="Times New Roman" w:hAnsi="Times New Roman"/>
          <w:kern w:val="0"/>
          <w:sz w:val="24"/>
          <w:szCs w:val="24"/>
        </w:rPr>
        <w:t>C</w:t>
      </w:r>
      <w:r>
        <w:rPr>
          <w:rFonts w:ascii="Times New Roman" w:hAnsi="Times New Roman"/>
          <w:kern w:val="0"/>
          <w:sz w:val="24"/>
          <w:szCs w:val="24"/>
          <w:vertAlign w:val="subscript"/>
        </w:rPr>
        <w:t>ij</w:t>
      </w:r>
      <w:r>
        <w:rPr>
          <w:rFonts w:ascii="Times New Roman" w:hAnsi="Times New Roman"/>
          <w:kern w:val="0"/>
          <w:sz w:val="24"/>
          <w:szCs w:val="24"/>
        </w:rPr>
        <w:t>——I污染物在监测点j的浓度值（mg/L）；</w:t>
      </w:r>
    </w:p>
    <w:p>
      <w:pPr>
        <w:spacing w:line="408" w:lineRule="auto"/>
        <w:ind w:firstLine="1200" w:firstLineChars="500"/>
        <w:contextualSpacing/>
        <w:rPr>
          <w:rFonts w:ascii="Times New Roman" w:hAnsi="Times New Roman"/>
          <w:kern w:val="0"/>
          <w:sz w:val="24"/>
          <w:szCs w:val="24"/>
        </w:rPr>
      </w:pPr>
      <w:r>
        <w:rPr>
          <w:rFonts w:ascii="Times New Roman" w:hAnsi="Times New Roman"/>
          <w:kern w:val="0"/>
          <w:sz w:val="24"/>
          <w:szCs w:val="24"/>
        </w:rPr>
        <w:t>C</w:t>
      </w:r>
      <w:r>
        <w:rPr>
          <w:rFonts w:ascii="Times New Roman" w:hAnsi="Times New Roman"/>
          <w:kern w:val="0"/>
          <w:sz w:val="24"/>
          <w:szCs w:val="24"/>
          <w:vertAlign w:val="subscript"/>
        </w:rPr>
        <w:t>si</w:t>
      </w:r>
      <w:r>
        <w:rPr>
          <w:rFonts w:ascii="Times New Roman" w:hAnsi="Times New Roman"/>
          <w:kern w:val="0"/>
          <w:sz w:val="24"/>
          <w:szCs w:val="24"/>
        </w:rPr>
        <w:t>——I污染物的水环境质量标准值（mg/L）。</w:t>
      </w:r>
    </w:p>
    <w:p>
      <w:pPr>
        <w:spacing w:line="408" w:lineRule="auto"/>
        <w:ind w:firstLine="482" w:firstLineChars="200"/>
        <w:contextualSpacing/>
        <w:rPr>
          <w:rFonts w:ascii="Times New Roman" w:hAnsi="Times New Roman"/>
          <w:b/>
          <w:bCs/>
          <w:kern w:val="0"/>
          <w:sz w:val="24"/>
          <w:szCs w:val="24"/>
        </w:rPr>
      </w:pPr>
      <w:r>
        <w:rPr>
          <w:rFonts w:ascii="Times New Roman" w:hAnsi="Times New Roman"/>
          <w:b/>
          <w:bCs/>
          <w:kern w:val="0"/>
          <w:sz w:val="24"/>
          <w:szCs w:val="24"/>
        </w:rPr>
        <w:pict>
          <v:shape id="_x0000_s1030" o:spid="_x0000_s1030" o:spt="75" type="#_x0000_t75" style="position:absolute;left:0pt;margin-left:117.2pt;margin-top:4.75pt;height:70pt;width:98.1pt;z-index:251660288;mso-width-relative:page;mso-height-relative:page;" o:ole="t" filled="f" o:preferrelative="t" stroked="f" coordsize="21600,21600">
            <v:path/>
            <v:fill on="f" focussize="0,0"/>
            <v:stroke on="f" joinstyle="miter"/>
            <v:imagedata r:id="rId32" o:title=""/>
            <o:lock v:ext="edit" aspectratio="t"/>
          </v:shape>
          <o:OLEObject Type="Embed" ProgID="Equation.3" ShapeID="_x0000_s1030" DrawAspect="Content" ObjectID="_1468075727" r:id="rId31">
            <o:LockedField>false</o:LockedField>
          </o:OLEObject>
        </w:pict>
      </w:r>
      <w:r>
        <w:rPr>
          <w:rFonts w:ascii="Times New Roman" w:hAnsi="Times New Roman"/>
          <w:b/>
          <w:bCs/>
          <w:kern w:val="0"/>
          <w:sz w:val="24"/>
          <w:szCs w:val="24"/>
        </w:rPr>
        <w:t xml:space="preserve">pH：                              </w:t>
      </w:r>
    </w:p>
    <w:p>
      <w:pPr>
        <w:spacing w:line="408" w:lineRule="auto"/>
        <w:ind w:firstLine="5874" w:firstLineChars="2438"/>
        <w:contextualSpacing/>
        <w:rPr>
          <w:rFonts w:ascii="Times New Roman" w:hAnsi="Times New Roman"/>
          <w:b/>
          <w:bCs/>
          <w:kern w:val="0"/>
          <w:sz w:val="24"/>
          <w:szCs w:val="24"/>
          <w:vertAlign w:val="subscript"/>
        </w:rPr>
      </w:pPr>
      <w:r>
        <w:rPr>
          <w:rFonts w:ascii="Times New Roman" w:hAnsi="Times New Roman"/>
          <w:b/>
          <w:bCs/>
          <w:kern w:val="0"/>
          <w:sz w:val="24"/>
          <w:szCs w:val="24"/>
        </w:rPr>
        <w:t xml:space="preserve"> </w:t>
      </w:r>
      <w:r>
        <w:rPr>
          <w:rFonts w:ascii="Times New Roman" w:hAnsi="Times New Roman"/>
          <w:kern w:val="0"/>
          <w:sz w:val="24"/>
          <w:szCs w:val="24"/>
        </w:rPr>
        <w:t>pH</w:t>
      </w:r>
      <w:r>
        <w:rPr>
          <w:rFonts w:ascii="Times New Roman" w:hAnsi="Times New Roman"/>
          <w:kern w:val="0"/>
          <w:sz w:val="24"/>
          <w:szCs w:val="24"/>
          <w:vertAlign w:val="subscript"/>
        </w:rPr>
        <w:t>j</w:t>
      </w:r>
      <w:r>
        <w:rPr>
          <w:rFonts w:ascii="Times New Roman" w:hAnsi="Times New Roman"/>
          <w:kern w:val="0"/>
          <w:sz w:val="24"/>
          <w:szCs w:val="24"/>
        </w:rPr>
        <w:t>≤7.0</w:t>
      </w:r>
    </w:p>
    <w:p>
      <w:pPr>
        <w:spacing w:line="408" w:lineRule="auto"/>
        <w:ind w:firstLine="5851" w:firstLineChars="2438"/>
        <w:contextualSpacing/>
        <w:rPr>
          <w:rFonts w:ascii="Times New Roman" w:hAnsi="Times New Roman"/>
          <w:kern w:val="0"/>
          <w:sz w:val="24"/>
          <w:szCs w:val="24"/>
        </w:rPr>
      </w:pPr>
      <w:r>
        <w:rPr>
          <w:rFonts w:ascii="Times New Roman" w:hAnsi="Times New Roman"/>
          <w:kern w:val="0"/>
          <w:sz w:val="24"/>
          <w:szCs w:val="24"/>
        </w:rPr>
        <w:t xml:space="preserve"> pH</w:t>
      </w:r>
      <w:r>
        <w:rPr>
          <w:rFonts w:ascii="Times New Roman" w:hAnsi="Times New Roman"/>
          <w:kern w:val="0"/>
          <w:sz w:val="24"/>
          <w:szCs w:val="24"/>
          <w:vertAlign w:val="subscript"/>
        </w:rPr>
        <w:t>j</w:t>
      </w:r>
      <w:r>
        <w:rPr>
          <w:rFonts w:ascii="Times New Roman" w:hAnsi="Times New Roman"/>
          <w:kern w:val="0"/>
          <w:sz w:val="24"/>
          <w:szCs w:val="24"/>
        </w:rPr>
        <w:t>＞7.0</w:t>
      </w:r>
    </w:p>
    <w:p>
      <w:pPr>
        <w:ind w:firstLine="480" w:firstLineChars="200"/>
        <w:contextualSpacing/>
        <w:rPr>
          <w:rFonts w:ascii="Times New Roman" w:hAnsi="Times New Roman"/>
          <w:kern w:val="0"/>
          <w:sz w:val="24"/>
          <w:szCs w:val="24"/>
        </w:rPr>
      </w:pPr>
      <w:r>
        <w:rPr>
          <w:rFonts w:ascii="Times New Roman" w:hAnsi="Times New Roman"/>
          <w:kern w:val="0"/>
          <w:sz w:val="24"/>
          <w:szCs w:val="24"/>
        </w:rPr>
        <w:t>式中：pH</w:t>
      </w:r>
      <w:r>
        <w:rPr>
          <w:rFonts w:ascii="Times New Roman" w:hAnsi="Times New Roman"/>
          <w:kern w:val="0"/>
          <w:sz w:val="24"/>
          <w:szCs w:val="24"/>
          <w:vertAlign w:val="subscript"/>
        </w:rPr>
        <w:t>j</w:t>
      </w:r>
      <w:r>
        <w:rPr>
          <w:rFonts w:ascii="Times New Roman" w:hAnsi="Times New Roman"/>
          <w:kern w:val="0"/>
          <w:sz w:val="24"/>
          <w:szCs w:val="24"/>
        </w:rPr>
        <w:t>——监测点j的pH值；</w:t>
      </w:r>
    </w:p>
    <w:p>
      <w:pPr>
        <w:ind w:firstLine="1200" w:firstLineChars="500"/>
        <w:contextualSpacing/>
        <w:rPr>
          <w:rFonts w:ascii="Times New Roman" w:hAnsi="Times New Roman"/>
          <w:kern w:val="0"/>
          <w:sz w:val="24"/>
          <w:szCs w:val="24"/>
        </w:rPr>
      </w:pPr>
      <w:r>
        <w:rPr>
          <w:rFonts w:ascii="Times New Roman" w:hAnsi="Times New Roman"/>
          <w:kern w:val="0"/>
          <w:sz w:val="24"/>
          <w:szCs w:val="24"/>
        </w:rPr>
        <w:t>pH</w:t>
      </w:r>
      <w:r>
        <w:rPr>
          <w:rFonts w:ascii="Times New Roman" w:hAnsi="Times New Roman"/>
          <w:kern w:val="0"/>
          <w:sz w:val="24"/>
          <w:szCs w:val="24"/>
          <w:vertAlign w:val="subscript"/>
        </w:rPr>
        <w:t>sd</w:t>
      </w:r>
      <w:r>
        <w:rPr>
          <w:rFonts w:ascii="Times New Roman" w:hAnsi="Times New Roman"/>
          <w:kern w:val="0"/>
          <w:sz w:val="24"/>
          <w:szCs w:val="24"/>
        </w:rPr>
        <w:t>——水质标准pH下限值；</w:t>
      </w:r>
    </w:p>
    <w:p>
      <w:pPr>
        <w:snapToGrid w:val="0"/>
        <w:ind w:firstLine="1200" w:firstLineChars="500"/>
        <w:jc w:val="left"/>
        <w:rPr>
          <w:rFonts w:ascii="Times New Roman" w:hAnsi="Times New Roman"/>
          <w:bCs/>
          <w:snapToGrid w:val="0"/>
          <w:sz w:val="24"/>
          <w:szCs w:val="24"/>
        </w:rPr>
      </w:pPr>
      <w:r>
        <w:rPr>
          <w:rFonts w:ascii="Times New Roman" w:hAnsi="Times New Roman"/>
          <w:kern w:val="0"/>
          <w:sz w:val="24"/>
          <w:szCs w:val="24"/>
        </w:rPr>
        <w:t>pH</w:t>
      </w:r>
      <w:r>
        <w:rPr>
          <w:rFonts w:ascii="Times New Roman" w:hAnsi="Times New Roman"/>
          <w:kern w:val="0"/>
          <w:sz w:val="24"/>
          <w:szCs w:val="24"/>
          <w:vertAlign w:val="subscript"/>
        </w:rPr>
        <w:t>su</w:t>
      </w:r>
      <w:r>
        <w:rPr>
          <w:rFonts w:ascii="Times New Roman" w:hAnsi="Times New Roman"/>
          <w:kern w:val="0"/>
          <w:sz w:val="24"/>
          <w:szCs w:val="24"/>
        </w:rPr>
        <w:t>——水质标准pH的上限值。</w:t>
      </w:r>
    </w:p>
    <w:p>
      <w:pPr>
        <w:ind w:firstLine="482" w:firstLineChars="200"/>
        <w:contextualSpacing/>
        <w:rPr>
          <w:rFonts w:ascii="Times New Roman" w:hAnsi="Times New Roman"/>
          <w:b/>
          <w:bCs/>
          <w:kern w:val="0"/>
          <w:sz w:val="24"/>
          <w:szCs w:val="24"/>
        </w:rPr>
      </w:pPr>
      <w:r>
        <w:rPr>
          <w:rFonts w:ascii="Times New Roman" w:hAnsi="Times New Roman"/>
          <w:b/>
          <w:bCs/>
          <w:kern w:val="0"/>
          <w:sz w:val="24"/>
          <w:szCs w:val="24"/>
        </w:rPr>
        <w:t>溶解氧：</w:t>
      </w:r>
    </w:p>
    <w:p>
      <w:pPr>
        <w:snapToGrid w:val="0"/>
        <w:spacing w:line="480" w:lineRule="auto"/>
        <w:ind w:firstLine="480" w:firstLineChars="200"/>
        <w:jc w:val="center"/>
        <w:rPr>
          <w:rFonts w:ascii="Times New Roman" w:hAnsi="Times New Roman"/>
          <w:bCs/>
          <w:snapToGrid w:val="0"/>
          <w:sz w:val="24"/>
          <w:szCs w:val="24"/>
        </w:rPr>
      </w:pPr>
      <w:r>
        <w:rPr>
          <w:rFonts w:ascii="Times New Roman" w:hAnsi="Times New Roman"/>
          <w:bCs/>
          <w:snapToGrid w:val="0"/>
          <w:sz w:val="24"/>
          <w:szCs w:val="24"/>
        </w:rPr>
        <w:t>S</w:t>
      </w:r>
      <w:r>
        <w:rPr>
          <w:rFonts w:ascii="Times New Roman" w:hAnsi="Times New Roman"/>
          <w:bCs/>
          <w:snapToGrid w:val="0"/>
          <w:sz w:val="24"/>
          <w:szCs w:val="24"/>
          <w:vertAlign w:val="subscript"/>
        </w:rPr>
        <w:t>D0,1</w:t>
      </w:r>
      <w:r>
        <w:rPr>
          <w:rFonts w:ascii="Times New Roman" w:hAnsi="Times New Roman"/>
          <w:bCs/>
          <w:snapToGrid w:val="0"/>
          <w:sz w:val="24"/>
          <w:szCs w:val="24"/>
        </w:rPr>
        <w:t>＝</w:t>
      </w:r>
      <w:r>
        <w:rPr>
          <w:rFonts w:ascii="Times New Roman" w:hAnsi="Times New Roman"/>
          <w:bCs/>
          <w:sz w:val="24"/>
          <w:szCs w:val="24"/>
        </w:rPr>
        <w:drawing>
          <wp:inline distT="0" distB="0" distL="0" distR="0">
            <wp:extent cx="847725" cy="495300"/>
            <wp:effectExtent l="0" t="0" r="952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47725" cy="495300"/>
                    </a:xfrm>
                    <a:prstGeom prst="rect">
                      <a:avLst/>
                    </a:prstGeom>
                    <a:noFill/>
                    <a:ln>
                      <a:noFill/>
                    </a:ln>
                  </pic:spPr>
                </pic:pic>
              </a:graphicData>
            </a:graphic>
          </wp:inline>
        </w:drawing>
      </w:r>
      <w:r>
        <w:rPr>
          <w:rFonts w:ascii="Times New Roman" w:hAnsi="Times New Roman"/>
          <w:bCs/>
          <w:snapToGrid w:val="0"/>
          <w:sz w:val="24"/>
          <w:szCs w:val="24"/>
        </w:rPr>
        <w:t xml:space="preserve">          DO</w:t>
      </w:r>
      <w:r>
        <w:rPr>
          <w:rFonts w:ascii="Times New Roman" w:hAnsi="Times New Roman"/>
          <w:bCs/>
          <w:snapToGrid w:val="0"/>
          <w:sz w:val="24"/>
          <w:szCs w:val="24"/>
          <w:vertAlign w:val="subscript"/>
        </w:rPr>
        <w:t>j</w:t>
      </w:r>
      <w:r>
        <w:rPr>
          <w:rFonts w:ascii="Times New Roman" w:hAnsi="Times New Roman"/>
          <w:bCs/>
          <w:snapToGrid w:val="0"/>
          <w:sz w:val="24"/>
          <w:szCs w:val="24"/>
        </w:rPr>
        <w:t>≥DO</w:t>
      </w:r>
      <w:r>
        <w:rPr>
          <w:rFonts w:ascii="Times New Roman" w:hAnsi="Times New Roman"/>
          <w:bCs/>
          <w:snapToGrid w:val="0"/>
          <w:sz w:val="24"/>
          <w:szCs w:val="24"/>
          <w:vertAlign w:val="subscript"/>
        </w:rPr>
        <w:t>s</w:t>
      </w:r>
    </w:p>
    <w:p>
      <w:pPr>
        <w:snapToGrid w:val="0"/>
        <w:spacing w:line="480" w:lineRule="auto"/>
        <w:ind w:firstLine="480" w:firstLineChars="200"/>
        <w:jc w:val="center"/>
        <w:rPr>
          <w:rFonts w:ascii="Times New Roman" w:hAnsi="Times New Roman"/>
          <w:bCs/>
          <w:snapToGrid w:val="0"/>
          <w:sz w:val="24"/>
          <w:szCs w:val="24"/>
          <w:lang w:val="pt-BR"/>
        </w:rPr>
      </w:pPr>
      <w:r>
        <w:rPr>
          <w:rFonts w:ascii="Times New Roman" w:hAnsi="Times New Roman"/>
          <w:bCs/>
          <w:snapToGrid w:val="0"/>
          <w:sz w:val="24"/>
          <w:szCs w:val="24"/>
          <w:lang w:val="pt-BR"/>
        </w:rPr>
        <w:t>SD,j=10-9</w:t>
      </w:r>
      <w:r>
        <w:rPr>
          <w:rFonts w:ascii="Times New Roman" w:hAnsi="Times New Roman"/>
          <w:bCs/>
          <w:sz w:val="24"/>
          <w:szCs w:val="24"/>
        </w:rPr>
        <w:drawing>
          <wp:inline distT="0" distB="0" distL="0" distR="0">
            <wp:extent cx="381000" cy="476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81000" cy="476250"/>
                    </a:xfrm>
                    <a:prstGeom prst="rect">
                      <a:avLst/>
                    </a:prstGeom>
                    <a:noFill/>
                    <a:ln>
                      <a:noFill/>
                    </a:ln>
                  </pic:spPr>
                </pic:pic>
              </a:graphicData>
            </a:graphic>
          </wp:inline>
        </w:drawing>
      </w:r>
      <w:r>
        <w:rPr>
          <w:rFonts w:ascii="Times New Roman" w:hAnsi="Times New Roman"/>
          <w:bCs/>
          <w:snapToGrid w:val="0"/>
          <w:sz w:val="24"/>
          <w:szCs w:val="24"/>
          <w:lang w:val="pt-BR"/>
        </w:rPr>
        <w:t xml:space="preserve">            DO</w:t>
      </w:r>
      <w:r>
        <w:rPr>
          <w:rFonts w:ascii="Times New Roman" w:hAnsi="Times New Roman"/>
          <w:bCs/>
          <w:snapToGrid w:val="0"/>
          <w:sz w:val="24"/>
          <w:szCs w:val="24"/>
          <w:vertAlign w:val="subscript"/>
          <w:lang w:val="pt-BR"/>
        </w:rPr>
        <w:t>j</w:t>
      </w:r>
      <w:r>
        <w:rPr>
          <w:rFonts w:ascii="Times New Roman" w:hAnsi="Times New Roman"/>
          <w:bCs/>
          <w:snapToGrid w:val="0"/>
          <w:sz w:val="24"/>
          <w:szCs w:val="24"/>
          <w:lang w:val="pt-BR"/>
        </w:rPr>
        <w:t>＜DO</w:t>
      </w:r>
      <w:r>
        <w:rPr>
          <w:rFonts w:ascii="Times New Roman" w:hAnsi="Times New Roman"/>
          <w:bCs/>
          <w:snapToGrid w:val="0"/>
          <w:sz w:val="24"/>
          <w:szCs w:val="24"/>
          <w:vertAlign w:val="subscript"/>
          <w:lang w:val="pt-BR"/>
        </w:rPr>
        <w:t>s</w:t>
      </w:r>
    </w:p>
    <w:p>
      <w:pPr>
        <w:snapToGrid w:val="0"/>
        <w:spacing w:line="480" w:lineRule="auto"/>
        <w:ind w:firstLine="2280" w:firstLineChars="950"/>
        <w:rPr>
          <w:rFonts w:ascii="Times New Roman" w:hAnsi="Times New Roman"/>
          <w:bCs/>
          <w:snapToGrid w:val="0"/>
          <w:sz w:val="24"/>
          <w:szCs w:val="24"/>
          <w:lang w:val="pt-BR"/>
        </w:rPr>
      </w:pPr>
      <w:r>
        <w:rPr>
          <w:rFonts w:ascii="Times New Roman" w:hAnsi="Times New Roman"/>
          <w:bCs/>
          <w:snapToGrid w:val="0"/>
          <w:sz w:val="24"/>
          <w:szCs w:val="24"/>
          <w:lang w:val="pt-BR"/>
        </w:rPr>
        <w:t>DO</w:t>
      </w:r>
      <w:r>
        <w:rPr>
          <w:rFonts w:ascii="Times New Roman" w:hAnsi="Times New Roman"/>
          <w:bCs/>
          <w:snapToGrid w:val="0"/>
          <w:sz w:val="24"/>
          <w:szCs w:val="24"/>
          <w:vertAlign w:val="subscript"/>
          <w:lang w:val="pt-BR"/>
        </w:rPr>
        <w:t>f</w:t>
      </w:r>
      <w:r>
        <w:rPr>
          <w:rFonts w:ascii="Times New Roman" w:hAnsi="Times New Roman"/>
          <w:bCs/>
          <w:snapToGrid w:val="0"/>
          <w:sz w:val="24"/>
          <w:szCs w:val="24"/>
          <w:lang w:val="pt-BR"/>
        </w:rPr>
        <w:t>＝</w:t>
      </w:r>
      <w:r>
        <w:rPr>
          <w:rFonts w:ascii="Times New Roman" w:hAnsi="Times New Roman"/>
          <w:bCs/>
          <w:sz w:val="24"/>
          <w:szCs w:val="24"/>
        </w:rPr>
        <w:drawing>
          <wp:inline distT="0" distB="0" distL="0" distR="0">
            <wp:extent cx="571500" cy="3810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1500" cy="381000"/>
                    </a:xfrm>
                    <a:prstGeom prst="rect">
                      <a:avLst/>
                    </a:prstGeom>
                    <a:noFill/>
                    <a:ln>
                      <a:noFill/>
                    </a:ln>
                  </pic:spPr>
                </pic:pic>
              </a:graphicData>
            </a:graphic>
          </wp:inline>
        </w:drawing>
      </w:r>
    </w:p>
    <w:p>
      <w:pPr>
        <w:snapToGrid w:val="0"/>
        <w:ind w:firstLine="480" w:firstLineChars="200"/>
        <w:jc w:val="left"/>
        <w:rPr>
          <w:rFonts w:ascii="Times New Roman" w:hAnsi="Times New Roman"/>
          <w:bCs/>
          <w:snapToGrid w:val="0"/>
          <w:sz w:val="24"/>
          <w:szCs w:val="24"/>
        </w:rPr>
      </w:pPr>
      <w:r>
        <w:rPr>
          <w:rFonts w:ascii="Times New Roman" w:hAnsi="Times New Roman"/>
          <w:bCs/>
          <w:snapToGrid w:val="0"/>
          <w:sz w:val="24"/>
          <w:szCs w:val="24"/>
        </w:rPr>
        <w:t>式中：DO</w:t>
      </w:r>
      <w:r>
        <w:rPr>
          <w:rFonts w:ascii="Times New Roman" w:hAnsi="Times New Roman"/>
          <w:bCs/>
          <w:snapToGrid w:val="0"/>
          <w:sz w:val="24"/>
          <w:szCs w:val="24"/>
          <w:vertAlign w:val="subscript"/>
        </w:rPr>
        <w:t>f</w:t>
      </w:r>
      <w:r>
        <w:rPr>
          <w:rFonts w:ascii="Times New Roman" w:hAnsi="Times New Roman"/>
          <w:bCs/>
          <w:snapToGrid w:val="0"/>
          <w:sz w:val="24"/>
          <w:szCs w:val="24"/>
        </w:rPr>
        <w:t>——某水温、气压下河水中的溶解氧饱和值（mg/</w:t>
      </w:r>
      <w:r>
        <w:rPr>
          <w:rFonts w:ascii="Times New Roman" w:hAnsi="Times New Roman"/>
          <w:kern w:val="0"/>
          <w:sz w:val="24"/>
          <w:szCs w:val="24"/>
        </w:rPr>
        <w:t>L</w:t>
      </w:r>
      <w:r>
        <w:rPr>
          <w:rFonts w:ascii="Times New Roman" w:hAnsi="Times New Roman"/>
          <w:bCs/>
          <w:snapToGrid w:val="0"/>
          <w:sz w:val="24"/>
          <w:szCs w:val="24"/>
        </w:rPr>
        <w:t>）；</w:t>
      </w:r>
    </w:p>
    <w:p>
      <w:pPr>
        <w:snapToGrid w:val="0"/>
        <w:ind w:firstLine="1200" w:firstLineChars="500"/>
        <w:jc w:val="left"/>
        <w:rPr>
          <w:rFonts w:ascii="Times New Roman" w:hAnsi="Times New Roman"/>
          <w:bCs/>
          <w:snapToGrid w:val="0"/>
          <w:sz w:val="24"/>
          <w:szCs w:val="24"/>
        </w:rPr>
      </w:pPr>
      <w:r>
        <w:rPr>
          <w:rFonts w:ascii="Times New Roman" w:hAnsi="Times New Roman"/>
          <w:bCs/>
          <w:snapToGrid w:val="0"/>
          <w:sz w:val="24"/>
          <w:szCs w:val="24"/>
        </w:rPr>
        <w:t>DO</w:t>
      </w:r>
      <w:r>
        <w:rPr>
          <w:rFonts w:ascii="Times New Roman" w:hAnsi="Times New Roman"/>
          <w:bCs/>
          <w:snapToGrid w:val="0"/>
          <w:sz w:val="24"/>
          <w:szCs w:val="24"/>
          <w:vertAlign w:val="subscript"/>
        </w:rPr>
        <w:t>j</w:t>
      </w:r>
      <w:r>
        <w:rPr>
          <w:rFonts w:ascii="Times New Roman" w:hAnsi="Times New Roman"/>
          <w:bCs/>
          <w:snapToGrid w:val="0"/>
          <w:sz w:val="24"/>
          <w:szCs w:val="24"/>
        </w:rPr>
        <w:t>——监测点j的溶解氧浓度mg/</w:t>
      </w:r>
      <w:r>
        <w:rPr>
          <w:rFonts w:ascii="Times New Roman" w:hAnsi="Times New Roman"/>
          <w:kern w:val="0"/>
          <w:sz w:val="24"/>
          <w:szCs w:val="24"/>
        </w:rPr>
        <w:t>L</w:t>
      </w:r>
      <w:r>
        <w:rPr>
          <w:rFonts w:ascii="Times New Roman" w:hAnsi="Times New Roman"/>
          <w:bCs/>
          <w:snapToGrid w:val="0"/>
          <w:sz w:val="24"/>
          <w:szCs w:val="24"/>
        </w:rPr>
        <w:t>；</w:t>
      </w:r>
    </w:p>
    <w:p>
      <w:pPr>
        <w:snapToGrid w:val="0"/>
        <w:ind w:firstLine="1200" w:firstLineChars="500"/>
        <w:jc w:val="left"/>
        <w:rPr>
          <w:rFonts w:ascii="Times New Roman" w:hAnsi="Times New Roman"/>
          <w:bCs/>
          <w:snapToGrid w:val="0"/>
          <w:sz w:val="24"/>
          <w:szCs w:val="24"/>
        </w:rPr>
      </w:pPr>
      <w:r>
        <w:rPr>
          <w:rFonts w:ascii="Times New Roman" w:hAnsi="Times New Roman"/>
          <w:bCs/>
          <w:snapToGrid w:val="0"/>
          <w:sz w:val="24"/>
          <w:szCs w:val="24"/>
        </w:rPr>
        <w:t>DO</w:t>
      </w:r>
      <w:r>
        <w:rPr>
          <w:rFonts w:ascii="Times New Roman" w:hAnsi="Times New Roman"/>
          <w:bCs/>
          <w:snapToGrid w:val="0"/>
          <w:sz w:val="24"/>
          <w:szCs w:val="24"/>
          <w:vertAlign w:val="subscript"/>
        </w:rPr>
        <w:t>s</w:t>
      </w:r>
      <w:r>
        <w:rPr>
          <w:rFonts w:ascii="Times New Roman" w:hAnsi="Times New Roman"/>
          <w:bCs/>
          <w:snapToGrid w:val="0"/>
          <w:sz w:val="24"/>
          <w:szCs w:val="24"/>
        </w:rPr>
        <w:t>——溶解氧的地面水水质标准mg/</w:t>
      </w:r>
      <w:r>
        <w:rPr>
          <w:rFonts w:ascii="Times New Roman" w:hAnsi="Times New Roman"/>
          <w:kern w:val="0"/>
          <w:sz w:val="24"/>
          <w:szCs w:val="24"/>
        </w:rPr>
        <w:t>L</w:t>
      </w:r>
      <w:r>
        <w:rPr>
          <w:rFonts w:ascii="Times New Roman" w:hAnsi="Times New Roman"/>
          <w:bCs/>
          <w:snapToGrid w:val="0"/>
          <w:sz w:val="24"/>
          <w:szCs w:val="24"/>
        </w:rPr>
        <w:t>；</w:t>
      </w:r>
    </w:p>
    <w:p>
      <w:pPr>
        <w:snapToGrid w:val="0"/>
        <w:ind w:firstLine="1200" w:firstLineChars="500"/>
        <w:jc w:val="left"/>
        <w:rPr>
          <w:rFonts w:ascii="Times New Roman" w:hAnsi="Times New Roman"/>
          <w:sz w:val="24"/>
          <w:szCs w:val="24"/>
        </w:rPr>
      </w:pPr>
      <w:r>
        <w:rPr>
          <w:rFonts w:ascii="Times New Roman" w:hAnsi="Times New Roman"/>
          <w:bCs/>
          <w:snapToGrid w:val="0"/>
          <w:sz w:val="24"/>
          <w:szCs w:val="24"/>
        </w:rPr>
        <w:t>T——水温（</w:t>
      </w:r>
      <w:r>
        <w:rPr>
          <w:rFonts w:hint="eastAsia" w:ascii="宋体" w:hAnsi="宋体" w:cs="宋体"/>
          <w:bCs/>
          <w:snapToGrid w:val="0"/>
          <w:sz w:val="24"/>
          <w:szCs w:val="24"/>
        </w:rPr>
        <w:t>℃</w:t>
      </w:r>
      <w:r>
        <w:rPr>
          <w:rFonts w:ascii="Times New Roman" w:hAnsi="Times New Roman"/>
          <w:bCs/>
          <w:snapToGrid w:val="0"/>
          <w:sz w:val="24"/>
          <w:szCs w:val="24"/>
        </w:rPr>
        <w:t>）。</w:t>
      </w:r>
      <w:r>
        <w:rPr>
          <w:rFonts w:ascii="Times New Roman" w:hAnsi="Times New Roman"/>
          <w:sz w:val="24"/>
          <w:szCs w:val="24"/>
        </w:rPr>
        <w:t xml:space="preserve">    </w:t>
      </w:r>
    </w:p>
    <w:p>
      <w:pPr>
        <w:ind w:firstLine="480" w:firstLineChars="200"/>
        <w:rPr>
          <w:rFonts w:ascii="Times New Roman" w:hAnsi="Times New Roman"/>
          <w:sz w:val="24"/>
          <w:szCs w:val="24"/>
        </w:rPr>
      </w:pPr>
      <w:r>
        <w:rPr>
          <w:rFonts w:ascii="Times New Roman" w:hAnsi="Times New Roman"/>
          <w:sz w:val="24"/>
          <w:szCs w:val="24"/>
        </w:rPr>
        <w:t>水质参数的标准指数&gt;1，表明该项水质参数超过了规定的指数水质指标，已不能满足使用要求；水质参数的标准指数≤1，表明该项水质参数到达或优于规定的水质，完全符合国家标准，可以满足使用要求。</w:t>
      </w:r>
    </w:p>
    <w:p>
      <w:pPr>
        <w:keepNext/>
        <w:keepLines/>
        <w:outlineLvl w:val="3"/>
        <w:rPr>
          <w:rFonts w:ascii="Times New Roman" w:hAnsi="Times New Roman"/>
          <w:b/>
          <w:bCs/>
          <w:sz w:val="24"/>
          <w:szCs w:val="28"/>
        </w:rPr>
      </w:pPr>
      <w:bookmarkStart w:id="163" w:name="_Toc366503607"/>
      <w:bookmarkStart w:id="164" w:name="_Toc366489562"/>
      <w:bookmarkStart w:id="165" w:name="_Toc370717551"/>
      <w:r>
        <w:rPr>
          <w:rFonts w:ascii="Times New Roman" w:hAnsi="Times New Roman"/>
          <w:b/>
          <w:bCs/>
          <w:sz w:val="24"/>
          <w:szCs w:val="28"/>
        </w:rPr>
        <w:t>3.3.2.4 地表水环境质量现状监测与评价</w:t>
      </w:r>
      <w:bookmarkEnd w:id="163"/>
      <w:bookmarkEnd w:id="164"/>
      <w:bookmarkEnd w:id="165"/>
    </w:p>
    <w:p>
      <w:pPr>
        <w:ind w:firstLine="480" w:firstLineChars="200"/>
        <w:rPr>
          <w:rFonts w:ascii="Times New Roman" w:hAnsi="Times New Roman"/>
          <w:sz w:val="24"/>
          <w:szCs w:val="24"/>
        </w:rPr>
      </w:pPr>
      <w:r>
        <w:rPr>
          <w:rFonts w:ascii="Times New Roman" w:hAnsi="Times New Roman"/>
          <w:sz w:val="24"/>
          <w:szCs w:val="24"/>
        </w:rPr>
        <w:t>根据现状监测结果，斜江河</w:t>
      </w:r>
      <w:r>
        <w:rPr>
          <w:rFonts w:ascii="Times New Roman" w:hAnsi="Times New Roman"/>
          <w:kern w:val="0"/>
          <w:sz w:val="24"/>
          <w:szCs w:val="24"/>
        </w:rPr>
        <w:t>地表水</w:t>
      </w:r>
      <w:r>
        <w:rPr>
          <w:rFonts w:ascii="Times New Roman" w:hAnsi="Times New Roman"/>
          <w:sz w:val="24"/>
          <w:szCs w:val="24"/>
        </w:rPr>
        <w:t>水质监测结果统计见表3.3-4。</w:t>
      </w:r>
    </w:p>
    <w:p>
      <w:pPr>
        <w:rPr>
          <w:rFonts w:ascii="Times New Roman" w:hAnsi="Times New Roman" w:eastAsia="黑体"/>
          <w:sz w:val="21"/>
          <w:szCs w:val="21"/>
        </w:rPr>
      </w:pPr>
      <w:r>
        <w:rPr>
          <w:rFonts w:ascii="Times New Roman" w:hAnsi="Times New Roman" w:eastAsia="黑体"/>
          <w:sz w:val="21"/>
          <w:szCs w:val="24"/>
        </w:rPr>
        <w:t>表3.3-4 现状地表水水质监测与评价结果表 （</w:t>
      </w:r>
      <w:r>
        <w:rPr>
          <w:rFonts w:ascii="Times New Roman" w:hAnsi="Times New Roman" w:eastAsia="黑体"/>
          <w:sz w:val="21"/>
          <w:szCs w:val="21"/>
        </w:rPr>
        <w:t>单位：mg/l，pH：无量纲，粪大肠菌群：MPN/L）</w:t>
      </w:r>
    </w:p>
    <w:tbl>
      <w:tblPr>
        <w:tblStyle w:val="90"/>
        <w:tblW w:w="9321"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83"/>
        <w:gridCol w:w="1048"/>
        <w:gridCol w:w="1066"/>
        <w:gridCol w:w="906"/>
        <w:gridCol w:w="848"/>
        <w:gridCol w:w="992"/>
        <w:gridCol w:w="850"/>
        <w:gridCol w:w="850"/>
        <w:gridCol w:w="779"/>
        <w:gridCol w:w="119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监测断面</w:t>
            </w: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监测</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日期</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pH</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DO</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COD</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BOD</w:t>
            </w:r>
            <w:r>
              <w:rPr>
                <w:rFonts w:ascii="Times New Roman" w:hAnsi="Times New Roman" w:eastAsiaTheme="minorEastAsia"/>
                <w:kern w:val="0"/>
                <w:sz w:val="21"/>
                <w:vertAlign w:val="subscript"/>
              </w:rPr>
              <w:t>5</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vertAlign w:val="subscript"/>
              </w:rPr>
            </w:pPr>
            <w:r>
              <w:rPr>
                <w:rFonts w:ascii="Times New Roman" w:hAnsi="Times New Roman" w:eastAsiaTheme="minorEastAsia"/>
                <w:kern w:val="0"/>
                <w:sz w:val="21"/>
              </w:rPr>
              <w:t>氨氮</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TP</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TN</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粪大肠</w:t>
            </w:r>
          </w:p>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菌群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restart"/>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1"/>
              </w:rPr>
              <w:t>断面I</w:t>
            </w: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2月27日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6.66</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8.26</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17</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3.8</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0.376</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0.13</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2.10</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2月28日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6.53</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8.24</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15</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3.5</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0.356</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0.12</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1.71</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3月1日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6.57</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8.28</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13</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3.3</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0.378</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0.13</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1.95</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snapToGrid w:val="0"/>
              <w:spacing w:line="280" w:lineRule="exact"/>
              <w:ind w:left="-84" w:leftChars="-30" w:right="-84" w:rightChars="-30"/>
              <w:jc w:val="center"/>
              <w:rPr>
                <w:rFonts w:ascii="Times New Roman" w:hAnsi="Times New Roman" w:eastAsiaTheme="minorEastAsia"/>
                <w:sz w:val="21"/>
                <w:szCs w:val="24"/>
              </w:rPr>
            </w:pPr>
            <w:r>
              <w:rPr>
                <w:rFonts w:ascii="Times New Roman" w:hAnsi="Times New Roman" w:eastAsiaTheme="minorEastAsia"/>
                <w:sz w:val="21"/>
                <w:szCs w:val="21"/>
              </w:rPr>
              <w:t>单项指数范围值</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0.34~0.47</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0.003~</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0.01</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0.65~</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0.85</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0.825~</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0.95</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0.356~</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0.378</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0.65</w:t>
            </w:r>
          </w:p>
        </w:tc>
        <w:tc>
          <w:tcPr>
            <w:tcW w:w="779" w:type="dxa"/>
            <w:vAlign w:val="center"/>
          </w:tcPr>
          <w:p>
            <w:pPr>
              <w:adjustRightInd w:val="0"/>
              <w:snapToGrid w:val="0"/>
              <w:spacing w:before="12" w:after="12" w:line="240" w:lineRule="auto"/>
              <w:jc w:val="center"/>
              <w:rPr>
                <w:rFonts w:ascii="Times New Roman" w:hAnsi="Times New Roman" w:eastAsiaTheme="minorEastAsia"/>
                <w:b/>
                <w:kern w:val="0"/>
                <w:sz w:val="21"/>
                <w:szCs w:val="24"/>
              </w:rPr>
            </w:pPr>
            <w:r>
              <w:rPr>
                <w:rFonts w:ascii="Times New Roman" w:hAnsi="Times New Roman" w:eastAsiaTheme="minorEastAsia"/>
                <w:b/>
                <w:kern w:val="0"/>
                <w:sz w:val="21"/>
                <w:szCs w:val="24"/>
              </w:rPr>
              <w:t>1.71~2.10</w:t>
            </w:r>
          </w:p>
        </w:tc>
        <w:tc>
          <w:tcPr>
            <w:tcW w:w="1199" w:type="dxa"/>
            <w:vAlign w:val="center"/>
          </w:tcPr>
          <w:p>
            <w:pPr>
              <w:adjustRightInd w:val="0"/>
              <w:snapToGrid w:val="0"/>
              <w:spacing w:before="12" w:after="12" w:line="240" w:lineRule="auto"/>
              <w:jc w:val="center"/>
              <w:rPr>
                <w:rFonts w:ascii="Times New Roman" w:hAnsi="Times New Roman" w:eastAsiaTheme="minorEastAsia"/>
                <w:b/>
                <w:kern w:val="0"/>
                <w:sz w:val="21"/>
                <w:szCs w:val="24"/>
              </w:rPr>
            </w:pPr>
            <w:r>
              <w:rPr>
                <w:rFonts w:ascii="Times New Roman" w:hAnsi="Times New Roman" w:eastAsiaTheme="minorEastAsia"/>
                <w:b/>
                <w:kern w:val="0"/>
                <w:sz w:val="21"/>
                <w:szCs w:val="24"/>
              </w:rPr>
              <w:t>16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restart"/>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1"/>
              </w:rPr>
              <w:t>断面II</w:t>
            </w: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2月27日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6.70</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8.01</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3.6</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0.148</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0.10</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2.08</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2月28日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6.74</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8.01</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18</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3.3</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0.142</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0.10</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1.68</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3月1日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6.79</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8.05</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17</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3.1</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0.139</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0.11</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1.93</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snapToGrid w:val="0"/>
              <w:spacing w:line="280" w:lineRule="exact"/>
              <w:ind w:left="-84" w:leftChars="-30" w:right="-84" w:rightChars="-30"/>
              <w:jc w:val="center"/>
              <w:rPr>
                <w:rFonts w:ascii="Times New Roman" w:hAnsi="Times New Roman" w:eastAsiaTheme="minorEastAsia"/>
                <w:spacing w:val="-12"/>
                <w:sz w:val="21"/>
                <w:szCs w:val="24"/>
              </w:rPr>
            </w:pPr>
            <w:r>
              <w:rPr>
                <w:rFonts w:ascii="Times New Roman" w:hAnsi="Times New Roman" w:eastAsiaTheme="minorEastAsia"/>
                <w:sz w:val="21"/>
                <w:szCs w:val="21"/>
              </w:rPr>
              <w:t>单项指数范围值</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0.21~0.30</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0.067</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~0.08</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0.8~</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0.9</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0.775~</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0.9</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0.139~</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0.142</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0.5~</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0.55</w:t>
            </w:r>
          </w:p>
        </w:tc>
        <w:tc>
          <w:tcPr>
            <w:tcW w:w="779" w:type="dxa"/>
            <w:vAlign w:val="center"/>
          </w:tcPr>
          <w:p>
            <w:pPr>
              <w:adjustRightInd w:val="0"/>
              <w:snapToGrid w:val="0"/>
              <w:spacing w:before="12" w:after="12" w:line="240" w:lineRule="auto"/>
              <w:jc w:val="center"/>
              <w:rPr>
                <w:rFonts w:ascii="Times New Roman" w:hAnsi="Times New Roman" w:eastAsiaTheme="minorEastAsia"/>
                <w:b/>
                <w:kern w:val="0"/>
                <w:sz w:val="21"/>
                <w:szCs w:val="24"/>
              </w:rPr>
            </w:pPr>
            <w:r>
              <w:rPr>
                <w:rFonts w:ascii="Times New Roman" w:hAnsi="Times New Roman" w:eastAsiaTheme="minorEastAsia"/>
                <w:b/>
                <w:kern w:val="0"/>
                <w:sz w:val="21"/>
                <w:szCs w:val="24"/>
              </w:rPr>
              <w:t>1.68~2.08</w:t>
            </w:r>
          </w:p>
        </w:tc>
        <w:tc>
          <w:tcPr>
            <w:tcW w:w="1199" w:type="dxa"/>
            <w:vAlign w:val="center"/>
          </w:tcPr>
          <w:p>
            <w:pPr>
              <w:adjustRightInd w:val="0"/>
              <w:snapToGrid w:val="0"/>
              <w:spacing w:before="12" w:after="12" w:line="240" w:lineRule="auto"/>
              <w:jc w:val="center"/>
              <w:rPr>
                <w:rFonts w:ascii="Times New Roman" w:hAnsi="Times New Roman" w:eastAsiaTheme="minorEastAsia"/>
                <w:b/>
                <w:kern w:val="0"/>
                <w:sz w:val="21"/>
                <w:szCs w:val="24"/>
              </w:rPr>
            </w:pPr>
            <w:r>
              <w:rPr>
                <w:rFonts w:ascii="Times New Roman" w:hAnsi="Times New Roman" w:eastAsiaTheme="minorEastAsia"/>
                <w:b/>
                <w:kern w:val="0"/>
                <w:sz w:val="21"/>
                <w:szCs w:val="24"/>
              </w:rPr>
              <w:t>16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restart"/>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1"/>
              </w:rPr>
              <w:t>断面III</w:t>
            </w: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2月27日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6.72</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8.30</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18</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3.8</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0.647</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0.17</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2.2</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2月28日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6.83</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8.35</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14</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3.6</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0.635</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0.15</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1.83</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spacing w:val="-12"/>
                <w:kern w:val="0"/>
                <w:sz w:val="21"/>
              </w:rPr>
              <w:t>3月1日</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6.85</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8.38</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19</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3.4</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0.641</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0.18</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1.96</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＞1.6×10</w:t>
            </w:r>
            <w:r>
              <w:rPr>
                <w:rFonts w:ascii="Times New Roman" w:hAnsi="Times New Roman" w:eastAsiaTheme="minorEastAsia"/>
                <w:kern w:val="0"/>
                <w:sz w:val="21"/>
                <w:szCs w:val="24"/>
                <w:vertAlign w:val="superscript"/>
              </w:rPr>
              <w:t>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83" w:type="dxa"/>
            <w:vMerge w:val="continue"/>
            <w:vAlign w:val="center"/>
          </w:tcPr>
          <w:p>
            <w:pPr>
              <w:adjustRightInd w:val="0"/>
              <w:snapToGrid w:val="0"/>
              <w:spacing w:before="12" w:after="12" w:line="240" w:lineRule="auto"/>
              <w:jc w:val="center"/>
              <w:rPr>
                <w:rFonts w:ascii="Times New Roman" w:hAnsi="Times New Roman" w:eastAsiaTheme="minorEastAsia"/>
                <w:kern w:val="0"/>
                <w:sz w:val="21"/>
                <w:szCs w:val="24"/>
              </w:rPr>
            </w:pPr>
          </w:p>
        </w:tc>
        <w:tc>
          <w:tcPr>
            <w:tcW w:w="1048" w:type="dxa"/>
            <w:vAlign w:val="center"/>
          </w:tcPr>
          <w:p>
            <w:pPr>
              <w:snapToGrid w:val="0"/>
              <w:spacing w:line="280" w:lineRule="exact"/>
              <w:ind w:left="-84" w:leftChars="-30" w:right="-84" w:rightChars="-30"/>
              <w:jc w:val="center"/>
              <w:rPr>
                <w:rFonts w:ascii="Times New Roman" w:hAnsi="Times New Roman" w:eastAsiaTheme="minorEastAsia"/>
                <w:sz w:val="21"/>
                <w:szCs w:val="21"/>
              </w:rPr>
            </w:pPr>
            <w:r>
              <w:rPr>
                <w:rFonts w:ascii="Times New Roman" w:hAnsi="Times New Roman" w:eastAsiaTheme="minorEastAsia"/>
                <w:sz w:val="21"/>
                <w:szCs w:val="21"/>
              </w:rPr>
              <w:t>单项指数范围值</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0.15~0.28</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0.01~</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0.033</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0.7~</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0.95</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0.85~</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0.95</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0.635~0.647</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0.75~</w:t>
            </w:r>
          </w:p>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0.9</w:t>
            </w:r>
          </w:p>
        </w:tc>
        <w:tc>
          <w:tcPr>
            <w:tcW w:w="779" w:type="dxa"/>
            <w:vAlign w:val="center"/>
          </w:tcPr>
          <w:p>
            <w:pPr>
              <w:adjustRightInd w:val="0"/>
              <w:snapToGrid w:val="0"/>
              <w:spacing w:before="12" w:after="12" w:line="240" w:lineRule="auto"/>
              <w:jc w:val="center"/>
              <w:rPr>
                <w:rFonts w:ascii="Times New Roman" w:hAnsi="Times New Roman" w:eastAsiaTheme="minorEastAsia"/>
                <w:b/>
                <w:kern w:val="0"/>
                <w:sz w:val="21"/>
                <w:szCs w:val="24"/>
              </w:rPr>
            </w:pPr>
            <w:r>
              <w:rPr>
                <w:rFonts w:ascii="Times New Roman" w:hAnsi="Times New Roman" w:eastAsiaTheme="minorEastAsia"/>
                <w:b/>
                <w:kern w:val="0"/>
                <w:sz w:val="21"/>
                <w:szCs w:val="24"/>
              </w:rPr>
              <w:t>1.83~2.2</w:t>
            </w:r>
          </w:p>
        </w:tc>
        <w:tc>
          <w:tcPr>
            <w:tcW w:w="1199" w:type="dxa"/>
            <w:vAlign w:val="center"/>
          </w:tcPr>
          <w:p>
            <w:pPr>
              <w:adjustRightInd w:val="0"/>
              <w:snapToGrid w:val="0"/>
              <w:spacing w:before="12" w:after="12" w:line="240" w:lineRule="auto"/>
              <w:jc w:val="center"/>
              <w:rPr>
                <w:rFonts w:ascii="Times New Roman" w:hAnsi="Times New Roman" w:eastAsiaTheme="minorEastAsia"/>
                <w:b/>
                <w:kern w:val="0"/>
                <w:sz w:val="21"/>
                <w:szCs w:val="24"/>
              </w:rPr>
            </w:pPr>
            <w:r>
              <w:rPr>
                <w:rFonts w:ascii="Times New Roman" w:hAnsi="Times New Roman" w:eastAsiaTheme="minorEastAsia"/>
                <w:b/>
                <w:kern w:val="0"/>
                <w:sz w:val="21"/>
                <w:szCs w:val="24"/>
              </w:rPr>
              <w:t>16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31" w:type="dxa"/>
            <w:gridSpan w:val="2"/>
            <w:vAlign w:val="center"/>
          </w:tcPr>
          <w:p>
            <w:pPr>
              <w:adjustRightInd w:val="0"/>
              <w:snapToGrid w:val="0"/>
              <w:spacing w:before="12" w:after="12" w:line="240" w:lineRule="auto"/>
              <w:jc w:val="center"/>
              <w:rPr>
                <w:rFonts w:ascii="Times New Roman" w:hAnsi="Times New Roman" w:eastAsiaTheme="minorEastAsia"/>
                <w:spacing w:val="-12"/>
                <w:kern w:val="0"/>
                <w:sz w:val="21"/>
              </w:rPr>
            </w:pPr>
            <w:r>
              <w:rPr>
                <w:rFonts w:ascii="Times New Roman" w:hAnsi="Times New Roman" w:eastAsiaTheme="minorEastAsia"/>
                <w:spacing w:val="-12"/>
                <w:kern w:val="0"/>
                <w:sz w:val="21"/>
              </w:rPr>
              <w:t>标准值（III类）</w:t>
            </w:r>
          </w:p>
        </w:tc>
        <w:tc>
          <w:tcPr>
            <w:tcW w:w="106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4"/>
              </w:rPr>
              <w:t>6</w:t>
            </w:r>
            <w:r>
              <w:rPr>
                <w:rFonts w:ascii="Times New Roman" w:hAnsi="Times New Roman" w:eastAsiaTheme="minorEastAsia"/>
                <w:kern w:val="0"/>
                <w:sz w:val="21"/>
              </w:rPr>
              <w:t>～9</w:t>
            </w:r>
          </w:p>
        </w:tc>
        <w:tc>
          <w:tcPr>
            <w:tcW w:w="906"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szCs w:val="21"/>
              </w:rPr>
              <w:t>≥</w:t>
            </w:r>
            <w:r>
              <w:rPr>
                <w:rFonts w:ascii="Times New Roman" w:hAnsi="Times New Roman" w:eastAsiaTheme="minorEastAsia"/>
                <w:kern w:val="0"/>
                <w:sz w:val="21"/>
                <w:szCs w:val="24"/>
              </w:rPr>
              <w:t>5</w:t>
            </w:r>
          </w:p>
        </w:tc>
        <w:tc>
          <w:tcPr>
            <w:tcW w:w="848"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w:t>
            </w:r>
            <w:r>
              <w:rPr>
                <w:rFonts w:ascii="Times New Roman" w:hAnsi="Times New Roman" w:eastAsiaTheme="minorEastAsia"/>
                <w:kern w:val="0"/>
                <w:sz w:val="21"/>
                <w:szCs w:val="24"/>
              </w:rPr>
              <w:t>20</w:t>
            </w:r>
          </w:p>
        </w:tc>
        <w:tc>
          <w:tcPr>
            <w:tcW w:w="992"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≤4</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≤1.0</w:t>
            </w:r>
          </w:p>
        </w:tc>
        <w:tc>
          <w:tcPr>
            <w:tcW w:w="850"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≤0.2</w:t>
            </w:r>
          </w:p>
        </w:tc>
        <w:tc>
          <w:tcPr>
            <w:tcW w:w="779" w:type="dxa"/>
            <w:vAlign w:val="center"/>
          </w:tcPr>
          <w:p>
            <w:pPr>
              <w:adjustRightInd w:val="0"/>
              <w:snapToGrid w:val="0"/>
              <w:spacing w:before="12" w:after="12" w:line="240" w:lineRule="auto"/>
              <w:jc w:val="center"/>
              <w:rPr>
                <w:rFonts w:ascii="Times New Roman" w:hAnsi="Times New Roman" w:eastAsiaTheme="minorEastAsia"/>
                <w:kern w:val="0"/>
                <w:sz w:val="21"/>
              </w:rPr>
            </w:pPr>
            <w:r>
              <w:rPr>
                <w:rFonts w:ascii="Times New Roman" w:hAnsi="Times New Roman" w:eastAsiaTheme="minorEastAsia"/>
                <w:kern w:val="0"/>
                <w:sz w:val="21"/>
              </w:rPr>
              <w:t>≤1.0</w:t>
            </w:r>
          </w:p>
        </w:tc>
        <w:tc>
          <w:tcPr>
            <w:tcW w:w="1199" w:type="dxa"/>
            <w:vAlign w:val="center"/>
          </w:tcPr>
          <w:p>
            <w:pPr>
              <w:adjustRightInd w:val="0"/>
              <w:snapToGrid w:val="0"/>
              <w:spacing w:before="12" w:after="12" w:line="240" w:lineRule="auto"/>
              <w:jc w:val="center"/>
              <w:rPr>
                <w:rFonts w:ascii="Times New Roman" w:hAnsi="Times New Roman" w:eastAsiaTheme="minorEastAsia"/>
                <w:kern w:val="0"/>
                <w:sz w:val="21"/>
                <w:szCs w:val="24"/>
              </w:rPr>
            </w:pPr>
            <w:r>
              <w:rPr>
                <w:rFonts w:ascii="Times New Roman" w:hAnsi="Times New Roman" w:eastAsiaTheme="minorEastAsia"/>
                <w:kern w:val="0"/>
                <w:sz w:val="21"/>
              </w:rPr>
              <w:t>≤10000</w:t>
            </w:r>
          </w:p>
        </w:tc>
      </w:tr>
    </w:tbl>
    <w:p>
      <w:pPr>
        <w:ind w:firstLine="480" w:firstLineChars="200"/>
        <w:rPr>
          <w:rFonts w:ascii="Times New Roman" w:hAnsi="Times New Roman"/>
          <w:kern w:val="24"/>
          <w:sz w:val="24"/>
          <w:szCs w:val="24"/>
        </w:rPr>
      </w:pPr>
      <w:r>
        <w:rPr>
          <w:rFonts w:ascii="Times New Roman" w:hAnsi="Times New Roman"/>
          <w:kern w:val="24"/>
          <w:sz w:val="24"/>
          <w:szCs w:val="24"/>
        </w:rPr>
        <w:t>现状监测结果表明，除各监测断面监测指标除总氮和粪大肠菌群外，均满足《地表水环境质量标准》（GB3838-2002）III类标准要求。总氮和粪大肠菌群超标原因为两岸部分农户生活污水散排，未进行集中收集。</w:t>
      </w:r>
    </w:p>
    <w:p>
      <w:pPr>
        <w:pStyle w:val="108"/>
      </w:pPr>
      <w:bookmarkStart w:id="166" w:name="_Toc366362955"/>
      <w:bookmarkStart w:id="167" w:name="_Toc366489563"/>
      <w:bookmarkStart w:id="168" w:name="_Toc366503608"/>
      <w:bookmarkStart w:id="169" w:name="_Toc9873351"/>
      <w:bookmarkStart w:id="170" w:name="_Toc370717552"/>
      <w:r>
        <w:t>3.3.3　地下水环境质量现状调查与评价</w:t>
      </w:r>
      <w:bookmarkEnd w:id="166"/>
      <w:bookmarkEnd w:id="167"/>
      <w:bookmarkEnd w:id="168"/>
      <w:bookmarkEnd w:id="169"/>
      <w:bookmarkEnd w:id="170"/>
    </w:p>
    <w:p>
      <w:pPr>
        <w:ind w:firstLine="480" w:firstLineChars="200"/>
        <w:rPr>
          <w:rFonts w:ascii="Times New Roman" w:hAnsi="Times New Roman"/>
          <w:sz w:val="24"/>
          <w:szCs w:val="24"/>
        </w:rPr>
      </w:pPr>
      <w:bookmarkStart w:id="171" w:name="_Toc370717553"/>
      <w:bookmarkStart w:id="172" w:name="_Toc366503609"/>
      <w:bookmarkStart w:id="173" w:name="_Toc366489564"/>
      <w:r>
        <w:rPr>
          <w:rFonts w:ascii="Times New Roman" w:hAnsi="Times New Roman"/>
          <w:sz w:val="24"/>
          <w:szCs w:val="24"/>
        </w:rPr>
        <w:t>采用现状监测的方法对区域地下水环境质量进行现状评价。</w:t>
      </w:r>
    </w:p>
    <w:p>
      <w:pPr>
        <w:keepNext/>
        <w:keepLines/>
        <w:outlineLvl w:val="3"/>
        <w:rPr>
          <w:rFonts w:ascii="Times New Roman" w:hAnsi="Times New Roman"/>
          <w:b/>
          <w:bCs/>
          <w:sz w:val="24"/>
          <w:szCs w:val="28"/>
        </w:rPr>
      </w:pPr>
      <w:r>
        <w:rPr>
          <w:rFonts w:ascii="Times New Roman" w:hAnsi="Times New Roman"/>
          <w:b/>
          <w:bCs/>
          <w:sz w:val="24"/>
          <w:szCs w:val="28"/>
        </w:rPr>
        <w:t>3.3.3.1 监测因子</w:t>
      </w:r>
      <w:bookmarkEnd w:id="171"/>
      <w:bookmarkEnd w:id="172"/>
      <w:bookmarkEnd w:id="173"/>
    </w:p>
    <w:p>
      <w:pPr>
        <w:ind w:firstLine="480" w:firstLineChars="200"/>
        <w:rPr>
          <w:rFonts w:ascii="Times New Roman" w:hAnsi="Times New Roman"/>
          <w:sz w:val="24"/>
          <w:szCs w:val="24"/>
        </w:rPr>
      </w:pPr>
      <w:r>
        <w:rPr>
          <w:rFonts w:ascii="Times New Roman" w:hAnsi="Times New Roman"/>
          <w:sz w:val="24"/>
          <w:szCs w:val="24"/>
        </w:rPr>
        <w:t>监测因子： pH、耗氧量、氨氮、总磷、五日生化需氧量、总大肠菌群、细菌总数、K</w:t>
      </w:r>
      <w:r>
        <w:rPr>
          <w:rFonts w:ascii="Times New Roman" w:hAnsi="Times New Roman"/>
          <w:sz w:val="24"/>
          <w:szCs w:val="24"/>
          <w:vertAlign w:val="superscript"/>
        </w:rPr>
        <w:t>+</w:t>
      </w:r>
      <w:r>
        <w:rPr>
          <w:rFonts w:ascii="Times New Roman" w:hAnsi="Times New Roman"/>
          <w:sz w:val="24"/>
          <w:szCs w:val="24"/>
        </w:rPr>
        <w:t>、Na</w:t>
      </w:r>
      <w:r>
        <w:rPr>
          <w:rFonts w:ascii="Times New Roman" w:hAnsi="Times New Roman"/>
          <w:sz w:val="24"/>
          <w:szCs w:val="24"/>
          <w:vertAlign w:val="superscript"/>
        </w:rPr>
        <w:t>+</w:t>
      </w:r>
      <w:r>
        <w:rPr>
          <w:rFonts w:ascii="Times New Roman" w:hAnsi="Times New Roman"/>
          <w:sz w:val="24"/>
          <w:szCs w:val="24"/>
        </w:rPr>
        <w:t>、Ca</w:t>
      </w:r>
      <w:r>
        <w:rPr>
          <w:rFonts w:ascii="Times New Roman" w:hAnsi="Times New Roman"/>
          <w:sz w:val="24"/>
          <w:szCs w:val="24"/>
          <w:vertAlign w:val="superscript"/>
        </w:rPr>
        <w:t>2+</w:t>
      </w:r>
      <w:r>
        <w:rPr>
          <w:rFonts w:ascii="Times New Roman" w:hAnsi="Times New Roman"/>
          <w:sz w:val="24"/>
          <w:szCs w:val="24"/>
        </w:rPr>
        <w:t>、Mg</w:t>
      </w:r>
      <w:r>
        <w:rPr>
          <w:rFonts w:ascii="Times New Roman" w:hAnsi="Times New Roman"/>
          <w:sz w:val="24"/>
          <w:szCs w:val="24"/>
          <w:vertAlign w:val="super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vertAlign w:val="superscript"/>
        </w:rPr>
        <w:t>2-</w:t>
      </w:r>
      <w:r>
        <w:rPr>
          <w:rFonts w:ascii="Times New Roman" w:hAnsi="Times New Roman"/>
          <w:sz w:val="24"/>
          <w:szCs w:val="24"/>
        </w:rPr>
        <w:t>、HCO</w:t>
      </w:r>
      <w:r>
        <w:rPr>
          <w:rFonts w:ascii="Times New Roman" w:hAnsi="Times New Roman"/>
          <w:sz w:val="24"/>
          <w:szCs w:val="24"/>
          <w:vertAlign w:val="subscript"/>
        </w:rPr>
        <w:t>3</w:t>
      </w:r>
      <w:r>
        <w:rPr>
          <w:rFonts w:ascii="Times New Roman" w:hAnsi="Times New Roman"/>
          <w:sz w:val="24"/>
          <w:szCs w:val="24"/>
          <w:vertAlign w:val="superscript"/>
        </w:rPr>
        <w:t>-</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、Cl</w:t>
      </w:r>
      <w:r>
        <w:rPr>
          <w:rFonts w:ascii="Times New Roman" w:hAnsi="Times New Roman"/>
          <w:sz w:val="24"/>
          <w:szCs w:val="24"/>
          <w:vertAlign w:val="superscript"/>
        </w:rPr>
        <w:t>-</w:t>
      </w:r>
    </w:p>
    <w:p>
      <w:pPr>
        <w:keepNext/>
        <w:keepLines/>
        <w:outlineLvl w:val="3"/>
        <w:rPr>
          <w:rFonts w:ascii="Times New Roman" w:hAnsi="Times New Roman"/>
          <w:b/>
          <w:bCs/>
          <w:sz w:val="24"/>
          <w:szCs w:val="28"/>
        </w:rPr>
      </w:pPr>
      <w:bookmarkStart w:id="174" w:name="_Toc370717554"/>
      <w:bookmarkStart w:id="175" w:name="_Toc366489565"/>
      <w:bookmarkStart w:id="176" w:name="_Toc366503610"/>
      <w:r>
        <w:rPr>
          <w:rFonts w:ascii="Times New Roman" w:hAnsi="Times New Roman"/>
          <w:b/>
          <w:bCs/>
          <w:sz w:val="24"/>
          <w:szCs w:val="28"/>
        </w:rPr>
        <w:t>3.3.3.2 监测布点、监测时间、监测方法</w:t>
      </w:r>
      <w:bookmarkEnd w:id="174"/>
      <w:bookmarkEnd w:id="175"/>
      <w:bookmarkEnd w:id="176"/>
    </w:p>
    <w:p>
      <w:pPr>
        <w:ind w:firstLine="482" w:firstLineChars="200"/>
        <w:rPr>
          <w:rFonts w:ascii="Times New Roman" w:hAnsi="Times New Roman"/>
          <w:b/>
          <w:sz w:val="24"/>
          <w:szCs w:val="24"/>
        </w:rPr>
      </w:pPr>
      <w:r>
        <w:rPr>
          <w:rFonts w:ascii="Times New Roman" w:hAnsi="Times New Roman"/>
          <w:b/>
          <w:sz w:val="24"/>
          <w:szCs w:val="24"/>
        </w:rPr>
        <w:t>（1）监测布点</w:t>
      </w:r>
    </w:p>
    <w:p>
      <w:pPr>
        <w:ind w:firstLine="480" w:firstLineChars="200"/>
        <w:jc w:val="left"/>
        <w:rPr>
          <w:rFonts w:ascii="Times New Roman" w:hAnsi="Times New Roman"/>
          <w:sz w:val="24"/>
          <w:szCs w:val="24"/>
        </w:rPr>
      </w:pPr>
      <w:r>
        <w:rPr>
          <w:rFonts w:ascii="Times New Roman" w:hAnsi="Times New Roman"/>
          <w:sz w:val="24"/>
          <w:szCs w:val="24"/>
        </w:rPr>
        <w:t>地下水监测布点如下表：</w:t>
      </w:r>
    </w:p>
    <w:p>
      <w:pPr>
        <w:spacing w:line="240" w:lineRule="auto"/>
        <w:jc w:val="center"/>
        <w:rPr>
          <w:rFonts w:ascii="Times New Roman" w:hAnsi="Times New Roman" w:eastAsia="黑体"/>
          <w:sz w:val="24"/>
          <w:szCs w:val="24"/>
        </w:rPr>
      </w:pPr>
      <w:r>
        <w:rPr>
          <w:rFonts w:ascii="Times New Roman" w:hAnsi="Times New Roman" w:eastAsia="黑体"/>
          <w:sz w:val="21"/>
          <w:szCs w:val="24"/>
        </w:rPr>
        <w:t>表3.3-5　 地下水监测布点位置</w:t>
      </w:r>
    </w:p>
    <w:tbl>
      <w:tblPr>
        <w:tblStyle w:val="90"/>
        <w:tblW w:w="852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153"/>
        <w:gridCol w:w="4063"/>
        <w:gridCol w:w="230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53"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序号</w:t>
            </w:r>
          </w:p>
        </w:tc>
        <w:tc>
          <w:tcPr>
            <w:tcW w:w="4063"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监测点位置</w:t>
            </w:r>
          </w:p>
        </w:tc>
        <w:tc>
          <w:tcPr>
            <w:tcW w:w="230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备注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17" w:hRule="atLeast"/>
          <w:jc w:val="center"/>
        </w:trPr>
        <w:tc>
          <w:tcPr>
            <w:tcW w:w="2153"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4063" w:type="dxa"/>
            <w:vAlign w:val="center"/>
          </w:tcPr>
          <w:p>
            <w:pPr>
              <w:adjustRightInd w:val="0"/>
              <w:snapToGrid w:val="0"/>
              <w:spacing w:line="276" w:lineRule="auto"/>
              <w:jc w:val="center"/>
              <w:rPr>
                <w:rFonts w:ascii="Times New Roman" w:hAnsi="Times New Roman" w:eastAsiaTheme="minorEastAsia"/>
                <w:bCs/>
                <w:sz w:val="21"/>
                <w:szCs w:val="21"/>
              </w:rPr>
            </w:pPr>
            <w:r>
              <w:rPr>
                <w:rFonts w:ascii="Times New Roman" w:hAnsi="Times New Roman" w:eastAsiaTheme="minorEastAsia"/>
                <w:bCs/>
                <w:sz w:val="21"/>
                <w:szCs w:val="21"/>
              </w:rPr>
              <w:t>项目地上游农户水井</w:t>
            </w:r>
          </w:p>
        </w:tc>
        <w:tc>
          <w:tcPr>
            <w:tcW w:w="2306" w:type="dxa"/>
            <w:vAlign w:val="center"/>
          </w:tcPr>
          <w:p>
            <w:pPr>
              <w:adjustRightInd w:val="0"/>
              <w:snapToGrid w:val="0"/>
              <w:spacing w:line="276" w:lineRule="auto"/>
              <w:jc w:val="center"/>
              <w:rPr>
                <w:rFonts w:ascii="Times New Roman" w:hAnsi="Times New Roman" w:eastAsiaTheme="minorEastAsia"/>
                <w:bCs/>
                <w:sz w:val="21"/>
                <w:szCs w:val="21"/>
              </w:rPr>
            </w:pPr>
            <w:r>
              <w:rPr>
                <w:rFonts w:ascii="Times New Roman" w:hAnsi="Times New Roman" w:eastAsiaTheme="minorEastAsia"/>
                <w:bCs/>
                <w:sz w:val="21"/>
                <w:szCs w:val="21"/>
              </w:rPr>
              <w:t>现状水井</w:t>
            </w:r>
          </w:p>
        </w:tc>
      </w:tr>
    </w:tbl>
    <w:p>
      <w:pPr>
        <w:spacing w:before="240"/>
        <w:ind w:firstLine="482" w:firstLineChars="200"/>
        <w:rPr>
          <w:rFonts w:ascii="Times New Roman" w:hAnsi="Times New Roman"/>
          <w:sz w:val="24"/>
          <w:szCs w:val="24"/>
        </w:rPr>
      </w:pPr>
      <w:r>
        <w:rPr>
          <w:rFonts w:ascii="Times New Roman" w:hAnsi="Times New Roman"/>
          <w:b/>
          <w:sz w:val="24"/>
          <w:szCs w:val="24"/>
        </w:rPr>
        <w:t>（2）监测时间：</w:t>
      </w:r>
      <w:r>
        <w:rPr>
          <w:rFonts w:ascii="Times New Roman" w:hAnsi="Times New Roman"/>
          <w:sz w:val="24"/>
          <w:szCs w:val="24"/>
        </w:rPr>
        <w:t>2019年2月27、28日2天</w:t>
      </w:r>
    </w:p>
    <w:p>
      <w:pPr>
        <w:ind w:firstLine="482" w:firstLineChars="200"/>
        <w:rPr>
          <w:rFonts w:ascii="Times New Roman" w:hAnsi="Times New Roman"/>
          <w:sz w:val="24"/>
          <w:szCs w:val="24"/>
        </w:rPr>
      </w:pPr>
      <w:r>
        <w:rPr>
          <w:rFonts w:ascii="Times New Roman" w:hAnsi="Times New Roman"/>
          <w:b/>
          <w:sz w:val="24"/>
          <w:szCs w:val="24"/>
        </w:rPr>
        <w:t>（3）监测方法：</w:t>
      </w:r>
      <w:r>
        <w:rPr>
          <w:rFonts w:ascii="Times New Roman" w:hAnsi="Times New Roman"/>
          <w:sz w:val="24"/>
          <w:szCs w:val="24"/>
        </w:rPr>
        <w:t>连续2天，每天监测一次。监测分析方法按《地下水环境监测技术规范》（HJ/T164-2004）和《环境影响评价导则-地下水环境》（HJ 610-2011）中有关内容和要求进行。</w:t>
      </w:r>
    </w:p>
    <w:p>
      <w:pPr>
        <w:keepNext/>
        <w:keepLines/>
        <w:outlineLvl w:val="3"/>
        <w:rPr>
          <w:rFonts w:ascii="Times New Roman" w:hAnsi="Times New Roman"/>
          <w:b/>
          <w:bCs/>
          <w:sz w:val="24"/>
          <w:szCs w:val="28"/>
        </w:rPr>
      </w:pPr>
      <w:r>
        <w:rPr>
          <w:rFonts w:ascii="Times New Roman" w:hAnsi="Times New Roman"/>
          <w:b/>
          <w:bCs/>
          <w:sz w:val="24"/>
          <w:szCs w:val="28"/>
        </w:rPr>
        <w:t>3.3.3.3 评价标准及评价方法</w:t>
      </w:r>
    </w:p>
    <w:p>
      <w:pPr>
        <w:ind w:firstLine="482" w:firstLineChars="200"/>
        <w:rPr>
          <w:rFonts w:ascii="Times New Roman" w:hAnsi="Times New Roman"/>
          <w:sz w:val="24"/>
          <w:szCs w:val="24"/>
        </w:rPr>
      </w:pPr>
      <w:r>
        <w:rPr>
          <w:rFonts w:ascii="Times New Roman" w:hAnsi="Times New Roman"/>
          <w:b/>
          <w:sz w:val="24"/>
          <w:szCs w:val="24"/>
        </w:rPr>
        <w:t>（1）评价标准：</w:t>
      </w:r>
      <w:r>
        <w:rPr>
          <w:rFonts w:ascii="Times New Roman" w:hAnsi="Times New Roman"/>
          <w:sz w:val="24"/>
          <w:szCs w:val="24"/>
        </w:rPr>
        <w:t>地下水执行《地下水质量标准》（GB/T14848-2017）中的</w:t>
      </w:r>
      <w:r>
        <w:rPr>
          <w:rFonts w:hint="eastAsia" w:ascii="宋体" w:hAnsi="宋体" w:cs="宋体"/>
          <w:sz w:val="24"/>
          <w:szCs w:val="24"/>
        </w:rPr>
        <w:t>Ⅲ</w:t>
      </w:r>
      <w:r>
        <w:rPr>
          <w:rFonts w:ascii="Times New Roman" w:hAnsi="Times New Roman"/>
          <w:sz w:val="24"/>
          <w:szCs w:val="24"/>
        </w:rPr>
        <w:t>类标准。</w:t>
      </w:r>
    </w:p>
    <w:p>
      <w:pPr>
        <w:ind w:firstLine="482" w:firstLineChars="200"/>
        <w:rPr>
          <w:rFonts w:ascii="Times New Roman" w:hAnsi="Times New Roman"/>
          <w:sz w:val="24"/>
          <w:szCs w:val="24"/>
        </w:rPr>
      </w:pPr>
      <w:r>
        <w:rPr>
          <w:rFonts w:ascii="Times New Roman" w:hAnsi="Times New Roman"/>
          <w:b/>
          <w:sz w:val="24"/>
          <w:szCs w:val="24"/>
        </w:rPr>
        <w:t>（2）评价方法：</w:t>
      </w:r>
      <w:r>
        <w:rPr>
          <w:rFonts w:ascii="Times New Roman" w:hAnsi="Times New Roman"/>
          <w:sz w:val="24"/>
          <w:szCs w:val="24"/>
        </w:rPr>
        <w:t>采用单项质量指数法进行评价，同地表水。</w:t>
      </w:r>
    </w:p>
    <w:p>
      <w:pPr>
        <w:keepNext/>
        <w:keepLines/>
        <w:outlineLvl w:val="3"/>
        <w:rPr>
          <w:rFonts w:ascii="Times New Roman" w:hAnsi="Times New Roman"/>
          <w:b/>
          <w:bCs/>
          <w:szCs w:val="32"/>
        </w:rPr>
      </w:pPr>
      <w:bookmarkStart w:id="177" w:name="_Toc366489566"/>
      <w:bookmarkStart w:id="178" w:name="_Toc370717555"/>
      <w:bookmarkStart w:id="179" w:name="_Toc366503611"/>
      <w:r>
        <w:rPr>
          <w:rFonts w:ascii="Times New Roman" w:hAnsi="Times New Roman"/>
          <w:b/>
          <w:bCs/>
          <w:sz w:val="24"/>
          <w:szCs w:val="28"/>
        </w:rPr>
        <w:t>3.3.3.4 地下水环境质量现状评价</w:t>
      </w:r>
      <w:bookmarkEnd w:id="177"/>
      <w:bookmarkEnd w:id="178"/>
      <w:bookmarkEnd w:id="179"/>
    </w:p>
    <w:p>
      <w:pPr>
        <w:ind w:firstLine="480" w:firstLineChars="200"/>
        <w:rPr>
          <w:rFonts w:ascii="Times New Roman" w:hAnsi="Times New Roman"/>
          <w:sz w:val="24"/>
          <w:szCs w:val="24"/>
        </w:rPr>
      </w:pPr>
      <w:r>
        <w:rPr>
          <w:rFonts w:ascii="Times New Roman" w:hAnsi="Times New Roman"/>
          <w:sz w:val="24"/>
          <w:szCs w:val="24"/>
        </w:rPr>
        <w:t>机场地下水水质监测结果统计见表3.3-6。</w:t>
      </w:r>
    </w:p>
    <w:p>
      <w:pPr>
        <w:spacing w:line="240" w:lineRule="auto"/>
        <w:jc w:val="center"/>
        <w:rPr>
          <w:rFonts w:ascii="Times New Roman" w:hAnsi="Times New Roman" w:eastAsia="黑体"/>
          <w:sz w:val="21"/>
          <w:szCs w:val="24"/>
        </w:rPr>
      </w:pPr>
      <w:r>
        <w:rPr>
          <w:rFonts w:ascii="Times New Roman" w:hAnsi="Times New Roman" w:eastAsia="黑体"/>
          <w:sz w:val="21"/>
          <w:szCs w:val="24"/>
        </w:rPr>
        <w:t>表3.3-6　地下水水质监测结果与评价结果一览表（单位：mg/l，pH除外）</w:t>
      </w:r>
    </w:p>
    <w:tbl>
      <w:tblPr>
        <w:tblStyle w:val="90"/>
        <w:tblW w:w="852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1646"/>
        <w:gridCol w:w="1962"/>
        <w:gridCol w:w="2003"/>
        <w:gridCol w:w="180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48" w:type="dxa"/>
            <w:gridSpan w:val="2"/>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监测项目</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2月27日</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2月28日</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hint="eastAsia" w:ascii="宋体" w:hAnsi="宋体" w:cs="宋体"/>
                <w:sz w:val="21"/>
                <w:szCs w:val="21"/>
              </w:rPr>
              <w:t>Ⅲ</w:t>
            </w:r>
            <w:r>
              <w:rPr>
                <w:rFonts w:ascii="Times New Roman" w:hAnsi="Times New Roman" w:eastAsiaTheme="minorEastAsia"/>
                <w:sz w:val="21"/>
                <w:szCs w:val="21"/>
              </w:rPr>
              <w:t>类标准值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restart"/>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浓度（无量纲）</w:t>
            </w:r>
          </w:p>
        </w:tc>
        <w:tc>
          <w:tcPr>
            <w:tcW w:w="1962" w:type="dxa"/>
            <w:shd w:val="clear" w:color="auto" w:fill="auto"/>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6.88</w:t>
            </w:r>
          </w:p>
        </w:tc>
        <w:tc>
          <w:tcPr>
            <w:tcW w:w="2003" w:type="dxa"/>
            <w:shd w:val="clear" w:color="auto" w:fill="auto"/>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6.92</w:t>
            </w:r>
          </w:p>
        </w:tc>
        <w:tc>
          <w:tcPr>
            <w:tcW w:w="1809" w:type="dxa"/>
            <w:vMerge w:val="restart"/>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lang w:val="en-GB"/>
              </w:rPr>
              <w:t>6.5~8.5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Pi值</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0.24</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0.16</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达标情况</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restart"/>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耗氧量</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962" w:type="dxa"/>
            <w:shd w:val="clear" w:color="auto" w:fill="auto"/>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0.34</w:t>
            </w:r>
          </w:p>
        </w:tc>
        <w:tc>
          <w:tcPr>
            <w:tcW w:w="2003" w:type="dxa"/>
            <w:shd w:val="clear" w:color="auto" w:fill="auto"/>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0.40</w:t>
            </w:r>
          </w:p>
        </w:tc>
        <w:tc>
          <w:tcPr>
            <w:tcW w:w="1809" w:type="dxa"/>
            <w:vMerge w:val="restart"/>
            <w:shd w:val="clear" w:color="auto" w:fill="auto"/>
            <w:noWrap/>
            <w:vAlign w:val="center"/>
          </w:tcPr>
          <w:p>
            <w:pPr>
              <w:spacing w:line="276" w:lineRule="auto"/>
              <w:jc w:val="center"/>
              <w:rPr>
                <w:rFonts w:ascii="Times New Roman" w:hAnsi="Times New Roman" w:eastAsiaTheme="minorEastAsia"/>
                <w:sz w:val="21"/>
                <w:szCs w:val="21"/>
                <w:lang w:val="en-GB"/>
              </w:rPr>
            </w:pPr>
            <w:r>
              <w:rPr>
                <w:rFonts w:ascii="Times New Roman" w:hAnsi="Times New Roman" w:eastAsiaTheme="minorEastAsia"/>
                <w:sz w:val="21"/>
                <w:szCs w:val="21"/>
                <w:lang w:val="en-GB"/>
              </w:rPr>
              <w:t>≤3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Pi值</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0.11</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0.13</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达标情况</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restart"/>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氨氮</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962" w:type="dxa"/>
            <w:shd w:val="clear" w:color="auto" w:fill="auto"/>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0.136</w:t>
            </w:r>
          </w:p>
        </w:tc>
        <w:tc>
          <w:tcPr>
            <w:tcW w:w="2003" w:type="dxa"/>
            <w:shd w:val="clear" w:color="auto" w:fill="auto"/>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0.127</w:t>
            </w:r>
          </w:p>
        </w:tc>
        <w:tc>
          <w:tcPr>
            <w:tcW w:w="1809" w:type="dxa"/>
            <w:vMerge w:val="restart"/>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lang w:val="en-GB"/>
              </w:rPr>
              <w:t>≤0.5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Pi值</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0.272</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0.254</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达标情况</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总磷</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0.01</w:t>
            </w:r>
            <w:r>
              <w:rPr>
                <w:rFonts w:ascii="Times New Roman" w:hAnsi="Times New Roman" w:eastAsiaTheme="minorEastAsia"/>
                <w:sz w:val="21"/>
                <w:szCs w:val="21"/>
                <w:vertAlign w:val="subscript"/>
              </w:rPr>
              <w:t>L</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0.01</w:t>
            </w:r>
            <w:r>
              <w:rPr>
                <w:rFonts w:ascii="Times New Roman" w:hAnsi="Times New Roman" w:eastAsiaTheme="minorEastAsia"/>
                <w:sz w:val="21"/>
                <w:szCs w:val="21"/>
                <w:vertAlign w:val="subscript"/>
              </w:rPr>
              <w:t>L</w:t>
            </w:r>
          </w:p>
        </w:tc>
        <w:tc>
          <w:tcPr>
            <w:tcW w:w="1809" w:type="dxa"/>
            <w:shd w:val="clear" w:color="auto" w:fill="auto"/>
            <w:noWrap/>
            <w:vAlign w:val="center"/>
          </w:tcPr>
          <w:p>
            <w:pPr>
              <w:spacing w:line="276" w:lineRule="auto"/>
              <w:jc w:val="center"/>
              <w:rPr>
                <w:rFonts w:ascii="Times New Roman" w:hAnsi="Times New Roman" w:eastAsiaTheme="minorEastAsia"/>
                <w:sz w:val="21"/>
                <w:szCs w:val="21"/>
                <w:lang w:val="en-GB"/>
              </w:rPr>
            </w:pPr>
            <w:r>
              <w:rPr>
                <w:rFonts w:ascii="Times New Roman" w:hAnsi="Times New Roman" w:eastAsiaTheme="minorEastAsia"/>
                <w:sz w:val="21"/>
                <w:szCs w:val="21"/>
                <w:lang w:val="en-GB"/>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18"/>
                <w:szCs w:val="21"/>
              </w:rPr>
              <w:t>五日生化需氧量</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0.5</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0.6</w:t>
            </w:r>
          </w:p>
        </w:tc>
        <w:tc>
          <w:tcPr>
            <w:tcW w:w="1809" w:type="dxa"/>
            <w:shd w:val="clear" w:color="auto" w:fill="auto"/>
            <w:noWrap/>
            <w:vAlign w:val="center"/>
          </w:tcPr>
          <w:p>
            <w:pPr>
              <w:spacing w:line="276" w:lineRule="auto"/>
              <w:jc w:val="center"/>
              <w:rPr>
                <w:rFonts w:ascii="Times New Roman" w:hAnsi="Times New Roman" w:eastAsiaTheme="minorEastAsia"/>
                <w:sz w:val="21"/>
                <w:szCs w:val="21"/>
                <w:lang w:val="en-GB"/>
              </w:rPr>
            </w:pPr>
            <w:r>
              <w:rPr>
                <w:rFonts w:ascii="Times New Roman" w:hAnsi="Times New Roman" w:eastAsiaTheme="minorEastAsia"/>
                <w:sz w:val="21"/>
                <w:szCs w:val="21"/>
                <w:lang w:val="en-GB"/>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restart"/>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总大肠菌群</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浓度（MPN/L）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1809" w:type="dxa"/>
            <w:vMerge w:val="restart"/>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lang w:val="en-GB"/>
              </w:rPr>
              <w:t>≤</w:t>
            </w:r>
            <w:r>
              <w:rPr>
                <w:rFonts w:ascii="Times New Roman" w:hAnsi="Times New Roman" w:eastAsiaTheme="minorEastAsia"/>
                <w:sz w:val="21"/>
                <w:szCs w:val="21"/>
              </w:rPr>
              <w:t>3.0</w:t>
            </w:r>
          </w:p>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（MPN /100mL）</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Pi值</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0.67</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0.67</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达标情况</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restart"/>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细菌</w:t>
            </w:r>
          </w:p>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总数</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浓度（CFU/mL）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未检出</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未检出</w:t>
            </w:r>
          </w:p>
        </w:tc>
        <w:tc>
          <w:tcPr>
            <w:tcW w:w="1809" w:type="dxa"/>
            <w:vMerge w:val="restart"/>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lang w:val="en-GB"/>
              </w:rPr>
              <w:t>≤</w:t>
            </w:r>
            <w:r>
              <w:rPr>
                <w:rFonts w:ascii="Times New Roman" w:hAnsi="Times New Roman" w:eastAsiaTheme="minorEastAsia"/>
                <w:sz w:val="21"/>
                <w:szCs w:val="21"/>
              </w:rPr>
              <w:t>100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Pi值</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eastAsiaTheme="minorEastAsia"/>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达标情况</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K</w:t>
            </w:r>
            <w:r>
              <w:rPr>
                <w:rFonts w:ascii="Times New Roman" w:hAnsi="Times New Roman"/>
                <w:sz w:val="21"/>
                <w:szCs w:val="21"/>
                <w:vertAlign w:val="superscript"/>
              </w:rPr>
              <w:t>+</w:t>
            </w: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0.89</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0.91</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restart"/>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Na</w:t>
            </w:r>
            <w:r>
              <w:rPr>
                <w:rFonts w:ascii="Times New Roman" w:hAnsi="Times New Roman"/>
                <w:sz w:val="21"/>
                <w:szCs w:val="21"/>
                <w:vertAlign w:val="superscript"/>
              </w:rPr>
              <w:t>+</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19.1</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19.6</w:t>
            </w:r>
          </w:p>
        </w:tc>
        <w:tc>
          <w:tcPr>
            <w:tcW w:w="1809" w:type="dxa"/>
            <w:vMerge w:val="restart"/>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lang w:val="en-GB"/>
              </w:rPr>
              <w:t>≤</w:t>
            </w:r>
            <w:r>
              <w:rPr>
                <w:rFonts w:ascii="Times New Roman" w:hAnsi="Times New Roman" w:eastAsiaTheme="minorEastAsia"/>
                <w:sz w:val="21"/>
                <w:szCs w:val="21"/>
              </w:rPr>
              <w:t>200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Pi值</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0.095</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0.098</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vMerge w:val="continue"/>
            <w:shd w:val="clear" w:color="auto" w:fill="auto"/>
            <w:vAlign w:val="center"/>
          </w:tcPr>
          <w:p>
            <w:pPr>
              <w:spacing w:line="276" w:lineRule="auto"/>
              <w:jc w:val="center"/>
              <w:rPr>
                <w:rFonts w:ascii="Times New Roman" w:hAnsi="Times New Roman"/>
                <w:sz w:val="21"/>
                <w:szCs w:val="21"/>
              </w:rPr>
            </w:pPr>
          </w:p>
        </w:tc>
        <w:tc>
          <w:tcPr>
            <w:tcW w:w="1646"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达标情况</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达标</w:t>
            </w:r>
          </w:p>
        </w:tc>
        <w:tc>
          <w:tcPr>
            <w:tcW w:w="1809" w:type="dxa"/>
            <w:vMerge w:val="continue"/>
            <w:shd w:val="clear" w:color="auto" w:fill="auto"/>
            <w:noWrap/>
            <w:vAlign w:val="center"/>
          </w:tcPr>
          <w:p>
            <w:pPr>
              <w:spacing w:line="276" w:lineRule="auto"/>
              <w:jc w:val="center"/>
              <w:rPr>
                <w:rFonts w:ascii="Times New Roman" w:hAnsi="Times New Roman" w:eastAsiaTheme="minorEastAsia"/>
                <w:sz w:val="21"/>
                <w:szCs w:val="21"/>
                <w:lang w:val="en-GB"/>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Ca</w:t>
            </w:r>
            <w:r>
              <w:rPr>
                <w:rFonts w:ascii="Times New Roman" w:hAnsi="Times New Roman"/>
                <w:sz w:val="21"/>
                <w:szCs w:val="21"/>
                <w:vertAlign w:val="superscript"/>
              </w:rPr>
              <w:t>2+</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98.6</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104</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Mg</w:t>
            </w:r>
            <w:r>
              <w:rPr>
                <w:rFonts w:ascii="Times New Roman" w:hAnsi="Times New Roman"/>
                <w:sz w:val="21"/>
                <w:szCs w:val="21"/>
                <w:vertAlign w:val="superscript"/>
              </w:rPr>
              <w:t>2+</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20.3</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16.2</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CO</w:t>
            </w:r>
            <w:r>
              <w:rPr>
                <w:rFonts w:ascii="Times New Roman" w:hAnsi="Times New Roman"/>
                <w:sz w:val="21"/>
                <w:szCs w:val="21"/>
                <w:vertAlign w:val="subscript"/>
              </w:rPr>
              <w:t>3</w:t>
            </w:r>
            <w:r>
              <w:rPr>
                <w:rFonts w:ascii="Times New Roman" w:hAnsi="Times New Roman"/>
                <w:sz w:val="21"/>
                <w:szCs w:val="21"/>
                <w:vertAlign w:val="superscript"/>
              </w:rPr>
              <w:t>2-</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0</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HCO</w:t>
            </w:r>
            <w:r>
              <w:rPr>
                <w:rFonts w:ascii="Times New Roman" w:hAnsi="Times New Roman"/>
                <w:sz w:val="21"/>
                <w:szCs w:val="21"/>
                <w:vertAlign w:val="subscript"/>
              </w:rPr>
              <w:t>3</w:t>
            </w:r>
            <w:r>
              <w:rPr>
                <w:rFonts w:ascii="Times New Roman" w:hAnsi="Times New Roman"/>
                <w:sz w:val="21"/>
                <w:szCs w:val="21"/>
                <w:vertAlign w:val="superscript"/>
              </w:rPr>
              <w:t>-</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396</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396</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SO</w:t>
            </w:r>
            <w:r>
              <w:rPr>
                <w:rFonts w:ascii="Times New Roman" w:hAnsi="Times New Roman"/>
                <w:sz w:val="21"/>
                <w:szCs w:val="21"/>
                <w:vertAlign w:val="subscript"/>
              </w:rPr>
              <w:t>4</w:t>
            </w:r>
            <w:r>
              <w:rPr>
                <w:rFonts w:ascii="Times New Roman" w:hAnsi="Times New Roman"/>
                <w:sz w:val="21"/>
                <w:szCs w:val="21"/>
                <w:vertAlign w:val="superscript"/>
              </w:rPr>
              <w:t>2-</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81.6</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86.6</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sz w:val="21"/>
                <w:szCs w:val="21"/>
              </w:rPr>
              <w:t>Cl</w:t>
            </w:r>
            <w:r>
              <w:rPr>
                <w:rFonts w:ascii="Times New Roman" w:hAnsi="Times New Roman"/>
                <w:sz w:val="21"/>
                <w:szCs w:val="21"/>
                <w:vertAlign w:val="superscript"/>
              </w:rPr>
              <w:t>-</w:t>
            </w:r>
          </w:p>
        </w:tc>
        <w:tc>
          <w:tcPr>
            <w:tcW w:w="1646" w:type="dxa"/>
            <w:shd w:val="clear" w:color="auto" w:fill="auto"/>
          </w:tcPr>
          <w:p>
            <w:pPr>
              <w:jc w:val="center"/>
              <w:rPr>
                <w:rFonts w:ascii="Times New Roman" w:hAnsi="Times New Roman"/>
              </w:rPr>
            </w:pPr>
            <w:r>
              <w:rPr>
                <w:rFonts w:ascii="Times New Roman" w:hAnsi="Times New Roman" w:eastAsiaTheme="minorEastAsia"/>
                <w:sz w:val="21"/>
                <w:szCs w:val="21"/>
              </w:rPr>
              <w:t>浓度（mg/L）</w:t>
            </w:r>
          </w:p>
        </w:tc>
        <w:tc>
          <w:tcPr>
            <w:tcW w:w="196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38.4</w:t>
            </w:r>
          </w:p>
        </w:tc>
        <w:tc>
          <w:tcPr>
            <w:tcW w:w="200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29.9</w:t>
            </w:r>
          </w:p>
        </w:tc>
        <w:tc>
          <w:tcPr>
            <w:tcW w:w="1809" w:type="dxa"/>
            <w:shd w:val="clear" w:color="auto" w:fill="auto"/>
            <w:noWrap/>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w:t>
            </w:r>
          </w:p>
        </w:tc>
      </w:tr>
    </w:tbl>
    <w:p>
      <w:pPr>
        <w:spacing w:before="240"/>
        <w:ind w:firstLine="480" w:firstLineChars="200"/>
        <w:rPr>
          <w:rFonts w:ascii="Times New Roman" w:hAnsi="Times New Roman"/>
          <w:sz w:val="24"/>
          <w:szCs w:val="24"/>
        </w:rPr>
      </w:pPr>
      <w:r>
        <w:rPr>
          <w:rFonts w:ascii="Times New Roman" w:hAnsi="Times New Roman"/>
          <w:sz w:val="24"/>
          <w:szCs w:val="24"/>
        </w:rPr>
        <w:t>监测结果表明，地下水各监测指标均满足《地下水环境质量标准》（GB/T14848-93）</w:t>
      </w:r>
      <w:r>
        <w:rPr>
          <w:rFonts w:hint="eastAsia" w:ascii="宋体" w:hAnsi="宋体" w:cs="宋体"/>
          <w:sz w:val="24"/>
          <w:szCs w:val="24"/>
        </w:rPr>
        <w:t>Ⅲ</w:t>
      </w:r>
      <w:r>
        <w:rPr>
          <w:rFonts w:ascii="Times New Roman" w:hAnsi="Times New Roman"/>
          <w:sz w:val="24"/>
          <w:szCs w:val="24"/>
        </w:rPr>
        <w:t>类标准。</w:t>
      </w:r>
    </w:p>
    <w:p>
      <w:pPr>
        <w:pStyle w:val="108"/>
      </w:pPr>
      <w:bookmarkStart w:id="180" w:name="_Toc366362956"/>
      <w:bookmarkStart w:id="181" w:name="_Toc9873352"/>
      <w:bookmarkStart w:id="182" w:name="_Toc366503612"/>
      <w:bookmarkStart w:id="183" w:name="_Toc370717556"/>
      <w:bookmarkStart w:id="184" w:name="_Toc366489567"/>
      <w:r>
        <w:t>3.3.4　声环境质量现状调查与评价</w:t>
      </w:r>
      <w:bookmarkEnd w:id="180"/>
      <w:bookmarkEnd w:id="181"/>
      <w:bookmarkEnd w:id="182"/>
      <w:bookmarkEnd w:id="183"/>
      <w:bookmarkEnd w:id="184"/>
    </w:p>
    <w:p>
      <w:pPr>
        <w:ind w:firstLine="480" w:firstLineChars="200"/>
        <w:rPr>
          <w:rFonts w:ascii="Times New Roman" w:hAnsi="Times New Roman"/>
          <w:sz w:val="24"/>
          <w:szCs w:val="24"/>
        </w:rPr>
      </w:pPr>
      <w:r>
        <w:rPr>
          <w:rFonts w:ascii="Times New Roman" w:hAnsi="Times New Roman"/>
          <w:sz w:val="24"/>
          <w:szCs w:val="24"/>
        </w:rPr>
        <w:t>采用现状监测的方法对区域声环境质量进行现状评价。</w:t>
      </w:r>
    </w:p>
    <w:p>
      <w:pPr>
        <w:keepNext/>
        <w:keepLines/>
        <w:spacing w:before="120"/>
        <w:outlineLvl w:val="3"/>
        <w:rPr>
          <w:rFonts w:ascii="Times New Roman" w:hAnsi="Times New Roman"/>
          <w:b/>
          <w:bCs/>
          <w:sz w:val="24"/>
          <w:szCs w:val="28"/>
        </w:rPr>
      </w:pPr>
      <w:bookmarkStart w:id="185" w:name="_Toc366489568"/>
      <w:bookmarkStart w:id="186" w:name="_Toc370717557"/>
      <w:bookmarkStart w:id="187" w:name="_Toc366503613"/>
      <w:r>
        <w:rPr>
          <w:rFonts w:ascii="Times New Roman" w:hAnsi="Times New Roman"/>
          <w:b/>
          <w:bCs/>
          <w:sz w:val="24"/>
          <w:szCs w:val="28"/>
        </w:rPr>
        <w:t>3.3.4.1 监测因子</w:t>
      </w:r>
      <w:bookmarkEnd w:id="185"/>
      <w:bookmarkEnd w:id="186"/>
      <w:bookmarkEnd w:id="187"/>
    </w:p>
    <w:p>
      <w:pPr>
        <w:ind w:firstLine="480" w:firstLineChars="200"/>
        <w:rPr>
          <w:rFonts w:ascii="Times New Roman" w:hAnsi="Times New Roman"/>
          <w:sz w:val="24"/>
          <w:szCs w:val="24"/>
        </w:rPr>
      </w:pPr>
      <w:r>
        <w:rPr>
          <w:rFonts w:ascii="Times New Roman" w:hAnsi="Times New Roman"/>
          <w:sz w:val="24"/>
          <w:szCs w:val="24"/>
        </w:rPr>
        <w:t>监测因子：等效连续A声级（L</w:t>
      </w:r>
      <w:r>
        <w:rPr>
          <w:rFonts w:ascii="Times New Roman" w:hAnsi="Times New Roman"/>
          <w:sz w:val="24"/>
          <w:szCs w:val="24"/>
          <w:vertAlign w:val="subscript"/>
        </w:rPr>
        <w:t>Aeq</w:t>
      </w:r>
      <w:r>
        <w:rPr>
          <w:rFonts w:ascii="Times New Roman" w:hAnsi="Times New Roman"/>
          <w:sz w:val="24"/>
          <w:szCs w:val="24"/>
        </w:rPr>
        <w:t>）</w:t>
      </w:r>
    </w:p>
    <w:p>
      <w:pPr>
        <w:keepNext/>
        <w:keepLines/>
        <w:spacing w:before="120"/>
        <w:outlineLvl w:val="3"/>
        <w:rPr>
          <w:rFonts w:ascii="Times New Roman" w:hAnsi="Times New Roman"/>
          <w:b/>
          <w:bCs/>
          <w:sz w:val="24"/>
          <w:szCs w:val="28"/>
        </w:rPr>
      </w:pPr>
      <w:bookmarkStart w:id="188" w:name="_Toc366489569"/>
      <w:bookmarkStart w:id="189" w:name="_Toc370717558"/>
      <w:bookmarkStart w:id="190" w:name="_Toc366503614"/>
      <w:r>
        <w:rPr>
          <w:rFonts w:ascii="Times New Roman" w:hAnsi="Times New Roman"/>
          <w:b/>
          <w:bCs/>
          <w:sz w:val="24"/>
          <w:szCs w:val="28"/>
        </w:rPr>
        <w:t>3.3.4.2 监测布点、监测时间、监测方法</w:t>
      </w:r>
      <w:bookmarkEnd w:id="188"/>
      <w:bookmarkEnd w:id="189"/>
      <w:bookmarkEnd w:id="190"/>
    </w:p>
    <w:p>
      <w:pPr>
        <w:ind w:firstLine="482" w:firstLineChars="200"/>
        <w:rPr>
          <w:rFonts w:ascii="Times New Roman" w:hAnsi="Times New Roman"/>
          <w:b/>
          <w:sz w:val="24"/>
          <w:szCs w:val="24"/>
        </w:rPr>
      </w:pPr>
      <w:r>
        <w:rPr>
          <w:rFonts w:ascii="Times New Roman" w:hAnsi="Times New Roman"/>
          <w:b/>
          <w:sz w:val="24"/>
          <w:szCs w:val="24"/>
        </w:rPr>
        <w:t>（1）监测布点</w:t>
      </w:r>
    </w:p>
    <w:p>
      <w:pPr>
        <w:ind w:firstLine="480" w:firstLineChars="200"/>
        <w:rPr>
          <w:rFonts w:ascii="Times New Roman" w:hAnsi="Times New Roman"/>
          <w:sz w:val="24"/>
          <w:szCs w:val="24"/>
        </w:rPr>
      </w:pPr>
      <w:r>
        <w:rPr>
          <w:rFonts w:ascii="Times New Roman" w:hAnsi="Times New Roman"/>
          <w:sz w:val="24"/>
          <w:szCs w:val="24"/>
        </w:rPr>
        <w:t>共布设4个噪声监测点如下，详见附图5。</w:t>
      </w:r>
    </w:p>
    <w:p>
      <w:pPr>
        <w:spacing w:line="240" w:lineRule="auto"/>
        <w:jc w:val="center"/>
        <w:rPr>
          <w:rFonts w:ascii="Times New Roman" w:hAnsi="Times New Roman" w:eastAsia="黑体"/>
          <w:sz w:val="24"/>
          <w:szCs w:val="24"/>
        </w:rPr>
      </w:pPr>
      <w:r>
        <w:rPr>
          <w:rFonts w:ascii="Times New Roman" w:hAnsi="Times New Roman" w:eastAsia="黑体"/>
          <w:sz w:val="21"/>
          <w:szCs w:val="24"/>
        </w:rPr>
        <w:t>表3.3-7　 噪声监测布点位置</w:t>
      </w:r>
    </w:p>
    <w:tbl>
      <w:tblPr>
        <w:tblStyle w:val="90"/>
        <w:tblW w:w="8096"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050"/>
        <w:gridCol w:w="3679"/>
        <w:gridCol w:w="236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50" w:type="dxa"/>
            <w:vAlign w:val="center"/>
          </w:tcPr>
          <w:p>
            <w:pPr>
              <w:spacing w:line="276" w:lineRule="auto"/>
              <w:jc w:val="center"/>
              <w:rPr>
                <w:rFonts w:ascii="Times New Roman" w:hAnsi="Times New Roman" w:eastAsia="仿宋"/>
                <w:sz w:val="21"/>
                <w:szCs w:val="21"/>
              </w:rPr>
            </w:pPr>
            <w:r>
              <w:rPr>
                <w:rFonts w:ascii="Times New Roman" w:hAnsi="Times New Roman" w:eastAsia="仿宋"/>
                <w:sz w:val="21"/>
                <w:szCs w:val="21"/>
              </w:rPr>
              <w:t>序号</w:t>
            </w:r>
          </w:p>
        </w:tc>
        <w:tc>
          <w:tcPr>
            <w:tcW w:w="3679" w:type="dxa"/>
            <w:vAlign w:val="center"/>
          </w:tcPr>
          <w:p>
            <w:pPr>
              <w:spacing w:line="276" w:lineRule="auto"/>
              <w:jc w:val="center"/>
              <w:rPr>
                <w:rFonts w:ascii="Times New Roman" w:hAnsi="Times New Roman" w:eastAsia="仿宋"/>
                <w:sz w:val="21"/>
                <w:szCs w:val="21"/>
              </w:rPr>
            </w:pPr>
            <w:r>
              <w:rPr>
                <w:rFonts w:ascii="Times New Roman" w:hAnsi="Times New Roman" w:eastAsia="仿宋"/>
                <w:sz w:val="21"/>
                <w:szCs w:val="21"/>
              </w:rPr>
              <w:t>监测点位置</w:t>
            </w:r>
          </w:p>
        </w:tc>
        <w:tc>
          <w:tcPr>
            <w:tcW w:w="2367" w:type="dxa"/>
            <w:vAlign w:val="center"/>
          </w:tcPr>
          <w:p>
            <w:pPr>
              <w:spacing w:line="276" w:lineRule="auto"/>
              <w:jc w:val="center"/>
              <w:rPr>
                <w:rFonts w:ascii="Times New Roman" w:hAnsi="Times New Roman" w:eastAsia="仿宋"/>
                <w:sz w:val="21"/>
                <w:szCs w:val="21"/>
              </w:rPr>
            </w:pPr>
            <w:r>
              <w:rPr>
                <w:rFonts w:ascii="Times New Roman" w:hAnsi="Times New Roman" w:eastAsia="仿宋"/>
                <w:sz w:val="21"/>
                <w:szCs w:val="21"/>
              </w:rPr>
              <w:t>备注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50" w:type="dxa"/>
            <w:vAlign w:val="center"/>
          </w:tcPr>
          <w:p>
            <w:pPr>
              <w:tabs>
                <w:tab w:val="left" w:pos="567"/>
              </w:tabs>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10#</w:t>
            </w:r>
          </w:p>
        </w:tc>
        <w:tc>
          <w:tcPr>
            <w:tcW w:w="3679"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一期项目南侧住户外1m 处</w:t>
            </w:r>
          </w:p>
        </w:tc>
        <w:tc>
          <w:tcPr>
            <w:tcW w:w="2367"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背景噪声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50" w:type="dxa"/>
            <w:vAlign w:val="center"/>
          </w:tcPr>
          <w:p>
            <w:pPr>
              <w:tabs>
                <w:tab w:val="left" w:pos="567"/>
              </w:tabs>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11#</w:t>
            </w:r>
          </w:p>
        </w:tc>
        <w:tc>
          <w:tcPr>
            <w:tcW w:w="3679"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二期项目西北侧住户外1m 处</w:t>
            </w:r>
          </w:p>
        </w:tc>
        <w:tc>
          <w:tcPr>
            <w:tcW w:w="2367"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背景噪声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50" w:type="dxa"/>
            <w:vAlign w:val="center"/>
          </w:tcPr>
          <w:p>
            <w:pPr>
              <w:tabs>
                <w:tab w:val="left" w:pos="567"/>
              </w:tabs>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12#</w:t>
            </w:r>
          </w:p>
        </w:tc>
        <w:tc>
          <w:tcPr>
            <w:tcW w:w="3679"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一期项目南侧住户外1m 处</w:t>
            </w:r>
          </w:p>
        </w:tc>
        <w:tc>
          <w:tcPr>
            <w:tcW w:w="2367"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背景噪声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50" w:type="dxa"/>
            <w:vAlign w:val="center"/>
          </w:tcPr>
          <w:p>
            <w:pPr>
              <w:tabs>
                <w:tab w:val="left" w:pos="567"/>
              </w:tabs>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13#</w:t>
            </w:r>
          </w:p>
        </w:tc>
        <w:tc>
          <w:tcPr>
            <w:tcW w:w="3679"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二期项目西北侧住户外1m 处</w:t>
            </w:r>
          </w:p>
        </w:tc>
        <w:tc>
          <w:tcPr>
            <w:tcW w:w="2367" w:type="dxa"/>
            <w:vAlign w:val="center"/>
          </w:tcPr>
          <w:p>
            <w:pPr>
              <w:adjustRightInd w:val="0"/>
              <w:snapToGrid w:val="0"/>
              <w:spacing w:line="276" w:lineRule="auto"/>
              <w:jc w:val="center"/>
              <w:rPr>
                <w:rFonts w:ascii="Times New Roman" w:hAnsi="Times New Roman" w:eastAsia="仿宋"/>
                <w:bCs/>
                <w:sz w:val="21"/>
                <w:szCs w:val="21"/>
              </w:rPr>
            </w:pPr>
            <w:r>
              <w:rPr>
                <w:rFonts w:ascii="Times New Roman" w:hAnsi="Times New Roman" w:eastAsia="仿宋"/>
                <w:bCs/>
                <w:sz w:val="21"/>
                <w:szCs w:val="21"/>
              </w:rPr>
              <w:t>背景噪声</w:t>
            </w:r>
          </w:p>
        </w:tc>
      </w:tr>
    </w:tbl>
    <w:p>
      <w:pPr>
        <w:spacing w:before="240"/>
        <w:ind w:firstLine="482" w:firstLineChars="200"/>
        <w:rPr>
          <w:rFonts w:ascii="Times New Roman" w:hAnsi="Times New Roman"/>
          <w:b/>
          <w:sz w:val="24"/>
          <w:szCs w:val="24"/>
        </w:rPr>
      </w:pPr>
      <w:r>
        <w:rPr>
          <w:rFonts w:ascii="Times New Roman" w:hAnsi="Times New Roman"/>
          <w:b/>
          <w:sz w:val="24"/>
          <w:szCs w:val="24"/>
        </w:rPr>
        <w:t>（2）监测时间</w:t>
      </w:r>
    </w:p>
    <w:p>
      <w:pPr>
        <w:ind w:firstLine="480" w:firstLineChars="200"/>
        <w:rPr>
          <w:rFonts w:ascii="Times New Roman" w:hAnsi="Times New Roman"/>
          <w:sz w:val="24"/>
          <w:szCs w:val="24"/>
        </w:rPr>
      </w:pPr>
      <w:r>
        <w:rPr>
          <w:rFonts w:ascii="Times New Roman" w:hAnsi="Times New Roman"/>
          <w:sz w:val="24"/>
          <w:szCs w:val="24"/>
        </w:rPr>
        <w:t>2019年2月27、28日</w:t>
      </w:r>
    </w:p>
    <w:p>
      <w:pPr>
        <w:ind w:firstLine="482" w:firstLineChars="200"/>
        <w:rPr>
          <w:rFonts w:ascii="Times New Roman" w:hAnsi="Times New Roman"/>
          <w:b/>
          <w:sz w:val="24"/>
          <w:szCs w:val="24"/>
        </w:rPr>
      </w:pPr>
      <w:r>
        <w:rPr>
          <w:rFonts w:ascii="Times New Roman" w:hAnsi="Times New Roman"/>
          <w:b/>
          <w:sz w:val="24"/>
          <w:szCs w:val="24"/>
        </w:rPr>
        <w:t>（3）监测方法</w:t>
      </w:r>
    </w:p>
    <w:p>
      <w:pPr>
        <w:ind w:firstLine="480" w:firstLineChars="200"/>
        <w:rPr>
          <w:rFonts w:ascii="Times New Roman" w:hAnsi="Times New Roman"/>
          <w:sz w:val="24"/>
          <w:szCs w:val="24"/>
        </w:rPr>
      </w:pPr>
      <w:r>
        <w:rPr>
          <w:rFonts w:ascii="Times New Roman" w:hAnsi="Times New Roman"/>
          <w:sz w:val="24"/>
          <w:szCs w:val="24"/>
        </w:rPr>
        <w:t>连续1天，按按照《声环境质量标准》（GB3096-2008）有关内容和要求进行监测昼、夜等效连续A声级。</w:t>
      </w:r>
    </w:p>
    <w:p>
      <w:pPr>
        <w:keepNext/>
        <w:keepLines/>
        <w:spacing w:before="120"/>
        <w:outlineLvl w:val="3"/>
        <w:rPr>
          <w:rFonts w:ascii="Times New Roman" w:hAnsi="Times New Roman"/>
          <w:b/>
          <w:bCs/>
          <w:sz w:val="24"/>
          <w:szCs w:val="28"/>
        </w:rPr>
      </w:pPr>
      <w:r>
        <w:rPr>
          <w:rFonts w:ascii="Times New Roman" w:hAnsi="Times New Roman"/>
          <w:b/>
          <w:bCs/>
          <w:sz w:val="24"/>
          <w:szCs w:val="28"/>
        </w:rPr>
        <w:t>3.4.4.3 评价标准及评价方法</w:t>
      </w:r>
    </w:p>
    <w:p>
      <w:pPr>
        <w:ind w:firstLine="482" w:firstLineChars="200"/>
        <w:rPr>
          <w:rFonts w:ascii="Times New Roman" w:hAnsi="Times New Roman"/>
          <w:b/>
          <w:sz w:val="24"/>
          <w:szCs w:val="24"/>
        </w:rPr>
      </w:pPr>
      <w:r>
        <w:rPr>
          <w:rFonts w:ascii="Times New Roman" w:hAnsi="Times New Roman"/>
          <w:b/>
          <w:sz w:val="24"/>
          <w:szCs w:val="24"/>
        </w:rPr>
        <w:t>（1）评价标准</w:t>
      </w:r>
    </w:p>
    <w:p>
      <w:pPr>
        <w:ind w:firstLine="480" w:firstLineChars="200"/>
        <w:rPr>
          <w:rFonts w:ascii="Times New Roman" w:hAnsi="Times New Roman"/>
          <w:sz w:val="24"/>
          <w:szCs w:val="24"/>
        </w:rPr>
      </w:pPr>
      <w:r>
        <w:rPr>
          <w:rFonts w:ascii="Times New Roman" w:hAnsi="Times New Roman"/>
          <w:sz w:val="24"/>
          <w:szCs w:val="24"/>
        </w:rPr>
        <w:t>执行《声环境质量标准》(GB3096-2008)2类标准。</w:t>
      </w:r>
    </w:p>
    <w:p>
      <w:pPr>
        <w:ind w:firstLine="482" w:firstLineChars="200"/>
        <w:rPr>
          <w:rFonts w:ascii="Times New Roman" w:hAnsi="Times New Roman"/>
          <w:b/>
          <w:sz w:val="24"/>
          <w:szCs w:val="24"/>
        </w:rPr>
      </w:pPr>
      <w:r>
        <w:rPr>
          <w:rFonts w:ascii="Times New Roman" w:hAnsi="Times New Roman"/>
          <w:b/>
          <w:sz w:val="24"/>
          <w:szCs w:val="24"/>
        </w:rPr>
        <w:t>（2）评价方法</w:t>
      </w:r>
    </w:p>
    <w:p>
      <w:pPr>
        <w:ind w:firstLine="480" w:firstLineChars="200"/>
        <w:rPr>
          <w:rFonts w:ascii="Times New Roman" w:hAnsi="Times New Roman"/>
          <w:sz w:val="24"/>
          <w:szCs w:val="24"/>
        </w:rPr>
      </w:pPr>
      <w:r>
        <w:rPr>
          <w:rFonts w:ascii="Times New Roman" w:hAnsi="Times New Roman"/>
          <w:sz w:val="24"/>
          <w:szCs w:val="24"/>
        </w:rPr>
        <w:t>评价方法为实测值(L</w:t>
      </w:r>
      <w:r>
        <w:rPr>
          <w:rFonts w:ascii="Times New Roman" w:hAnsi="Times New Roman"/>
          <w:sz w:val="24"/>
          <w:szCs w:val="24"/>
          <w:vertAlign w:val="subscript"/>
        </w:rPr>
        <w:t>Aeq</w:t>
      </w:r>
      <w:r>
        <w:rPr>
          <w:rFonts w:ascii="Times New Roman" w:hAnsi="Times New Roman"/>
          <w:sz w:val="24"/>
          <w:szCs w:val="24"/>
        </w:rPr>
        <w:t>)与标准值直接比较进行。</w:t>
      </w:r>
    </w:p>
    <w:p>
      <w:pPr>
        <w:keepNext/>
        <w:keepLines/>
        <w:spacing w:before="120"/>
        <w:outlineLvl w:val="3"/>
        <w:rPr>
          <w:rFonts w:ascii="Times New Roman" w:hAnsi="Times New Roman"/>
          <w:b/>
          <w:bCs/>
          <w:sz w:val="24"/>
          <w:szCs w:val="28"/>
        </w:rPr>
      </w:pPr>
      <w:bookmarkStart w:id="191" w:name="_Toc366489570"/>
      <w:bookmarkStart w:id="192" w:name="_Toc370717559"/>
      <w:bookmarkStart w:id="193" w:name="_Toc366503615"/>
      <w:r>
        <w:rPr>
          <w:rFonts w:ascii="Times New Roman" w:hAnsi="Times New Roman"/>
          <w:b/>
          <w:bCs/>
          <w:sz w:val="24"/>
          <w:szCs w:val="28"/>
        </w:rPr>
        <w:t>3.3.4.4 声环境质量现状评价</w:t>
      </w:r>
      <w:bookmarkEnd w:id="191"/>
      <w:bookmarkEnd w:id="192"/>
      <w:bookmarkEnd w:id="193"/>
    </w:p>
    <w:p>
      <w:pPr>
        <w:ind w:firstLine="480" w:firstLineChars="200"/>
        <w:rPr>
          <w:rFonts w:ascii="Times New Roman" w:hAnsi="Times New Roman"/>
          <w:sz w:val="24"/>
          <w:szCs w:val="24"/>
        </w:rPr>
      </w:pPr>
      <w:r>
        <w:rPr>
          <w:rFonts w:ascii="Times New Roman" w:hAnsi="Times New Roman"/>
          <w:sz w:val="24"/>
          <w:szCs w:val="24"/>
        </w:rPr>
        <w:t>根据监测结果，项目区域声环境质量监测结果统计见表3.3-8。</w:t>
      </w:r>
    </w:p>
    <w:p>
      <w:pPr>
        <w:spacing w:line="240" w:lineRule="auto"/>
        <w:jc w:val="center"/>
        <w:rPr>
          <w:rFonts w:ascii="Times New Roman" w:hAnsi="Times New Roman" w:eastAsia="黑体"/>
          <w:sz w:val="21"/>
          <w:szCs w:val="24"/>
        </w:rPr>
      </w:pPr>
      <w:r>
        <w:rPr>
          <w:rFonts w:ascii="Times New Roman" w:hAnsi="Times New Roman" w:eastAsia="黑体"/>
          <w:sz w:val="21"/>
          <w:szCs w:val="24"/>
        </w:rPr>
        <w:t xml:space="preserve">表3.3-8 　声环境质量监测结果 </w:t>
      </w:r>
    </w:p>
    <w:tbl>
      <w:tblPr>
        <w:tblStyle w:val="90"/>
        <w:tblW w:w="7963"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
      <w:tblGrid>
        <w:gridCol w:w="992"/>
        <w:gridCol w:w="1412"/>
        <w:gridCol w:w="1412"/>
        <w:gridCol w:w="1576"/>
        <w:gridCol w:w="1287"/>
        <w:gridCol w:w="128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92" w:type="dxa"/>
            <w:vMerge w:val="restart"/>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监测点位</w:t>
            </w:r>
          </w:p>
        </w:tc>
        <w:tc>
          <w:tcPr>
            <w:tcW w:w="1412" w:type="dxa"/>
            <w:vMerge w:val="restart"/>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监测日期</w:t>
            </w:r>
          </w:p>
        </w:tc>
        <w:tc>
          <w:tcPr>
            <w:tcW w:w="2988" w:type="dxa"/>
            <w:gridSpan w:val="2"/>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监测值 dB（A）</w:t>
            </w:r>
          </w:p>
        </w:tc>
        <w:tc>
          <w:tcPr>
            <w:tcW w:w="2571" w:type="dxa"/>
            <w:gridSpan w:val="2"/>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达标情况</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92" w:type="dxa"/>
            <w:vMerge w:val="continue"/>
            <w:vAlign w:val="center"/>
          </w:tcPr>
          <w:p>
            <w:pPr>
              <w:adjustRightInd w:val="0"/>
              <w:snapToGrid w:val="0"/>
              <w:spacing w:before="12" w:after="12" w:line="240" w:lineRule="auto"/>
              <w:jc w:val="center"/>
              <w:rPr>
                <w:rFonts w:ascii="Times New Roman" w:hAnsi="Times New Roman" w:eastAsia="仿宋"/>
                <w:kern w:val="0"/>
                <w:sz w:val="21"/>
              </w:rPr>
            </w:pPr>
          </w:p>
        </w:tc>
        <w:tc>
          <w:tcPr>
            <w:tcW w:w="1412" w:type="dxa"/>
            <w:vMerge w:val="continue"/>
            <w:vAlign w:val="center"/>
          </w:tcPr>
          <w:p>
            <w:pPr>
              <w:adjustRightInd w:val="0"/>
              <w:snapToGrid w:val="0"/>
              <w:spacing w:before="12" w:after="12" w:line="240" w:lineRule="auto"/>
              <w:jc w:val="center"/>
              <w:rPr>
                <w:rFonts w:ascii="Times New Roman" w:hAnsi="Times New Roman" w:eastAsia="仿宋"/>
                <w:kern w:val="0"/>
                <w:sz w:val="21"/>
              </w:rPr>
            </w:pP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昼间</w:t>
            </w:r>
          </w:p>
        </w:tc>
        <w:tc>
          <w:tcPr>
            <w:tcW w:w="1576"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夜间</w:t>
            </w:r>
          </w:p>
        </w:tc>
        <w:tc>
          <w:tcPr>
            <w:tcW w:w="1287"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昼间</w:t>
            </w:r>
          </w:p>
        </w:tc>
        <w:tc>
          <w:tcPr>
            <w:tcW w:w="1284"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夜间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80" w:hRule="atLeast"/>
          <w:jc w:val="center"/>
        </w:trPr>
        <w:tc>
          <w:tcPr>
            <w:tcW w:w="99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1#</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2月27日</w:t>
            </w:r>
          </w:p>
        </w:tc>
        <w:tc>
          <w:tcPr>
            <w:tcW w:w="1412" w:type="dxa"/>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53</w:t>
            </w:r>
          </w:p>
        </w:tc>
        <w:tc>
          <w:tcPr>
            <w:tcW w:w="1576" w:type="dxa"/>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46</w:t>
            </w:r>
          </w:p>
        </w:tc>
        <w:tc>
          <w:tcPr>
            <w:tcW w:w="1287"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达标</w:t>
            </w:r>
          </w:p>
        </w:tc>
        <w:tc>
          <w:tcPr>
            <w:tcW w:w="1284"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trHeight w:val="280" w:hRule="atLeast"/>
          <w:jc w:val="center"/>
        </w:trPr>
        <w:tc>
          <w:tcPr>
            <w:tcW w:w="99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2#</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2月27日</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55</w:t>
            </w:r>
          </w:p>
        </w:tc>
        <w:tc>
          <w:tcPr>
            <w:tcW w:w="1576"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46</w:t>
            </w:r>
          </w:p>
        </w:tc>
        <w:tc>
          <w:tcPr>
            <w:tcW w:w="1287"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c>
          <w:tcPr>
            <w:tcW w:w="1284"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9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3#</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2月28日</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53</w:t>
            </w:r>
          </w:p>
        </w:tc>
        <w:tc>
          <w:tcPr>
            <w:tcW w:w="1576"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47</w:t>
            </w:r>
          </w:p>
        </w:tc>
        <w:tc>
          <w:tcPr>
            <w:tcW w:w="1287"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c>
          <w:tcPr>
            <w:tcW w:w="1284"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9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4#</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2月28日</w:t>
            </w:r>
          </w:p>
        </w:tc>
        <w:tc>
          <w:tcPr>
            <w:tcW w:w="1412"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52</w:t>
            </w:r>
          </w:p>
        </w:tc>
        <w:tc>
          <w:tcPr>
            <w:tcW w:w="1576" w:type="dxa"/>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46</w:t>
            </w:r>
          </w:p>
        </w:tc>
        <w:tc>
          <w:tcPr>
            <w:tcW w:w="1287"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c>
          <w:tcPr>
            <w:tcW w:w="1284" w:type="dxa"/>
            <w:vAlign w:val="center"/>
          </w:tcPr>
          <w:p>
            <w:pPr>
              <w:spacing w:line="240" w:lineRule="auto"/>
              <w:jc w:val="center"/>
              <w:rPr>
                <w:rFonts w:ascii="Times New Roman" w:hAnsi="Times New Roman" w:eastAsia="仿宋"/>
                <w:sz w:val="21"/>
                <w:szCs w:val="24"/>
              </w:rPr>
            </w:pPr>
            <w:r>
              <w:rPr>
                <w:rFonts w:ascii="Times New Roman" w:hAnsi="Times New Roman" w:eastAsia="仿宋"/>
                <w:sz w:val="21"/>
                <w:szCs w:val="24"/>
              </w:rPr>
              <w:t>达标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2404" w:type="dxa"/>
            <w:gridSpan w:val="2"/>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评价标准（2类）</w:t>
            </w:r>
          </w:p>
        </w:tc>
        <w:tc>
          <w:tcPr>
            <w:tcW w:w="5559" w:type="dxa"/>
            <w:gridSpan w:val="4"/>
            <w:vAlign w:val="center"/>
          </w:tcPr>
          <w:p>
            <w:pPr>
              <w:adjustRightInd w:val="0"/>
              <w:snapToGrid w:val="0"/>
              <w:spacing w:before="12" w:after="12" w:line="240" w:lineRule="auto"/>
              <w:jc w:val="center"/>
              <w:rPr>
                <w:rFonts w:ascii="Times New Roman" w:hAnsi="Times New Roman" w:eastAsia="仿宋"/>
                <w:kern w:val="0"/>
                <w:sz w:val="21"/>
              </w:rPr>
            </w:pPr>
            <w:r>
              <w:rPr>
                <w:rFonts w:ascii="Times New Roman" w:hAnsi="Times New Roman" w:eastAsia="仿宋"/>
                <w:kern w:val="0"/>
                <w:sz w:val="21"/>
              </w:rPr>
              <w:t>昼间≤60    夜间≤50</w:t>
            </w:r>
          </w:p>
        </w:tc>
      </w:tr>
    </w:tbl>
    <w:p>
      <w:pPr>
        <w:spacing w:before="240"/>
        <w:ind w:firstLine="480" w:firstLineChars="200"/>
        <w:rPr>
          <w:rFonts w:ascii="Times New Roman" w:hAnsi="Times New Roman"/>
          <w:sz w:val="24"/>
          <w:szCs w:val="24"/>
        </w:rPr>
      </w:pPr>
      <w:r>
        <w:rPr>
          <w:rFonts w:ascii="Times New Roman" w:hAnsi="Times New Roman"/>
          <w:sz w:val="24"/>
          <w:szCs w:val="24"/>
        </w:rPr>
        <w:t>监测结果表明，项目厂界声环境质量现状均能满足《声环境质量标准》（GB3096-2008）2类区相应的标准。</w:t>
      </w:r>
    </w:p>
    <w:p>
      <w:pPr>
        <w:pStyle w:val="108"/>
      </w:pPr>
      <w:bookmarkStart w:id="194" w:name="_Toc529441052"/>
      <w:bookmarkStart w:id="195" w:name="_Toc9873353"/>
      <w:bookmarkStart w:id="196" w:name="_Toc469564611"/>
      <w:bookmarkStart w:id="197" w:name="_Toc466979056"/>
      <w:bookmarkStart w:id="198" w:name="_Toc470185570"/>
      <w:r>
        <w:t>3.3.5 土壤环境质量现状监测与评价</w:t>
      </w:r>
      <w:bookmarkEnd w:id="194"/>
      <w:bookmarkEnd w:id="195"/>
      <w:bookmarkEnd w:id="196"/>
      <w:bookmarkEnd w:id="197"/>
      <w:bookmarkEnd w:id="198"/>
    </w:p>
    <w:p>
      <w:pPr>
        <w:ind w:firstLine="480" w:firstLineChars="200"/>
        <w:rPr>
          <w:rFonts w:ascii="Times New Roman" w:hAnsi="Times New Roman"/>
        </w:rPr>
      </w:pPr>
      <w:r>
        <w:rPr>
          <w:rFonts w:ascii="Times New Roman" w:hAnsi="Times New Roman"/>
          <w:sz w:val="24"/>
          <w:szCs w:val="24"/>
        </w:rPr>
        <w:t>本次环境质量现状监测委托四川炯测环保技术有限公司，监测报告详见附件。</w:t>
      </w:r>
    </w:p>
    <w:p>
      <w:pPr>
        <w:keepNext/>
        <w:keepLines/>
        <w:outlineLvl w:val="3"/>
        <w:rPr>
          <w:rFonts w:ascii="Times New Roman" w:hAnsi="Times New Roman"/>
          <w:b/>
          <w:bCs/>
          <w:sz w:val="24"/>
          <w:szCs w:val="28"/>
        </w:rPr>
      </w:pPr>
      <w:bookmarkStart w:id="199" w:name="_Toc469564612"/>
      <w:r>
        <w:rPr>
          <w:rFonts w:ascii="Times New Roman" w:hAnsi="Times New Roman"/>
          <w:b/>
          <w:bCs/>
          <w:sz w:val="24"/>
          <w:szCs w:val="28"/>
        </w:rPr>
        <w:t>3.3.5.1 监测方案</w:t>
      </w:r>
      <w:bookmarkEnd w:id="199"/>
    </w:p>
    <w:p>
      <w:pPr>
        <w:ind w:firstLine="480" w:firstLineChars="200"/>
        <w:rPr>
          <w:rFonts w:ascii="Times New Roman" w:hAnsi="Times New Roman"/>
          <w:sz w:val="24"/>
          <w:szCs w:val="24"/>
        </w:rPr>
      </w:pPr>
      <w:r>
        <w:rPr>
          <w:rFonts w:ascii="Times New Roman" w:hAnsi="Times New Roman"/>
          <w:sz w:val="24"/>
          <w:szCs w:val="24"/>
        </w:rPr>
        <w:t>监测点位：本次土壤环境质量现状监测共设置2个监测点位，详见表3.3-9。监测布点图见附图3。</w:t>
      </w:r>
    </w:p>
    <w:p>
      <w:pPr>
        <w:spacing w:line="240" w:lineRule="auto"/>
        <w:jc w:val="center"/>
        <w:rPr>
          <w:rFonts w:ascii="Times New Roman" w:hAnsi="Times New Roman" w:eastAsia="黑体"/>
          <w:sz w:val="21"/>
          <w:szCs w:val="24"/>
        </w:rPr>
      </w:pPr>
      <w:r>
        <w:rPr>
          <w:rFonts w:ascii="Times New Roman" w:hAnsi="Times New Roman" w:eastAsia="黑体"/>
          <w:sz w:val="21"/>
          <w:szCs w:val="24"/>
        </w:rPr>
        <w:t>表3.3-9  土壤环境质量现状监测点位</w:t>
      </w:r>
    </w:p>
    <w:tbl>
      <w:tblPr>
        <w:tblStyle w:val="90"/>
        <w:tblW w:w="8567" w:type="dxa"/>
        <w:jc w:val="center"/>
        <w:tblInd w:w="261"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450"/>
        <w:gridCol w:w="711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50" w:type="dxa"/>
            <w:vAlign w:val="center"/>
          </w:tcPr>
          <w:p>
            <w:pPr>
              <w:pStyle w:val="1886"/>
              <w:tabs>
                <w:tab w:val="left" w:pos="567"/>
              </w:tabs>
              <w:spacing w:line="240" w:lineRule="exact"/>
              <w:rPr>
                <w:rFonts w:ascii="Times New Roman" w:hAnsi="Times New Roman" w:cs="Times New Roman"/>
                <w:b/>
                <w:bCs/>
                <w:color w:val="auto"/>
              </w:rPr>
            </w:pPr>
            <w:r>
              <w:rPr>
                <w:rFonts w:ascii="Times New Roman" w:hAnsi="Times New Roman" w:cs="Times New Roman"/>
                <w:b/>
                <w:bCs/>
                <w:color w:val="auto"/>
              </w:rPr>
              <w:t>监测点号</w:t>
            </w:r>
          </w:p>
        </w:tc>
        <w:tc>
          <w:tcPr>
            <w:tcW w:w="7117" w:type="dxa"/>
            <w:vAlign w:val="center"/>
          </w:tcPr>
          <w:p>
            <w:pPr>
              <w:pStyle w:val="1886"/>
              <w:tabs>
                <w:tab w:val="left" w:pos="567"/>
              </w:tabs>
              <w:spacing w:line="240" w:lineRule="exact"/>
              <w:rPr>
                <w:rFonts w:ascii="Times New Roman" w:hAnsi="Times New Roman" w:cs="Times New Roman"/>
                <w:b/>
                <w:bCs/>
                <w:color w:val="auto"/>
              </w:rPr>
            </w:pPr>
            <w:r>
              <w:rPr>
                <w:rFonts w:ascii="Times New Roman" w:hAnsi="Times New Roman" w:cs="Times New Roman"/>
                <w:b/>
                <w:bCs/>
                <w:color w:val="auto"/>
              </w:rPr>
              <w:t>名称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50" w:type="dxa"/>
            <w:vAlign w:val="center"/>
          </w:tcPr>
          <w:p>
            <w:pPr>
              <w:pStyle w:val="1886"/>
              <w:tabs>
                <w:tab w:val="left" w:pos="567"/>
              </w:tabs>
              <w:spacing w:line="240" w:lineRule="exact"/>
              <w:rPr>
                <w:rFonts w:ascii="Times New Roman" w:hAnsi="Times New Roman" w:cs="Times New Roman"/>
                <w:bCs/>
                <w:color w:val="auto"/>
              </w:rPr>
            </w:pPr>
            <w:r>
              <w:rPr>
                <w:rFonts w:ascii="Times New Roman" w:hAnsi="Times New Roman" w:cs="Times New Roman"/>
                <w:bCs/>
                <w:color w:val="auto"/>
              </w:rPr>
              <w:t>8#</w:t>
            </w:r>
          </w:p>
        </w:tc>
        <w:tc>
          <w:tcPr>
            <w:tcW w:w="7117" w:type="dxa"/>
            <w:vAlign w:val="center"/>
          </w:tcPr>
          <w:p>
            <w:pPr>
              <w:pStyle w:val="1886"/>
              <w:tabs>
                <w:tab w:val="left" w:pos="567"/>
              </w:tabs>
              <w:spacing w:line="240" w:lineRule="exact"/>
              <w:rPr>
                <w:rFonts w:ascii="Times New Roman" w:hAnsi="Times New Roman" w:cs="Times New Roman"/>
                <w:bCs/>
                <w:color w:val="auto"/>
              </w:rPr>
            </w:pPr>
            <w:r>
              <w:rPr>
                <w:rFonts w:ascii="Times New Roman" w:hAnsi="Times New Roman" w:cs="Times New Roman"/>
                <w:bCs/>
                <w:color w:val="auto"/>
              </w:rPr>
              <w:t>项目地厂界红线内中心点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450" w:type="dxa"/>
            <w:vAlign w:val="center"/>
          </w:tcPr>
          <w:p>
            <w:pPr>
              <w:pStyle w:val="1886"/>
              <w:tabs>
                <w:tab w:val="left" w:pos="567"/>
              </w:tabs>
              <w:spacing w:line="240" w:lineRule="exact"/>
              <w:rPr>
                <w:rFonts w:ascii="Times New Roman" w:hAnsi="Times New Roman" w:cs="Times New Roman"/>
                <w:bCs/>
                <w:color w:val="auto"/>
              </w:rPr>
            </w:pPr>
            <w:r>
              <w:rPr>
                <w:rFonts w:ascii="Times New Roman" w:hAnsi="Times New Roman" w:cs="Times New Roman"/>
                <w:bCs/>
                <w:color w:val="auto"/>
              </w:rPr>
              <w:t>9#</w:t>
            </w:r>
          </w:p>
        </w:tc>
        <w:tc>
          <w:tcPr>
            <w:tcW w:w="7117" w:type="dxa"/>
            <w:vAlign w:val="center"/>
          </w:tcPr>
          <w:p>
            <w:pPr>
              <w:pStyle w:val="1886"/>
              <w:tabs>
                <w:tab w:val="left" w:pos="567"/>
              </w:tabs>
              <w:spacing w:line="240" w:lineRule="exact"/>
              <w:rPr>
                <w:rFonts w:ascii="Times New Roman" w:hAnsi="Times New Roman" w:cs="Times New Roman"/>
                <w:bCs/>
                <w:color w:val="auto"/>
              </w:rPr>
            </w:pPr>
            <w:r>
              <w:rPr>
                <w:rFonts w:ascii="Times New Roman" w:hAnsi="Times New Roman" w:cs="Times New Roman"/>
                <w:bCs/>
                <w:color w:val="auto"/>
              </w:rPr>
              <w:t>项目地西侧农田</w:t>
            </w:r>
          </w:p>
        </w:tc>
      </w:tr>
    </w:tbl>
    <w:p>
      <w:pPr>
        <w:ind w:firstLine="480" w:firstLineChars="200"/>
        <w:rPr>
          <w:rFonts w:ascii="Times New Roman" w:hAnsi="Times New Roman"/>
          <w:sz w:val="24"/>
          <w:szCs w:val="24"/>
        </w:rPr>
      </w:pPr>
      <w:r>
        <w:rPr>
          <w:rFonts w:ascii="Times New Roman" w:hAnsi="Times New Roman"/>
          <w:sz w:val="24"/>
          <w:szCs w:val="24"/>
        </w:rPr>
        <w:t>监测时间及频次：2019年2月27日。监测1天，采样1次。</w:t>
      </w:r>
    </w:p>
    <w:p>
      <w:pPr>
        <w:ind w:firstLine="480" w:firstLineChars="200"/>
        <w:rPr>
          <w:rFonts w:ascii="Times New Roman" w:hAnsi="Times New Roman"/>
          <w:sz w:val="24"/>
          <w:szCs w:val="24"/>
        </w:rPr>
      </w:pPr>
      <w:bookmarkStart w:id="200" w:name="_Toc469564614"/>
      <w:r>
        <w:rPr>
          <w:rFonts w:ascii="Times New Roman" w:hAnsi="Times New Roman"/>
          <w:sz w:val="24"/>
          <w:szCs w:val="24"/>
        </w:rPr>
        <w:t>监测项目：pH、砷、镉、</w:t>
      </w:r>
      <w:r>
        <w:rPr>
          <w:rFonts w:hint="eastAsia" w:ascii="Times New Roman" w:hAnsi="Times New Roman"/>
          <w:sz w:val="24"/>
          <w:szCs w:val="24"/>
        </w:rPr>
        <w:t>铬（六价）、</w:t>
      </w:r>
      <w:r>
        <w:rPr>
          <w:rFonts w:ascii="Times New Roman" w:hAnsi="Times New Roman"/>
          <w:sz w:val="24"/>
          <w:szCs w:val="24"/>
        </w:rPr>
        <w:t>铬、铜、铅、汞、镍。</w:t>
      </w:r>
    </w:p>
    <w:p>
      <w:pPr>
        <w:keepNext/>
        <w:keepLines/>
        <w:outlineLvl w:val="3"/>
        <w:rPr>
          <w:rFonts w:ascii="Times New Roman" w:hAnsi="Times New Roman"/>
          <w:b/>
          <w:bCs/>
          <w:color w:val="000000" w:themeColor="text1"/>
          <w:sz w:val="24"/>
          <w:szCs w:val="28"/>
          <w14:textFill>
            <w14:solidFill>
              <w14:schemeClr w14:val="tx1"/>
            </w14:solidFill>
          </w14:textFill>
        </w:rPr>
      </w:pPr>
      <w:bookmarkStart w:id="201" w:name="_Toc469564613"/>
      <w:r>
        <w:rPr>
          <w:rFonts w:ascii="Times New Roman" w:hAnsi="Times New Roman"/>
          <w:b/>
          <w:bCs/>
          <w:color w:val="000000" w:themeColor="text1"/>
          <w:sz w:val="24"/>
          <w:szCs w:val="28"/>
          <w14:textFill>
            <w14:solidFill>
              <w14:schemeClr w14:val="tx1"/>
            </w14:solidFill>
          </w14:textFill>
        </w:rPr>
        <w:t>3.3.5.2 监测结果</w:t>
      </w:r>
      <w:bookmarkEnd w:id="201"/>
    </w:p>
    <w:p>
      <w:pPr>
        <w:ind w:firstLine="480" w:firstLineChars="200"/>
        <w:rPr>
          <w:rFonts w:ascii="Times New Roman" w:hAnsi="Times New Roman"/>
          <w:sz w:val="24"/>
          <w:szCs w:val="24"/>
        </w:rPr>
      </w:pPr>
      <w:r>
        <w:rPr>
          <w:rFonts w:ascii="Times New Roman" w:hAnsi="Times New Roman"/>
          <w:sz w:val="24"/>
          <w:szCs w:val="24"/>
        </w:rPr>
        <w:t>土壤环境监测结果见表3.3-10。</w:t>
      </w:r>
    </w:p>
    <w:p>
      <w:pPr>
        <w:spacing w:line="240" w:lineRule="auto"/>
        <w:jc w:val="center"/>
        <w:rPr>
          <w:rFonts w:ascii="Times New Roman" w:hAnsi="Times New Roman" w:eastAsia="黑体"/>
          <w:color w:val="000000" w:themeColor="text1"/>
          <w:sz w:val="21"/>
          <w:szCs w:val="24"/>
          <w14:textFill>
            <w14:solidFill>
              <w14:schemeClr w14:val="tx1"/>
            </w14:solidFill>
          </w14:textFill>
        </w:rPr>
      </w:pPr>
      <w:r>
        <w:rPr>
          <w:rFonts w:ascii="Times New Roman" w:hAnsi="Times New Roman" w:eastAsia="黑体"/>
          <w:color w:val="000000" w:themeColor="text1"/>
          <w:sz w:val="21"/>
          <w:szCs w:val="24"/>
          <w14:textFill>
            <w14:solidFill>
              <w14:schemeClr w14:val="tx1"/>
            </w14:solidFill>
          </w14:textFill>
        </w:rPr>
        <w:t>表3.3-10  土壤环境监测结果   单位：mg/kg，pH无量纲</w:t>
      </w:r>
    </w:p>
    <w:tbl>
      <w:tblPr>
        <w:tblStyle w:val="90"/>
        <w:tblW w:w="8782" w:type="dxa"/>
        <w:jc w:val="center"/>
        <w:tblInd w:w="192"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07"/>
        <w:gridCol w:w="1398"/>
        <w:gridCol w:w="2028"/>
        <w:gridCol w:w="1909"/>
        <w:gridCol w:w="224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restart"/>
            <w:tcMar>
              <w:left w:w="0" w:type="dxa"/>
              <w:right w:w="0" w:type="dxa"/>
            </w:tcMar>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监测时间</w:t>
            </w:r>
          </w:p>
        </w:tc>
        <w:tc>
          <w:tcPr>
            <w:tcW w:w="1398" w:type="dxa"/>
            <w:vMerge w:val="restart"/>
            <w:tcMar>
              <w:left w:w="0" w:type="dxa"/>
              <w:right w:w="0" w:type="dxa"/>
            </w:tcMar>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监测项目</w:t>
            </w:r>
          </w:p>
        </w:tc>
        <w:tc>
          <w:tcPr>
            <w:tcW w:w="6177" w:type="dxa"/>
            <w:gridSpan w:val="3"/>
            <w:tcMar>
              <w:left w:w="0" w:type="dxa"/>
              <w:right w:w="0" w:type="dxa"/>
            </w:tcMar>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监测结果</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b/>
                <w:sz w:val="21"/>
                <w:szCs w:val="21"/>
              </w:rPr>
            </w:pPr>
          </w:p>
        </w:tc>
        <w:tc>
          <w:tcPr>
            <w:tcW w:w="1398" w:type="dxa"/>
            <w:vMerge w:val="continue"/>
            <w:tcMar>
              <w:left w:w="0" w:type="dxa"/>
              <w:right w:w="0" w:type="dxa"/>
            </w:tcMar>
            <w:vAlign w:val="center"/>
          </w:tcPr>
          <w:p>
            <w:pPr>
              <w:jc w:val="center"/>
              <w:rPr>
                <w:rFonts w:ascii="Times New Roman" w:hAnsi="Times New Roman" w:eastAsiaTheme="minorEastAsia"/>
                <w:b/>
                <w:sz w:val="21"/>
                <w:szCs w:val="21"/>
              </w:rPr>
            </w:pPr>
          </w:p>
        </w:tc>
        <w:tc>
          <w:tcPr>
            <w:tcW w:w="2028" w:type="dxa"/>
            <w:tcMar>
              <w:left w:w="0" w:type="dxa"/>
              <w:right w:w="0" w:type="dxa"/>
            </w:tcMar>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8#</w:t>
            </w:r>
          </w:p>
        </w:tc>
        <w:tc>
          <w:tcPr>
            <w:tcW w:w="1909"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9#</w:t>
            </w:r>
          </w:p>
        </w:tc>
        <w:tc>
          <w:tcPr>
            <w:tcW w:w="2240" w:type="dxa"/>
            <w:vAlign w:val="center"/>
          </w:tcPr>
          <w:p>
            <w:pPr>
              <w:jc w:val="center"/>
              <w:rPr>
                <w:rFonts w:ascii="Times New Roman" w:hAnsi="Times New Roman" w:eastAsiaTheme="minorEastAsia"/>
                <w:b/>
                <w:sz w:val="21"/>
                <w:szCs w:val="21"/>
              </w:rPr>
            </w:pPr>
            <w:r>
              <w:rPr>
                <w:rFonts w:ascii="Times New Roman" w:hAnsi="Times New Roman" w:eastAsiaTheme="minorEastAsia"/>
                <w:b/>
                <w:sz w:val="21"/>
                <w:szCs w:val="21"/>
              </w:rPr>
              <w:t>标准值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restart"/>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2019.2.27</w:t>
            </w: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6.53</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6.57</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砷</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3.62</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5.75</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60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镉</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0.15</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0.17</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65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铬（六价）</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2.16</w:t>
            </w:r>
          </w:p>
        </w:tc>
        <w:tc>
          <w:tcPr>
            <w:tcW w:w="1909"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2240"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5.7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铬</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84</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铜</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35</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34</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18000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铅</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36.2</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37.8</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800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汞</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0.028</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0.067</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38</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07" w:type="dxa"/>
            <w:vMerge w:val="continue"/>
            <w:tcMar>
              <w:left w:w="0" w:type="dxa"/>
              <w:right w:w="0" w:type="dxa"/>
            </w:tcMar>
            <w:vAlign w:val="center"/>
          </w:tcPr>
          <w:p>
            <w:pPr>
              <w:jc w:val="center"/>
              <w:rPr>
                <w:rFonts w:ascii="Times New Roman" w:hAnsi="Times New Roman" w:eastAsiaTheme="minorEastAsia"/>
                <w:sz w:val="21"/>
                <w:szCs w:val="21"/>
              </w:rPr>
            </w:pPr>
          </w:p>
        </w:tc>
        <w:tc>
          <w:tcPr>
            <w:tcW w:w="139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镍</w:t>
            </w:r>
          </w:p>
        </w:tc>
        <w:tc>
          <w:tcPr>
            <w:tcW w:w="2028" w:type="dxa"/>
            <w:tcMar>
              <w:left w:w="0" w:type="dxa"/>
              <w:right w:w="0"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37</w:t>
            </w:r>
          </w:p>
        </w:tc>
        <w:tc>
          <w:tcPr>
            <w:tcW w:w="190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36</w:t>
            </w:r>
          </w:p>
        </w:tc>
        <w:tc>
          <w:tcPr>
            <w:tcW w:w="22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900</w:t>
            </w:r>
          </w:p>
        </w:tc>
      </w:tr>
    </w:tbl>
    <w:p>
      <w:pPr>
        <w:keepNext/>
        <w:keepLines/>
        <w:outlineLvl w:val="3"/>
        <w:rPr>
          <w:rFonts w:ascii="Times New Roman" w:hAnsi="Times New Roman"/>
          <w:b/>
          <w:bCs/>
          <w:sz w:val="24"/>
          <w:szCs w:val="28"/>
        </w:rPr>
      </w:pPr>
      <w:r>
        <w:rPr>
          <w:rFonts w:ascii="Times New Roman" w:hAnsi="Times New Roman"/>
          <w:b/>
          <w:bCs/>
          <w:sz w:val="24"/>
          <w:szCs w:val="28"/>
        </w:rPr>
        <w:t>3.3.5.3 土壤环境质量评价</w:t>
      </w:r>
      <w:bookmarkEnd w:id="200"/>
    </w:p>
    <w:p>
      <w:pPr>
        <w:ind w:firstLine="482" w:firstLineChars="200"/>
        <w:rPr>
          <w:rFonts w:ascii="Times New Roman" w:hAnsi="Times New Roman"/>
          <w:b/>
          <w:sz w:val="24"/>
          <w:szCs w:val="24"/>
        </w:rPr>
      </w:pPr>
      <w:r>
        <w:rPr>
          <w:rFonts w:ascii="Times New Roman" w:hAnsi="Times New Roman"/>
          <w:b/>
          <w:sz w:val="24"/>
          <w:szCs w:val="24"/>
        </w:rPr>
        <w:t>（1）评价标准</w:t>
      </w:r>
    </w:p>
    <w:p>
      <w:pPr>
        <w:ind w:firstLine="480" w:firstLineChars="200"/>
        <w:rPr>
          <w:rFonts w:ascii="Times New Roman" w:hAnsi="Times New Roman"/>
          <w:sz w:val="24"/>
          <w:szCs w:val="24"/>
        </w:rPr>
      </w:pPr>
      <w:r>
        <w:rPr>
          <w:rFonts w:ascii="Times New Roman" w:hAnsi="Times New Roman"/>
          <w:sz w:val="24"/>
          <w:szCs w:val="24"/>
        </w:rPr>
        <w:t>评价区土壤执行《土壤环境质量建设用地土壤污染风险管控标准（试行）》（GB36600-2018）中表1中第二类用地筛选值。</w:t>
      </w:r>
    </w:p>
    <w:p>
      <w:pPr>
        <w:ind w:firstLine="482" w:firstLineChars="200"/>
        <w:rPr>
          <w:rFonts w:ascii="Times New Roman" w:hAnsi="Times New Roman"/>
          <w:b/>
          <w:sz w:val="24"/>
          <w:szCs w:val="24"/>
        </w:rPr>
      </w:pPr>
      <w:r>
        <w:rPr>
          <w:rFonts w:ascii="Times New Roman" w:hAnsi="Times New Roman"/>
          <w:b/>
          <w:sz w:val="24"/>
          <w:szCs w:val="24"/>
        </w:rPr>
        <w:t>（2）评价结果</w:t>
      </w:r>
    </w:p>
    <w:p>
      <w:pPr>
        <w:ind w:firstLine="480" w:firstLineChars="200"/>
        <w:rPr>
          <w:rFonts w:ascii="Times New Roman" w:hAnsi="Times New Roman"/>
          <w:sz w:val="24"/>
          <w:szCs w:val="24"/>
        </w:rPr>
      </w:pPr>
      <w:r>
        <w:rPr>
          <w:rFonts w:ascii="Times New Roman" w:hAnsi="Times New Roman"/>
          <w:sz w:val="24"/>
          <w:szCs w:val="24"/>
        </w:rPr>
        <w:t>由监测结果分析可知：项目区域土壤环境中各项因子的监测浓度值均满足《土壤环境质量 建设用地土壤污染风险管控标准（试行）》（GB36600-2018）中表1中第二类用地筛选值。评价区域内土壤环境质量良好。</w:t>
      </w:r>
    </w:p>
    <w:p>
      <w:pPr>
        <w:widowControl/>
        <w:jc w:val="left"/>
        <w:rPr>
          <w:rFonts w:ascii="Times New Roman" w:hAnsi="Times New Roman" w:eastAsiaTheme="minorEastAsia"/>
          <w:sz w:val="24"/>
          <w:szCs w:val="24"/>
        </w:rPr>
      </w:pPr>
    </w:p>
    <w:p>
      <w:pPr>
        <w:widowControl/>
        <w:ind w:firstLine="480" w:firstLineChars="200"/>
        <w:jc w:val="left"/>
        <w:rPr>
          <w:rFonts w:ascii="Times New Roman" w:hAnsi="Times New Roman" w:eastAsiaTheme="minorEastAsia"/>
          <w:sz w:val="24"/>
          <w:szCs w:val="24"/>
        </w:rPr>
        <w:sectPr>
          <w:headerReference r:id="rId10" w:type="default"/>
          <w:pgSz w:w="11906" w:h="16838"/>
          <w:pgMar w:top="1440" w:right="1800" w:bottom="1440" w:left="1800" w:header="851" w:footer="992" w:gutter="0"/>
          <w:cols w:space="425" w:num="1"/>
          <w:docGrid w:type="lines" w:linePitch="312" w:charSpace="0"/>
        </w:sectPr>
      </w:pPr>
    </w:p>
    <w:p>
      <w:pPr>
        <w:pStyle w:val="101"/>
        <w:spacing w:before="780" w:after="780"/>
        <w:rPr>
          <w:rFonts w:ascii="Times New Roman" w:hAnsi="Times New Roman"/>
        </w:rPr>
      </w:pPr>
      <w:bookmarkStart w:id="202" w:name="_Toc9873354"/>
      <w:r>
        <w:rPr>
          <w:rFonts w:ascii="Times New Roman" w:hAnsi="Times New Roman"/>
        </w:rPr>
        <w:t>第四章  施工期环境影响预测与评价</w:t>
      </w:r>
      <w:bookmarkEnd w:id="202"/>
    </w:p>
    <w:p>
      <w:pPr>
        <w:spacing w:line="470" w:lineRule="exact"/>
        <w:ind w:firstLine="480" w:firstLineChars="200"/>
        <w:rPr>
          <w:rFonts w:ascii="Times New Roman" w:hAnsi="Times New Roman"/>
          <w:sz w:val="24"/>
        </w:rPr>
      </w:pPr>
      <w:r>
        <w:rPr>
          <w:rFonts w:ascii="Times New Roman" w:hAnsi="Times New Roman"/>
          <w:sz w:val="24"/>
        </w:rPr>
        <w:t>本项目利用</w:t>
      </w:r>
      <w:r>
        <w:rPr>
          <w:rFonts w:ascii="Times New Roman" w:hAnsi="Times New Roman"/>
          <w:sz w:val="24"/>
          <w:szCs w:val="24"/>
        </w:rPr>
        <w:t>预留二期用地约60亩</w:t>
      </w:r>
      <w:r>
        <w:rPr>
          <w:rFonts w:ascii="Times New Roman" w:hAnsi="Times New Roman"/>
          <w:sz w:val="24"/>
        </w:rPr>
        <w:t>，施工期约22个月，建设内容包括：圈舍、辅助设施、场区道路、管网布设、污水处理工程等。项目施工期的环境影响主要来自以下几方面：</w:t>
      </w:r>
      <w:r>
        <w:rPr>
          <w:rFonts w:hint="eastAsia" w:ascii="宋体" w:hAnsi="宋体" w:cs="宋体"/>
          <w:sz w:val="24"/>
        </w:rPr>
        <w:t>①</w:t>
      </w:r>
      <w:r>
        <w:rPr>
          <w:rFonts w:ascii="Times New Roman" w:hAnsi="Times New Roman"/>
          <w:sz w:val="24"/>
        </w:rPr>
        <w:t>噪声：施工活动、施工机械、车辆产生的噪声影响；</w:t>
      </w:r>
      <w:r>
        <w:rPr>
          <w:rFonts w:hint="eastAsia" w:ascii="宋体" w:hAnsi="宋体" w:cs="宋体"/>
          <w:sz w:val="24"/>
        </w:rPr>
        <w:t>②</w:t>
      </w:r>
      <w:r>
        <w:rPr>
          <w:rFonts w:ascii="Times New Roman" w:hAnsi="Times New Roman"/>
          <w:sz w:val="24"/>
        </w:rPr>
        <w:t>施工扬尘及废气：主要施工场地施工过程中产生的扬尘及机械、车辆所排尾气；</w:t>
      </w:r>
      <w:r>
        <w:rPr>
          <w:rFonts w:hint="eastAsia" w:ascii="宋体" w:hAnsi="宋体" w:cs="宋体"/>
          <w:sz w:val="24"/>
        </w:rPr>
        <w:t>③</w:t>
      </w:r>
      <w:r>
        <w:rPr>
          <w:rFonts w:ascii="Times New Roman" w:hAnsi="Times New Roman"/>
          <w:sz w:val="24"/>
        </w:rPr>
        <w:t>废水：施工废水和施工人员生活污水影响；</w:t>
      </w:r>
      <w:r>
        <w:rPr>
          <w:rFonts w:hint="eastAsia" w:ascii="宋体" w:hAnsi="宋体" w:cs="宋体"/>
          <w:sz w:val="24"/>
        </w:rPr>
        <w:t>④</w:t>
      </w:r>
      <w:r>
        <w:rPr>
          <w:rFonts w:ascii="Times New Roman" w:hAnsi="Times New Roman"/>
          <w:sz w:val="24"/>
        </w:rPr>
        <w:t>固体废物：来自场区占地开挖及挖土临时堆放产生的弃土、水土流失影响。</w:t>
      </w:r>
    </w:p>
    <w:p>
      <w:pPr>
        <w:pStyle w:val="103"/>
        <w:numPr>
          <w:ilvl w:val="0"/>
          <w:numId w:val="0"/>
        </w:numPr>
        <w:rPr>
          <w:rFonts w:ascii="Times New Roman" w:hAnsi="Times New Roman"/>
          <w:b w:val="0"/>
          <w:bCs/>
          <w:kern w:val="28"/>
          <w:sz w:val="32"/>
          <w:szCs w:val="32"/>
        </w:rPr>
      </w:pPr>
      <w:bookmarkStart w:id="203" w:name="_Toc9873355"/>
      <w:r>
        <w:rPr>
          <w:rFonts w:ascii="Times New Roman" w:hAnsi="Times New Roman"/>
          <w:b w:val="0"/>
          <w:bCs/>
          <w:kern w:val="28"/>
          <w:sz w:val="32"/>
          <w:szCs w:val="32"/>
        </w:rPr>
        <w:t>4.1 施工期声环境影响分析</w:t>
      </w:r>
      <w:bookmarkEnd w:id="203"/>
    </w:p>
    <w:p>
      <w:pPr>
        <w:pStyle w:val="108"/>
      </w:pPr>
      <w:bookmarkStart w:id="204" w:name="_Toc9873356"/>
      <w:bookmarkStart w:id="205" w:name="_Toc161196229"/>
      <w:r>
        <w:t>4.1.1 施工期噪声源强</w:t>
      </w:r>
      <w:bookmarkEnd w:id="204"/>
    </w:p>
    <w:p>
      <w:pPr>
        <w:spacing w:line="470" w:lineRule="exact"/>
        <w:ind w:firstLine="480" w:firstLineChars="200"/>
        <w:rPr>
          <w:rFonts w:ascii="Times New Roman" w:hAnsi="Times New Roman"/>
          <w:sz w:val="24"/>
        </w:rPr>
      </w:pPr>
      <w:r>
        <w:rPr>
          <w:rFonts w:ascii="Times New Roman" w:hAnsi="Times New Roman"/>
          <w:sz w:val="24"/>
        </w:rPr>
        <w:t>施工期噪声分为机械噪声、施工作业噪声和施工车辆噪声。这些噪声的特点是均为间歇性非稳态声源。机械噪声多为点声源，主要由挖土机械、打桩机械、升降机等产生。根据项目施工特点，项目施工作业噪声多为瞬间噪声，指施工中一些零星的敲打声、装卸车辆的撞击声、吆喝声、拆装模板的撞击声等。而施工期使用的运输车辆多为大吨位车辆，其交通噪声也成为一个重要的影响因素。</w:t>
      </w:r>
    </w:p>
    <w:p>
      <w:pPr>
        <w:spacing w:line="470" w:lineRule="exact"/>
        <w:ind w:firstLine="480" w:firstLineChars="200"/>
        <w:rPr>
          <w:rFonts w:ascii="Times New Roman" w:hAnsi="Times New Roman"/>
          <w:sz w:val="24"/>
        </w:rPr>
      </w:pPr>
      <w:r>
        <w:rPr>
          <w:rFonts w:ascii="Times New Roman" w:hAnsi="Times New Roman"/>
          <w:sz w:val="24"/>
        </w:rPr>
        <w:t>施工期噪声包括各建筑机械和运输车辆的噪声，其声级值一般在85~110dB(A)，施工期主要噪声源情况见表4.1-1和表4.1-2。</w:t>
      </w:r>
    </w:p>
    <w:p>
      <w:pPr>
        <w:spacing w:line="360" w:lineRule="exact"/>
        <w:jc w:val="center"/>
        <w:rPr>
          <w:rFonts w:ascii="Times New Roman" w:hAnsi="Times New Roman" w:eastAsia="黑体"/>
          <w:sz w:val="21"/>
          <w:szCs w:val="21"/>
        </w:rPr>
      </w:pPr>
      <w:r>
        <w:rPr>
          <w:rFonts w:ascii="Times New Roman" w:hAnsi="Times New Roman" w:eastAsia="黑体"/>
          <w:sz w:val="21"/>
          <w:szCs w:val="21"/>
        </w:rPr>
        <w:t>表4.1-1  施工期噪声声源强度表</w:t>
      </w:r>
    </w:p>
    <w:tbl>
      <w:tblPr>
        <w:tblStyle w:val="90"/>
        <w:tblW w:w="838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
      <w:tblGrid>
        <w:gridCol w:w="526"/>
        <w:gridCol w:w="1519"/>
        <w:gridCol w:w="2131"/>
        <w:gridCol w:w="1755"/>
        <w:gridCol w:w="1529"/>
        <w:gridCol w:w="92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序号</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机械类型</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rPr>
            </w:pPr>
            <w:r>
              <w:rPr>
                <w:rFonts w:ascii="Times New Roman" w:hAnsi="Times New Roman" w:eastAsiaTheme="minorEastAsia"/>
                <w:sz w:val="21"/>
                <w:szCs w:val="21"/>
              </w:rPr>
              <w:t>测点距施工机械距离</w:t>
            </w:r>
          </w:p>
          <w:p>
            <w:pPr>
              <w:spacing w:line="240" w:lineRule="auto"/>
              <w:contextualSpacing/>
              <w:jc w:val="center"/>
              <w:rPr>
                <w:rFonts w:ascii="Times New Roman" w:hAnsi="Times New Roman" w:eastAsiaTheme="minorEastAsia"/>
                <w:sz w:val="21"/>
                <w:szCs w:val="21"/>
              </w:rPr>
            </w:pPr>
            <w:r>
              <w:rPr>
                <w:rFonts w:ascii="Times New Roman" w:hAnsi="Times New Roman" w:eastAsiaTheme="minorEastAsia"/>
                <w:sz w:val="21"/>
                <w:szCs w:val="21"/>
              </w:rPr>
              <w:t>（m）</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最高声级值 Lmax</w:t>
            </w:r>
          </w:p>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dB(A)</w:t>
            </w:r>
          </w:p>
        </w:tc>
        <w:tc>
          <w:tcPr>
            <w:tcW w:w="152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主要减噪措施</w:t>
            </w: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减噪值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电锯、电刨</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95</w:t>
            </w:r>
          </w:p>
        </w:tc>
        <w:tc>
          <w:tcPr>
            <w:tcW w:w="1529" w:type="dxa"/>
            <w:vMerge w:val="restart"/>
            <w:shd w:val="clear" w:color="auto" w:fill="auto"/>
            <w:vAlign w:val="center"/>
          </w:tcPr>
          <w:p>
            <w:pPr>
              <w:spacing w:line="240" w:lineRule="auto"/>
              <w:contextualSpacing/>
              <w:jc w:val="center"/>
              <w:rPr>
                <w:rFonts w:ascii="Times New Roman" w:hAnsi="Times New Roman" w:eastAsiaTheme="minorEastAsia"/>
                <w:sz w:val="21"/>
                <w:szCs w:val="21"/>
              </w:rPr>
            </w:pPr>
            <w:r>
              <w:rPr>
                <w:rFonts w:ascii="Times New Roman" w:hAnsi="Times New Roman" w:eastAsiaTheme="minorEastAsia"/>
                <w:sz w:val="21"/>
                <w:szCs w:val="21"/>
              </w:rPr>
              <w:t>减震、消声，设置临时隔声屏障等</w:t>
            </w: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2</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振捣棒</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95</w:t>
            </w:r>
          </w:p>
        </w:tc>
        <w:tc>
          <w:tcPr>
            <w:tcW w:w="1529" w:type="dxa"/>
            <w:vMerge w:val="continue"/>
            <w:shd w:val="clear" w:color="auto" w:fill="auto"/>
            <w:vAlign w:val="center"/>
          </w:tcPr>
          <w:p>
            <w:pPr>
              <w:spacing w:line="240" w:lineRule="auto"/>
              <w:contextualSpacing/>
              <w:jc w:val="center"/>
              <w:rPr>
                <w:rFonts w:ascii="Times New Roman" w:hAnsi="Times New Roman" w:eastAsiaTheme="minorEastAsia"/>
                <w:sz w:val="21"/>
                <w:szCs w:val="21"/>
                <w:lang w:eastAsia="en-US"/>
              </w:rPr>
            </w:pP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rPr>
            </w:pPr>
            <w:r>
              <w:rPr>
                <w:rFonts w:ascii="Times New Roman" w:hAnsi="Times New Roman" w:eastAsiaTheme="minorEastAsia"/>
                <w:sz w:val="21"/>
                <w:szCs w:val="21"/>
              </w:rPr>
              <w:t>小型吊车、小型升降机</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15</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80</w:t>
            </w:r>
          </w:p>
        </w:tc>
        <w:tc>
          <w:tcPr>
            <w:tcW w:w="1529" w:type="dxa"/>
            <w:vMerge w:val="continue"/>
            <w:shd w:val="clear" w:color="auto" w:fill="auto"/>
            <w:vAlign w:val="center"/>
          </w:tcPr>
          <w:p>
            <w:pPr>
              <w:spacing w:line="240" w:lineRule="auto"/>
              <w:contextualSpacing/>
              <w:jc w:val="center"/>
              <w:rPr>
                <w:rFonts w:ascii="Times New Roman" w:hAnsi="Times New Roman" w:eastAsiaTheme="minorEastAsia"/>
                <w:sz w:val="21"/>
                <w:szCs w:val="21"/>
                <w:lang w:eastAsia="en-US"/>
              </w:rPr>
            </w:pP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钻孔机</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100</w:t>
            </w:r>
          </w:p>
        </w:tc>
        <w:tc>
          <w:tcPr>
            <w:tcW w:w="1529" w:type="dxa"/>
            <w:vMerge w:val="continue"/>
            <w:shd w:val="clear" w:color="auto" w:fill="auto"/>
            <w:vAlign w:val="center"/>
          </w:tcPr>
          <w:p>
            <w:pPr>
              <w:spacing w:line="240" w:lineRule="auto"/>
              <w:contextualSpacing/>
              <w:jc w:val="center"/>
              <w:rPr>
                <w:rFonts w:ascii="Times New Roman" w:hAnsi="Times New Roman" w:eastAsiaTheme="minorEastAsia"/>
                <w:sz w:val="21"/>
                <w:szCs w:val="21"/>
                <w:lang w:eastAsia="en-US"/>
              </w:rPr>
            </w:pP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风动机具</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95</w:t>
            </w:r>
          </w:p>
        </w:tc>
        <w:tc>
          <w:tcPr>
            <w:tcW w:w="1529" w:type="dxa"/>
            <w:vMerge w:val="continue"/>
            <w:shd w:val="clear" w:color="auto" w:fill="auto"/>
            <w:vAlign w:val="center"/>
          </w:tcPr>
          <w:p>
            <w:pPr>
              <w:spacing w:line="240" w:lineRule="auto"/>
              <w:contextualSpacing/>
              <w:jc w:val="center"/>
              <w:rPr>
                <w:rFonts w:ascii="Times New Roman" w:hAnsi="Times New Roman" w:eastAsiaTheme="minorEastAsia"/>
                <w:sz w:val="21"/>
                <w:szCs w:val="21"/>
                <w:lang w:eastAsia="en-US"/>
              </w:rPr>
            </w:pP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小型推土机</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86</w:t>
            </w:r>
          </w:p>
        </w:tc>
        <w:tc>
          <w:tcPr>
            <w:tcW w:w="1529" w:type="dxa"/>
            <w:vMerge w:val="continue"/>
            <w:shd w:val="clear" w:color="auto" w:fill="auto"/>
            <w:vAlign w:val="center"/>
          </w:tcPr>
          <w:p>
            <w:pPr>
              <w:spacing w:line="240" w:lineRule="auto"/>
              <w:contextualSpacing/>
              <w:jc w:val="center"/>
              <w:rPr>
                <w:rFonts w:ascii="Times New Roman" w:hAnsi="Times New Roman" w:eastAsiaTheme="minorEastAsia"/>
                <w:sz w:val="21"/>
                <w:szCs w:val="21"/>
                <w:lang w:eastAsia="en-US"/>
              </w:rPr>
            </w:pP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526"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w:t>
            </w:r>
          </w:p>
        </w:tc>
        <w:tc>
          <w:tcPr>
            <w:tcW w:w="1519"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小型挖掘机</w:t>
            </w:r>
          </w:p>
        </w:tc>
        <w:tc>
          <w:tcPr>
            <w:tcW w:w="2131"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w:t>
            </w:r>
          </w:p>
        </w:tc>
        <w:tc>
          <w:tcPr>
            <w:tcW w:w="1755"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84</w:t>
            </w:r>
          </w:p>
        </w:tc>
        <w:tc>
          <w:tcPr>
            <w:tcW w:w="1529" w:type="dxa"/>
            <w:vMerge w:val="continue"/>
            <w:shd w:val="clear" w:color="auto" w:fill="auto"/>
            <w:vAlign w:val="center"/>
          </w:tcPr>
          <w:p>
            <w:pPr>
              <w:spacing w:line="240" w:lineRule="auto"/>
              <w:contextualSpacing/>
              <w:jc w:val="center"/>
              <w:rPr>
                <w:rFonts w:ascii="Times New Roman" w:hAnsi="Times New Roman" w:eastAsiaTheme="minorEastAsia"/>
                <w:sz w:val="21"/>
                <w:szCs w:val="21"/>
                <w:lang w:eastAsia="en-US"/>
              </w:rPr>
            </w:pPr>
          </w:p>
        </w:tc>
        <w:tc>
          <w:tcPr>
            <w:tcW w:w="922" w:type="dxa"/>
            <w:shd w:val="clear" w:color="auto" w:fill="auto"/>
            <w:vAlign w:val="center"/>
          </w:tcPr>
          <w:p>
            <w:pPr>
              <w:spacing w:line="240" w:lineRule="auto"/>
              <w:contextualSpacing/>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w:t>
            </w:r>
          </w:p>
        </w:tc>
      </w:tr>
    </w:tbl>
    <w:p>
      <w:pPr>
        <w:spacing w:line="360" w:lineRule="exact"/>
        <w:rPr>
          <w:rFonts w:ascii="Times New Roman" w:hAnsi="Times New Roman"/>
        </w:rPr>
      </w:pPr>
    </w:p>
    <w:p>
      <w:pPr>
        <w:spacing w:line="360" w:lineRule="exact"/>
        <w:jc w:val="center"/>
        <w:rPr>
          <w:rFonts w:ascii="Times New Roman" w:hAnsi="Times New Roman" w:eastAsia="黑体"/>
          <w:sz w:val="21"/>
          <w:szCs w:val="21"/>
        </w:rPr>
      </w:pPr>
      <w:r>
        <w:rPr>
          <w:rFonts w:ascii="Times New Roman" w:hAnsi="Times New Roman" w:eastAsia="黑体"/>
          <w:sz w:val="21"/>
          <w:szCs w:val="21"/>
        </w:rPr>
        <w:t>表4.1-2  交通运输车辆噪声</w:t>
      </w:r>
    </w:p>
    <w:tbl>
      <w:tblPr>
        <w:tblStyle w:val="90"/>
        <w:tblW w:w="8272" w:type="dxa"/>
        <w:tblInd w:w="25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85"/>
        <w:gridCol w:w="2373"/>
        <w:gridCol w:w="2160"/>
        <w:gridCol w:w="175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985"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施工阶段</w:t>
            </w:r>
          </w:p>
        </w:tc>
        <w:tc>
          <w:tcPr>
            <w:tcW w:w="2373"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运输内容</w:t>
            </w:r>
          </w:p>
        </w:tc>
        <w:tc>
          <w:tcPr>
            <w:tcW w:w="216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车辆类型</w:t>
            </w:r>
          </w:p>
        </w:tc>
        <w:tc>
          <w:tcPr>
            <w:tcW w:w="1754"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声源强度[dB(A)]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985"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土方阶段</w:t>
            </w:r>
          </w:p>
        </w:tc>
        <w:tc>
          <w:tcPr>
            <w:tcW w:w="2373"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弃土外运</w:t>
            </w:r>
          </w:p>
        </w:tc>
        <w:tc>
          <w:tcPr>
            <w:tcW w:w="216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运输卡车</w:t>
            </w:r>
          </w:p>
        </w:tc>
        <w:tc>
          <w:tcPr>
            <w:tcW w:w="1754"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84~89</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985"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底板及结构阶段</w:t>
            </w:r>
          </w:p>
        </w:tc>
        <w:tc>
          <w:tcPr>
            <w:tcW w:w="2373"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钢筋、商品混凝土</w:t>
            </w:r>
          </w:p>
        </w:tc>
        <w:tc>
          <w:tcPr>
            <w:tcW w:w="216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混凝土罐车、载重车</w:t>
            </w:r>
          </w:p>
        </w:tc>
        <w:tc>
          <w:tcPr>
            <w:tcW w:w="1754"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80~85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985"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设备安装阶段</w:t>
            </w:r>
          </w:p>
        </w:tc>
        <w:tc>
          <w:tcPr>
            <w:tcW w:w="2373"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各种设备及辅助材料</w:t>
            </w:r>
          </w:p>
        </w:tc>
        <w:tc>
          <w:tcPr>
            <w:tcW w:w="2160"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轻型载重卡车</w:t>
            </w:r>
          </w:p>
        </w:tc>
        <w:tc>
          <w:tcPr>
            <w:tcW w:w="1754" w:type="dxa"/>
            <w:vAlign w:val="center"/>
          </w:tcPr>
          <w:p>
            <w:pPr>
              <w:spacing w:line="360" w:lineRule="exact"/>
              <w:jc w:val="center"/>
              <w:rPr>
                <w:rFonts w:ascii="Times New Roman" w:hAnsi="Times New Roman" w:eastAsiaTheme="minorEastAsia"/>
                <w:sz w:val="21"/>
                <w:szCs w:val="21"/>
              </w:rPr>
            </w:pPr>
            <w:r>
              <w:rPr>
                <w:rFonts w:ascii="Times New Roman" w:hAnsi="Times New Roman" w:eastAsiaTheme="minorEastAsia"/>
                <w:sz w:val="21"/>
                <w:szCs w:val="21"/>
              </w:rPr>
              <w:t>75~80</w:t>
            </w:r>
          </w:p>
        </w:tc>
      </w:tr>
    </w:tbl>
    <w:p>
      <w:pPr>
        <w:pStyle w:val="108"/>
      </w:pPr>
      <w:bookmarkStart w:id="206" w:name="_Toc9873357"/>
      <w:r>
        <w:t>4.1.2 噪声影响预测</w:t>
      </w:r>
      <w:bookmarkEnd w:id="206"/>
    </w:p>
    <w:p>
      <w:pPr>
        <w:pStyle w:val="151"/>
        <w:spacing w:line="470" w:lineRule="exact"/>
        <w:ind w:firstLine="480" w:firstLineChars="200"/>
        <w:rPr>
          <w:rFonts w:cs="Times New Roman"/>
        </w:rPr>
      </w:pPr>
      <w:r>
        <w:rPr>
          <w:rFonts w:cs="Times New Roman"/>
          <w:kern w:val="2"/>
          <w:szCs w:val="18"/>
        </w:rPr>
        <w:t>施工期噪声采用点源衰减模式，预测计算声源至受声点的几何衰减，不考虑声屏障，空气吸收等衰减。预测公式如下</w:t>
      </w:r>
      <w:r>
        <w:rPr>
          <w:rFonts w:cs="Times New Roman"/>
        </w:rPr>
        <w:t>：</w:t>
      </w:r>
    </w:p>
    <w:p>
      <w:pPr>
        <w:pStyle w:val="151"/>
        <w:ind w:firstLine="0"/>
        <w:jc w:val="center"/>
        <w:rPr>
          <w:rFonts w:cs="Times New Roman"/>
        </w:rPr>
      </w:pPr>
      <w:r>
        <w:rPr>
          <w:rFonts w:cs="Times New Roman"/>
        </w:rPr>
        <w:t>Lr=Lro-20lg（r/r</w:t>
      </w:r>
      <w:r>
        <w:rPr>
          <w:rFonts w:cs="Times New Roman"/>
          <w:vertAlign w:val="subscript"/>
        </w:rPr>
        <w:t>0</w:t>
      </w:r>
      <w:r>
        <w:rPr>
          <w:rFonts w:cs="Times New Roman"/>
        </w:rPr>
        <w:t>）</w:t>
      </w:r>
    </w:p>
    <w:p>
      <w:pPr>
        <w:pStyle w:val="151"/>
        <w:spacing w:line="470" w:lineRule="exact"/>
        <w:ind w:firstLine="480" w:firstLineChars="200"/>
        <w:rPr>
          <w:rFonts w:cs="Times New Roman"/>
        </w:rPr>
      </w:pPr>
      <w:r>
        <w:rPr>
          <w:rFonts w:cs="Times New Roman"/>
        </w:rPr>
        <w:t>式中：</w:t>
      </w:r>
    </w:p>
    <w:p>
      <w:pPr>
        <w:pStyle w:val="151"/>
        <w:spacing w:line="470" w:lineRule="exact"/>
        <w:ind w:firstLine="480" w:firstLineChars="200"/>
        <w:rPr>
          <w:rFonts w:cs="Times New Roman"/>
        </w:rPr>
      </w:pPr>
      <w:r>
        <w:rPr>
          <w:rFonts w:cs="Times New Roman"/>
        </w:rPr>
        <w:t>Lr－距声源r处的A声压级，dB（A）；</w:t>
      </w:r>
    </w:p>
    <w:p>
      <w:pPr>
        <w:pStyle w:val="151"/>
        <w:spacing w:line="470" w:lineRule="exact"/>
        <w:ind w:firstLine="480" w:firstLineChars="200"/>
        <w:rPr>
          <w:rFonts w:cs="Times New Roman"/>
        </w:rPr>
      </w:pPr>
      <w:r>
        <w:rPr>
          <w:rFonts w:cs="Times New Roman"/>
        </w:rPr>
        <w:t>L</w:t>
      </w:r>
      <w:r>
        <w:rPr>
          <w:rFonts w:cs="Times New Roman"/>
          <w:vertAlign w:val="subscript"/>
        </w:rPr>
        <w:t>r0</w:t>
      </w:r>
      <w:r>
        <w:rPr>
          <w:rFonts w:cs="Times New Roman"/>
        </w:rPr>
        <w:t>－距声源r0处的A声压级，dB（A）；</w:t>
      </w:r>
    </w:p>
    <w:p>
      <w:pPr>
        <w:pStyle w:val="151"/>
        <w:spacing w:line="470" w:lineRule="exact"/>
        <w:ind w:firstLine="480" w:firstLineChars="200"/>
        <w:rPr>
          <w:rFonts w:cs="Times New Roman"/>
        </w:rPr>
      </w:pPr>
      <w:r>
        <w:rPr>
          <w:rFonts w:cs="Times New Roman"/>
        </w:rPr>
        <w:t>r－预测点与声源的距离，m；</w:t>
      </w:r>
    </w:p>
    <w:p>
      <w:pPr>
        <w:pStyle w:val="151"/>
        <w:spacing w:line="470" w:lineRule="exact"/>
        <w:ind w:firstLine="480" w:firstLineChars="200"/>
        <w:rPr>
          <w:rFonts w:cs="Times New Roman"/>
        </w:rPr>
      </w:pPr>
      <w:r>
        <w:rPr>
          <w:rFonts w:cs="Times New Roman"/>
        </w:rPr>
        <w:t>r</w:t>
      </w:r>
      <w:r>
        <w:rPr>
          <w:rFonts w:cs="Times New Roman"/>
          <w:vertAlign w:val="subscript"/>
        </w:rPr>
        <w:t>0</w:t>
      </w:r>
      <w:r>
        <w:rPr>
          <w:rFonts w:cs="Times New Roman"/>
        </w:rPr>
        <w:t>－监测设备噪声时的距离，m。</w:t>
      </w:r>
    </w:p>
    <w:p>
      <w:pPr>
        <w:pStyle w:val="22"/>
        <w:spacing w:line="470" w:lineRule="exact"/>
        <w:ind w:firstLine="480"/>
        <w:rPr>
          <w:rFonts w:cs="Times New Roman"/>
        </w:rPr>
      </w:pPr>
      <w:r>
        <w:rPr>
          <w:rFonts w:cs="Times New Roman"/>
        </w:rPr>
        <w:t>单个噪声源结果计算出后，将各噪声源传播至预测点的预测值进行迭加，迭加值即为本工程对预测点的新增噪声级，再与噪声现状值进行迭加，迭加值即为预测值。</w:t>
      </w:r>
    </w:p>
    <w:p>
      <w:pPr>
        <w:pStyle w:val="22"/>
        <w:spacing w:line="470" w:lineRule="exact"/>
        <w:ind w:firstLine="480"/>
        <w:rPr>
          <w:rFonts w:cs="Times New Roman"/>
        </w:rPr>
      </w:pPr>
      <w:r>
        <w:rPr>
          <w:rFonts w:cs="Times New Roman"/>
        </w:rPr>
        <w:t>迭加公式为：</w:t>
      </w:r>
    </w:p>
    <w:p>
      <w:pPr>
        <w:pStyle w:val="22"/>
        <w:ind w:firstLine="0" w:firstLineChars="0"/>
        <w:jc w:val="center"/>
        <w:rPr>
          <w:rFonts w:cs="Times New Roman"/>
        </w:rPr>
      </w:pPr>
      <w:r>
        <w:rPr>
          <w:rFonts w:cs="Times New Roman"/>
          <w:position w:val="-28"/>
        </w:rPr>
        <w:object>
          <v:shape id="_x0000_i1026" o:spt="75" type="#_x0000_t75" style="height:33.65pt;width:95.4pt;" o:ole="t" filled="f" o:preferrelative="t" stroked="f" coordsize="21600,21600">
            <v:path/>
            <v:fill on="f" focussize="0,0"/>
            <v:stroke on="f" joinstyle="miter"/>
            <v:imagedata r:id="rId37" o:title=""/>
            <o:lock v:ext="edit" aspectratio="t"/>
            <w10:wrap type="none"/>
            <w10:anchorlock/>
          </v:shape>
          <o:OLEObject Type="Embed" ProgID="Equation.3" ShapeID="_x0000_i1026" DrawAspect="Content" ObjectID="_1468075728" r:id="rId36">
            <o:LockedField>false</o:LockedField>
          </o:OLEObject>
        </w:object>
      </w:r>
    </w:p>
    <w:p>
      <w:pPr>
        <w:pStyle w:val="22"/>
        <w:spacing w:line="470" w:lineRule="exact"/>
        <w:ind w:firstLine="480"/>
        <w:rPr>
          <w:rFonts w:cs="Times New Roman"/>
        </w:rPr>
      </w:pPr>
      <w:r>
        <w:rPr>
          <w:rFonts w:cs="Times New Roman"/>
        </w:rPr>
        <w:t>式中：</w:t>
      </w:r>
    </w:p>
    <w:p>
      <w:pPr>
        <w:pStyle w:val="22"/>
        <w:spacing w:line="470" w:lineRule="exact"/>
        <w:ind w:firstLine="480"/>
        <w:rPr>
          <w:rFonts w:cs="Times New Roman"/>
        </w:rPr>
      </w:pPr>
      <w:r>
        <w:rPr>
          <w:rFonts w:cs="Times New Roman"/>
        </w:rPr>
        <w:t>Lp－预测点上的噪声预测值（dB（A））；</w:t>
      </w:r>
    </w:p>
    <w:p>
      <w:pPr>
        <w:pStyle w:val="22"/>
        <w:spacing w:line="470" w:lineRule="exact"/>
        <w:ind w:firstLine="480"/>
        <w:rPr>
          <w:rFonts w:cs="Times New Roman"/>
        </w:rPr>
      </w:pPr>
      <w:r>
        <w:rPr>
          <w:rFonts w:cs="Times New Roman"/>
        </w:rPr>
        <w:t>Li－各室外等效声源声级传播至预测点的噪声值或预测点的现状监测值（dB（A））；</w:t>
      </w:r>
    </w:p>
    <w:p>
      <w:pPr>
        <w:pStyle w:val="22"/>
        <w:spacing w:line="470" w:lineRule="exact"/>
        <w:ind w:firstLine="480"/>
        <w:rPr>
          <w:rFonts w:cs="Times New Roman"/>
        </w:rPr>
      </w:pPr>
      <w:r>
        <w:rPr>
          <w:rFonts w:cs="Times New Roman"/>
        </w:rPr>
        <w:t>N－噪声级迭加的个数。</w:t>
      </w:r>
    </w:p>
    <w:p>
      <w:pPr>
        <w:pStyle w:val="108"/>
      </w:pPr>
      <w:bookmarkStart w:id="207" w:name="_Toc9873358"/>
      <w:r>
        <w:t>4.1.3 施工期噪声预测影响分析</w:t>
      </w:r>
      <w:bookmarkEnd w:id="207"/>
    </w:p>
    <w:p>
      <w:pPr>
        <w:pStyle w:val="151"/>
        <w:ind w:firstLine="482" w:firstLineChars="200"/>
        <w:rPr>
          <w:rFonts w:cs="Times New Roman"/>
          <w:b/>
          <w:kern w:val="2"/>
          <w:szCs w:val="18"/>
        </w:rPr>
      </w:pPr>
      <w:r>
        <w:rPr>
          <w:rFonts w:cs="Times New Roman"/>
          <w:b/>
          <w:kern w:val="2"/>
          <w:szCs w:val="18"/>
        </w:rPr>
        <w:t>1、噪声影响分析</w:t>
      </w:r>
    </w:p>
    <w:p>
      <w:pPr>
        <w:pStyle w:val="151"/>
        <w:ind w:firstLine="480" w:firstLineChars="200"/>
        <w:rPr>
          <w:rFonts w:cs="Times New Roman"/>
        </w:rPr>
      </w:pPr>
      <w:r>
        <w:rPr>
          <w:rFonts w:cs="Times New Roman"/>
          <w:kern w:val="2"/>
          <w:szCs w:val="18"/>
        </w:rPr>
        <w:t>根据上述预测公司，施工建设过程中主要高噪声施工机械在不同距离处的噪声贡献值见下表</w:t>
      </w:r>
      <w:r>
        <w:rPr>
          <w:rFonts w:cs="Times New Roman"/>
        </w:rPr>
        <w:t>。</w:t>
      </w:r>
    </w:p>
    <w:p>
      <w:pPr>
        <w:widowControl/>
        <w:spacing w:line="240" w:lineRule="auto"/>
        <w:jc w:val="left"/>
        <w:rPr>
          <w:rFonts w:ascii="Times New Roman" w:hAnsi="Times New Roman" w:eastAsiaTheme="minorEastAsia"/>
          <w:kern w:val="24"/>
          <w:sz w:val="24"/>
        </w:rPr>
      </w:pPr>
      <w:r>
        <w:rPr>
          <w:rFonts w:ascii="Times New Roman" w:hAnsi="Times New Roman"/>
        </w:rPr>
        <w:br w:type="page"/>
      </w:r>
    </w:p>
    <w:p>
      <w:pPr>
        <w:spacing w:line="360" w:lineRule="exact"/>
        <w:jc w:val="center"/>
        <w:rPr>
          <w:rFonts w:ascii="Times New Roman" w:hAnsi="Times New Roman" w:eastAsia="黑体"/>
          <w:sz w:val="21"/>
          <w:szCs w:val="21"/>
        </w:rPr>
      </w:pPr>
      <w:r>
        <w:rPr>
          <w:rFonts w:ascii="Times New Roman" w:hAnsi="Times New Roman" w:eastAsia="黑体"/>
          <w:sz w:val="21"/>
          <w:szCs w:val="21"/>
        </w:rPr>
        <w:t>表4.1-3  工程建设过程中不同距离处的噪声级    单位：dB（A）</w:t>
      </w:r>
    </w:p>
    <w:tbl>
      <w:tblPr>
        <w:tblStyle w:val="90"/>
        <w:tblW w:w="8203" w:type="dxa"/>
        <w:tblInd w:w="18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
      <w:tblGrid>
        <w:gridCol w:w="709"/>
        <w:gridCol w:w="1237"/>
        <w:gridCol w:w="815"/>
        <w:gridCol w:w="709"/>
        <w:gridCol w:w="707"/>
        <w:gridCol w:w="674"/>
        <w:gridCol w:w="838"/>
        <w:gridCol w:w="791"/>
        <w:gridCol w:w="886"/>
        <w:gridCol w:w="83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序号</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设备名称</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声压级</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10m</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20m</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40m</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50m</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100m</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150m</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200m</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电锯、电刨</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95</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70</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62</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54</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52</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44</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40</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2</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振捣棒</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95</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70</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62</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54</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52</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44</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40</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w:t>
            </w:r>
          </w:p>
        </w:tc>
        <w:tc>
          <w:tcPr>
            <w:tcW w:w="1237"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lang w:eastAsia="en-US"/>
              </w:rPr>
              <w:t>小型吊车</w:t>
            </w:r>
          </w:p>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及升降机</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80</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77</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69</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61</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59</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51</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钻孔机</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100</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75</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67</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59</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57</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49</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45</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风动机具</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95</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70</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62</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54</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52</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44</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40</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36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小型推土机</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86</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78</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71</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63</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61</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53</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49</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45</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0" w:hRule="atLeast"/>
        </w:trPr>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w:t>
            </w:r>
          </w:p>
        </w:tc>
        <w:tc>
          <w:tcPr>
            <w:tcW w:w="12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小型挖掘机</w:t>
            </w:r>
          </w:p>
        </w:tc>
        <w:tc>
          <w:tcPr>
            <w:tcW w:w="815"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84</w:t>
            </w:r>
          </w:p>
        </w:tc>
        <w:tc>
          <w:tcPr>
            <w:tcW w:w="709"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76</w:t>
            </w:r>
          </w:p>
        </w:tc>
        <w:tc>
          <w:tcPr>
            <w:tcW w:w="70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69</w:t>
            </w:r>
          </w:p>
        </w:tc>
        <w:tc>
          <w:tcPr>
            <w:tcW w:w="674"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61</w:t>
            </w:r>
          </w:p>
        </w:tc>
        <w:tc>
          <w:tcPr>
            <w:tcW w:w="838"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59</w:t>
            </w:r>
          </w:p>
        </w:tc>
        <w:tc>
          <w:tcPr>
            <w:tcW w:w="791"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51</w:t>
            </w:r>
          </w:p>
        </w:tc>
        <w:tc>
          <w:tcPr>
            <w:tcW w:w="886"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47</w:t>
            </w:r>
          </w:p>
        </w:tc>
        <w:tc>
          <w:tcPr>
            <w:tcW w:w="837" w:type="dxa"/>
            <w:shd w:val="clear" w:color="auto" w:fill="auto"/>
            <w:vAlign w:val="center"/>
          </w:tcPr>
          <w:p>
            <w:pPr>
              <w:spacing w:line="276" w:lineRule="auto"/>
              <w:jc w:val="center"/>
              <w:rPr>
                <w:rFonts w:ascii="Times New Roman" w:hAnsi="Times New Roman" w:eastAsiaTheme="minorEastAsia"/>
                <w:sz w:val="21"/>
                <w:szCs w:val="21"/>
                <w:lang w:eastAsia="en-US"/>
              </w:rPr>
            </w:pPr>
            <w:r>
              <w:rPr>
                <w:rFonts w:ascii="Times New Roman" w:hAnsi="Times New Roman" w:eastAsiaTheme="minorEastAsia"/>
                <w:sz w:val="21"/>
                <w:szCs w:val="21"/>
                <w:lang w:eastAsia="en-US"/>
              </w:rPr>
              <w:t>43</w:t>
            </w:r>
          </w:p>
        </w:tc>
      </w:tr>
    </w:tbl>
    <w:p>
      <w:pPr>
        <w:pStyle w:val="151"/>
        <w:spacing w:line="470" w:lineRule="exact"/>
        <w:rPr>
          <w:rFonts w:cs="Times New Roman"/>
        </w:rPr>
      </w:pPr>
      <w:r>
        <w:rPr>
          <w:rFonts w:cs="Times New Roman"/>
        </w:rPr>
        <w:t>根据预测结果可知，昼间本项目施工场界噪声在距噪声源约50m左右达标，夜间则需150m左右才能达标。</w:t>
      </w:r>
    </w:p>
    <w:p>
      <w:pPr>
        <w:pStyle w:val="151"/>
        <w:spacing w:line="470" w:lineRule="exact"/>
        <w:rPr>
          <w:rFonts w:cs="Times New Roman"/>
        </w:rPr>
      </w:pPr>
      <w:r>
        <w:rPr>
          <w:rFonts w:cs="Times New Roman"/>
        </w:rPr>
        <w:t>根据调查，项目周边100m范围内，周围100m范围内南侧由现有厂区办公用房、白玉村农户（南侧100m）1户，西北侧约40m有泉水村农户1户，项目施工可能对上述敏感目标产生一定影响。本项目的施工特点主要是昼间施工，因此施工噪声主要影响西北侧泉水村农户及现有厂区办公人员。</w:t>
      </w:r>
    </w:p>
    <w:p>
      <w:pPr>
        <w:pStyle w:val="151"/>
        <w:spacing w:line="470" w:lineRule="exact"/>
        <w:rPr>
          <w:rFonts w:cs="Times New Roman"/>
          <w:b/>
        </w:rPr>
      </w:pPr>
      <w:r>
        <w:rPr>
          <w:rFonts w:cs="Times New Roman"/>
          <w:b/>
        </w:rPr>
        <w:t>2、噪声污染防治措施</w:t>
      </w:r>
    </w:p>
    <w:p>
      <w:pPr>
        <w:pStyle w:val="151"/>
        <w:spacing w:line="470" w:lineRule="exact"/>
        <w:rPr>
          <w:rFonts w:cs="Times New Roman"/>
          <w:szCs w:val="24"/>
        </w:rPr>
      </w:pPr>
      <w:r>
        <w:rPr>
          <w:rFonts w:cs="Times New Roman"/>
        </w:rPr>
        <w:t>为将施工期的噪声影响缩减到尽可能低的程度，建议采取如下措施：（1）</w:t>
      </w:r>
      <w:r>
        <w:rPr>
          <w:rFonts w:cs="Times New Roman"/>
          <w:szCs w:val="24"/>
        </w:rPr>
        <w:t>合理安排作业时间，严格避免推土机、挖掘机、混凝土搅拌机、电锯和振捣棒等在午间12:00~14:00和夜间22:00~次日6:00施工</w:t>
      </w:r>
      <w:r>
        <w:rPr>
          <w:rFonts w:cs="Times New Roman"/>
        </w:rPr>
        <w:t>；</w:t>
      </w:r>
      <w:r>
        <w:rPr>
          <w:rFonts w:cs="Times New Roman"/>
          <w:szCs w:val="24"/>
        </w:rPr>
        <w:t>在设备选型时尽量采用低噪声设备；对于高噪声设备，可加设可移动的简易隔声屏，尽可能减少设备对周围环境的影响；合理进行工期安排，尽量缩短施工时间；项目开工前应该在上述敏感点张贴公告，告知相关人员，使他们有所准备。</w:t>
      </w:r>
    </w:p>
    <w:p>
      <w:pPr>
        <w:pStyle w:val="151"/>
        <w:spacing w:line="470" w:lineRule="exact"/>
        <w:rPr>
          <w:rFonts w:cs="Times New Roman"/>
        </w:rPr>
      </w:pPr>
      <w:r>
        <w:rPr>
          <w:rFonts w:cs="Times New Roman"/>
        </w:rPr>
        <w:t>总体而言，施工期噪声影响是暂时的，并随着施工期的结束而消失；且施工期在采取相应噪声防治措施后，对周边声环境影响较小。</w:t>
      </w:r>
    </w:p>
    <w:p>
      <w:pPr>
        <w:pStyle w:val="103"/>
        <w:numPr>
          <w:ilvl w:val="0"/>
          <w:numId w:val="0"/>
        </w:numPr>
        <w:rPr>
          <w:rFonts w:ascii="Times New Roman" w:hAnsi="Times New Roman"/>
          <w:b w:val="0"/>
          <w:bCs/>
          <w:kern w:val="28"/>
          <w:sz w:val="32"/>
          <w:szCs w:val="32"/>
        </w:rPr>
      </w:pPr>
      <w:bookmarkStart w:id="208" w:name="_Toc9873359"/>
      <w:r>
        <w:rPr>
          <w:rFonts w:ascii="Times New Roman" w:hAnsi="Times New Roman"/>
          <w:b w:val="0"/>
          <w:bCs/>
          <w:kern w:val="28"/>
          <w:sz w:val="32"/>
          <w:szCs w:val="32"/>
        </w:rPr>
        <w:t>4.2 施工期大气影响分析</w:t>
      </w:r>
      <w:bookmarkEnd w:id="205"/>
      <w:bookmarkEnd w:id="208"/>
    </w:p>
    <w:p>
      <w:pPr>
        <w:ind w:right="140" w:rightChars="50" w:firstLine="470" w:firstLineChars="196"/>
        <w:contextualSpacing/>
        <w:rPr>
          <w:rFonts w:ascii="Times New Roman" w:hAnsi="Times New Roman"/>
          <w:sz w:val="24"/>
          <w:szCs w:val="24"/>
        </w:rPr>
      </w:pPr>
      <w:r>
        <w:rPr>
          <w:rFonts w:ascii="Times New Roman" w:hAnsi="Times New Roman"/>
          <w:sz w:val="24"/>
          <w:szCs w:val="24"/>
        </w:rPr>
        <w:t>施工期大气污染物包括扬尘、施工废气。</w:t>
      </w:r>
    </w:p>
    <w:p>
      <w:pPr>
        <w:pStyle w:val="108"/>
      </w:pPr>
      <w:bookmarkStart w:id="209" w:name="_Toc9873360"/>
      <w:r>
        <w:t>4.2.1 施工期扬尘影响分析</w:t>
      </w:r>
      <w:bookmarkEnd w:id="209"/>
    </w:p>
    <w:p>
      <w:pPr>
        <w:pStyle w:val="22"/>
        <w:ind w:firstLine="480"/>
        <w:contextualSpacing/>
        <w:rPr>
          <w:rFonts w:cs="Times New Roman"/>
          <w:szCs w:val="24"/>
        </w:rPr>
      </w:pPr>
      <w:r>
        <w:rPr>
          <w:rFonts w:cs="Times New Roman"/>
          <w:szCs w:val="24"/>
        </w:rPr>
        <w:t>施工期由于挖掘机、搅拌机、运输车辆等机具的使用会产生一定量的扬尘，场区施工区扬尘主要为运输扬尘、地面扬尘等。施工活动将造成局部地区环境空气中TSP浓度增高。尤其在久旱无雨季节，当风力较大时，施工现场表层1cm~1.5cm的浮土可能扬起，经类比调查可知，其影响范围可超过施工现场边缘以外50m远。如遇到降大雨天气，雨水的冲刷和车辆的碾压，使施工现场变得泥泞不堪，泥渣容易被车辆、行人带出对区域的卫生环境形成不良影响。</w:t>
      </w:r>
    </w:p>
    <w:p>
      <w:pPr>
        <w:ind w:firstLine="480" w:firstLineChars="200"/>
        <w:contextualSpacing/>
        <w:rPr>
          <w:rFonts w:ascii="Times New Roman" w:hAnsi="Times New Roman"/>
          <w:sz w:val="24"/>
          <w:szCs w:val="24"/>
        </w:rPr>
      </w:pPr>
      <w:r>
        <w:rPr>
          <w:rFonts w:ascii="Times New Roman" w:hAnsi="Times New Roman"/>
          <w:sz w:val="24"/>
          <w:szCs w:val="24"/>
        </w:rPr>
        <w:t>施工扬尘环境空气质量有一定的负面影响，是造成大气中TSP浓度值增高的主要因素之一，直接影响周围空气环境质量。各工序产生的扬尘，具有量多、点多、面广的特点，为项目施工期的主要环境影响因素。项目施工期扬尘来源主要有：</w:t>
      </w:r>
    </w:p>
    <w:p>
      <w:pPr>
        <w:ind w:firstLine="480" w:firstLineChars="200"/>
        <w:contextualSpacing/>
        <w:rPr>
          <w:rFonts w:ascii="Times New Roman" w:hAnsi="Times New Roman"/>
          <w:sz w:val="24"/>
          <w:szCs w:val="24"/>
        </w:rPr>
      </w:pPr>
      <w:r>
        <w:rPr>
          <w:rFonts w:ascii="Times New Roman" w:hAnsi="Times New Roman"/>
          <w:sz w:val="24"/>
          <w:szCs w:val="24"/>
        </w:rPr>
        <w:t>（1）场地“三通一平”施工。</w:t>
      </w:r>
    </w:p>
    <w:p>
      <w:pPr>
        <w:ind w:firstLine="480" w:firstLineChars="200"/>
        <w:contextualSpacing/>
        <w:rPr>
          <w:rFonts w:ascii="Times New Roman" w:hAnsi="Times New Roman"/>
          <w:sz w:val="24"/>
          <w:szCs w:val="24"/>
        </w:rPr>
      </w:pPr>
      <w:r>
        <w:rPr>
          <w:rFonts w:ascii="Times New Roman" w:hAnsi="Times New Roman"/>
          <w:sz w:val="24"/>
          <w:szCs w:val="24"/>
        </w:rPr>
        <w:t>（2）基础施工、土石方挖掘及弃土运输时产生的扬尘。</w:t>
      </w:r>
    </w:p>
    <w:p>
      <w:pPr>
        <w:pStyle w:val="46"/>
        <w:ind w:firstLine="485"/>
        <w:contextualSpacing/>
        <w:rPr>
          <w:rFonts w:ascii="Times New Roman" w:hAnsi="Times New Roman" w:cs="Times New Roman"/>
          <w:sz w:val="24"/>
          <w:szCs w:val="24"/>
        </w:rPr>
      </w:pPr>
      <w:r>
        <w:rPr>
          <w:rFonts w:ascii="Times New Roman" w:hAnsi="Times New Roman" w:cs="Times New Roman"/>
          <w:sz w:val="24"/>
          <w:szCs w:val="24"/>
        </w:rPr>
        <w:t>（3）建筑材料（钢材及少量的沙、石、水泥等）运输进场装、卸及堆放过程产生的扬尘。</w:t>
      </w:r>
    </w:p>
    <w:p>
      <w:pPr>
        <w:ind w:firstLine="480" w:firstLineChars="200"/>
        <w:contextualSpacing/>
        <w:rPr>
          <w:rFonts w:ascii="Times New Roman" w:hAnsi="Times New Roman"/>
          <w:sz w:val="24"/>
          <w:szCs w:val="24"/>
        </w:rPr>
      </w:pPr>
      <w:r>
        <w:rPr>
          <w:rFonts w:ascii="Times New Roman" w:hAnsi="Times New Roman"/>
          <w:sz w:val="24"/>
          <w:szCs w:val="24"/>
        </w:rPr>
        <w:t>（4）现场混凝土搅拌过程产生的扬尘。</w:t>
      </w:r>
    </w:p>
    <w:p>
      <w:pPr>
        <w:ind w:firstLine="480" w:firstLineChars="200"/>
        <w:contextualSpacing/>
        <w:rPr>
          <w:rFonts w:ascii="Times New Roman" w:hAnsi="Times New Roman"/>
          <w:sz w:val="24"/>
          <w:szCs w:val="24"/>
        </w:rPr>
      </w:pPr>
      <w:r>
        <w:rPr>
          <w:rFonts w:ascii="Times New Roman" w:hAnsi="Times New Roman"/>
          <w:sz w:val="24"/>
          <w:szCs w:val="24"/>
        </w:rPr>
        <w:t>相关资料显示，施工扬尘起尘量与许多因素有关。起尘量主要包括两类：挖掘机开挖起尘量和施工渣土堆场起尘量，属无组织排放，源强不易确定，产尘点多，对局部区域影响较大，主要是通过管理来进行控制，尽量减少扬尘的排放量。施工单位应制订土方施工处理计划，及时夯实填土；填土在转运过程中不要超载，装土车沿途做到不撒落；场内道路、排土场以及运输道路要及时洒水，保持一定的湿度，以减少起尘量。进出场地的车辆进行清洗，对施工场地进出口处的地面进行硬化等，来降低扬尘的产生。</w:t>
      </w:r>
    </w:p>
    <w:p>
      <w:pPr>
        <w:ind w:firstLine="480" w:firstLineChars="200"/>
        <w:contextualSpacing/>
        <w:rPr>
          <w:rFonts w:ascii="Times New Roman" w:hAnsi="Times New Roman"/>
          <w:sz w:val="24"/>
          <w:szCs w:val="24"/>
        </w:rPr>
      </w:pPr>
      <w:r>
        <w:rPr>
          <w:rFonts w:ascii="Times New Roman" w:hAnsi="Times New Roman"/>
          <w:sz w:val="24"/>
          <w:szCs w:val="24"/>
        </w:rPr>
        <w:t>根据项目外环境关系分析，项目周边100m范围周围人居较少，仅有西北侧40m泉水村农户1户，扬尘影响的主要范围大约在产尘点周围100m左右，故本工程施工扬尘对近距离环境主要是场区内影响较明显；泉水村农户位于区域主导风向侧风向，施工扬尘对其影响较小。且通过采取各种抑制扬尘的措施可进一步减缓扬尘影响。</w:t>
      </w:r>
    </w:p>
    <w:p>
      <w:pPr>
        <w:pStyle w:val="108"/>
      </w:pPr>
      <w:bookmarkStart w:id="210" w:name="_Toc9873361"/>
      <w:r>
        <w:t>4.2.2 施工机械废气影响分析</w:t>
      </w:r>
      <w:bookmarkEnd w:id="210"/>
    </w:p>
    <w:p>
      <w:pPr>
        <w:ind w:firstLine="480" w:firstLineChars="200"/>
        <w:rPr>
          <w:rFonts w:ascii="Times New Roman" w:hAnsi="Times New Roman"/>
          <w:sz w:val="24"/>
          <w:szCs w:val="24"/>
        </w:rPr>
      </w:pPr>
      <w:r>
        <w:rPr>
          <w:rFonts w:ascii="Times New Roman" w:hAnsi="Times New Roman"/>
          <w:sz w:val="24"/>
          <w:szCs w:val="24"/>
        </w:rPr>
        <w:t>项目施工过程中机械设备和运输车辆一般均采用柴油和汽油作为燃料，燃烧废气主要包括NO</w:t>
      </w:r>
      <w:r>
        <w:rPr>
          <w:rFonts w:ascii="Times New Roman" w:hAnsi="Times New Roman"/>
          <w:sz w:val="24"/>
          <w:szCs w:val="24"/>
          <w:vertAlign w:val="subscript"/>
        </w:rPr>
        <w:t>X</w:t>
      </w:r>
      <w:r>
        <w:rPr>
          <w:rFonts w:ascii="Times New Roman" w:hAnsi="Times New Roman"/>
          <w:sz w:val="24"/>
          <w:szCs w:val="24"/>
        </w:rPr>
        <w:t>、CO、颗粒物等，为无组织排放。项目施工期燃油废气产生量较少，加之项目所在区域地势开阔，空气流动性较强，燃油废气可以在短时间内稀释扩散，不会对环境空气产生明显的不利影响。为了减小燃油废气对环境空气质量的影响，环评要求对机械、车辆的维修保养，禁止施工机械超负荷工作，减少燃油废气的排放。</w:t>
      </w:r>
    </w:p>
    <w:p>
      <w:pPr>
        <w:ind w:firstLine="480" w:firstLineChars="200"/>
        <w:rPr>
          <w:rFonts w:ascii="Times New Roman" w:hAnsi="Times New Roman"/>
        </w:rPr>
      </w:pPr>
      <w:r>
        <w:rPr>
          <w:rFonts w:ascii="Times New Roman" w:hAnsi="Times New Roman"/>
          <w:sz w:val="24"/>
          <w:szCs w:val="24"/>
        </w:rPr>
        <w:t>本项目建设期燃油废气中污染物含量较小，在采取上述防治措施后，可以进一步减少燃油废气对环境空气质量的影响。因此，项目施工期不会对环境空气产生明显的不利影响。</w:t>
      </w:r>
    </w:p>
    <w:p>
      <w:pPr>
        <w:pStyle w:val="103"/>
        <w:numPr>
          <w:ilvl w:val="0"/>
          <w:numId w:val="0"/>
        </w:numPr>
        <w:rPr>
          <w:rFonts w:ascii="Times New Roman" w:hAnsi="Times New Roman"/>
          <w:b w:val="0"/>
          <w:bCs/>
          <w:kern w:val="28"/>
          <w:sz w:val="32"/>
          <w:szCs w:val="32"/>
        </w:rPr>
      </w:pPr>
      <w:bookmarkStart w:id="211" w:name="_Toc9873362"/>
      <w:bookmarkStart w:id="212" w:name="_Toc161196230"/>
      <w:r>
        <w:rPr>
          <w:rFonts w:ascii="Times New Roman" w:hAnsi="Times New Roman"/>
          <w:b w:val="0"/>
          <w:bCs/>
          <w:kern w:val="28"/>
          <w:sz w:val="32"/>
          <w:szCs w:val="32"/>
        </w:rPr>
        <w:t>4.3 施工期废水影响分析</w:t>
      </w:r>
      <w:bookmarkEnd w:id="211"/>
      <w:bookmarkEnd w:id="212"/>
    </w:p>
    <w:p>
      <w:pPr>
        <w:spacing w:line="470" w:lineRule="exact"/>
        <w:ind w:firstLine="480" w:firstLineChars="200"/>
        <w:rPr>
          <w:rFonts w:ascii="Times New Roman" w:hAnsi="Times New Roman"/>
          <w:sz w:val="24"/>
        </w:rPr>
      </w:pPr>
      <w:r>
        <w:rPr>
          <w:rFonts w:ascii="Times New Roman" w:hAnsi="Times New Roman"/>
          <w:sz w:val="24"/>
        </w:rPr>
        <w:t>施工期废水主要包括施工生产废水及施工生活用水。</w:t>
      </w:r>
    </w:p>
    <w:p>
      <w:pPr>
        <w:pStyle w:val="108"/>
      </w:pPr>
      <w:bookmarkStart w:id="213" w:name="_Toc9873363"/>
      <w:r>
        <w:t>4.3.1 施工期生产废水影响分析</w:t>
      </w:r>
      <w:bookmarkEnd w:id="213"/>
    </w:p>
    <w:p>
      <w:pPr>
        <w:spacing w:line="470" w:lineRule="exact"/>
        <w:ind w:firstLine="480" w:firstLineChars="200"/>
        <w:rPr>
          <w:rFonts w:ascii="Times New Roman" w:hAnsi="Times New Roman"/>
          <w:sz w:val="24"/>
        </w:rPr>
      </w:pPr>
      <w:r>
        <w:rPr>
          <w:rFonts w:ascii="Times New Roman" w:hAnsi="Times New Roman"/>
          <w:sz w:val="24"/>
        </w:rPr>
        <w:t>工程施工中产生的生产废水，主要来源于混凝搅拌机械的冲洗废水及其他冲洗废水。</w:t>
      </w:r>
    </w:p>
    <w:p>
      <w:pPr>
        <w:spacing w:line="470" w:lineRule="exact"/>
        <w:ind w:firstLine="482" w:firstLineChars="200"/>
        <w:rPr>
          <w:rFonts w:ascii="Times New Roman" w:hAnsi="Times New Roman"/>
          <w:b/>
          <w:sz w:val="24"/>
        </w:rPr>
      </w:pPr>
      <w:r>
        <w:rPr>
          <w:rFonts w:ascii="Times New Roman" w:hAnsi="Times New Roman"/>
          <w:b/>
          <w:sz w:val="24"/>
        </w:rPr>
        <w:t>1、小规模混凝土拌和冲洗废水</w:t>
      </w:r>
    </w:p>
    <w:p>
      <w:pPr>
        <w:spacing w:line="470" w:lineRule="exact"/>
        <w:ind w:firstLine="436" w:firstLineChars="182"/>
        <w:rPr>
          <w:rFonts w:ascii="Times New Roman" w:hAnsi="Times New Roman"/>
          <w:sz w:val="24"/>
        </w:rPr>
      </w:pPr>
      <w:r>
        <w:rPr>
          <w:rFonts w:ascii="Times New Roman" w:hAnsi="Times New Roman"/>
          <w:sz w:val="24"/>
        </w:rPr>
        <w:t>本工程设置1个小型拌合站，每次冲洗废水约1m</w:t>
      </w:r>
      <w:r>
        <w:rPr>
          <w:rFonts w:ascii="Times New Roman" w:hAnsi="Times New Roman"/>
          <w:sz w:val="24"/>
          <w:vertAlign w:val="superscript"/>
        </w:rPr>
        <w:t>3</w:t>
      </w:r>
      <w:r>
        <w:rPr>
          <w:rFonts w:ascii="Times New Roman" w:hAnsi="Times New Roman"/>
          <w:sz w:val="24"/>
        </w:rPr>
        <w:t>。混凝土拌合冲洗废水主要含泥沙，一般呈弱碱性，主要污染物为SS，浓度一般在2000mg/L，并带有少量油污。</w:t>
      </w:r>
    </w:p>
    <w:p>
      <w:pPr>
        <w:spacing w:line="470" w:lineRule="exact"/>
        <w:ind w:firstLine="436" w:firstLineChars="182"/>
        <w:rPr>
          <w:rFonts w:ascii="Times New Roman" w:hAnsi="Times New Roman"/>
          <w:sz w:val="24"/>
        </w:rPr>
      </w:pPr>
      <w:r>
        <w:rPr>
          <w:rFonts w:ascii="Times New Roman" w:hAnsi="Times New Roman"/>
          <w:sz w:val="24"/>
        </w:rPr>
        <w:t>本工程混凝土拌和站冲洗废水具有废水量小和间歇式排水等特点，设1个矩形沉淀池（约15m</w:t>
      </w:r>
      <w:r>
        <w:rPr>
          <w:rFonts w:ascii="Times New Roman" w:hAnsi="Times New Roman"/>
          <w:sz w:val="24"/>
          <w:vertAlign w:val="superscript"/>
        </w:rPr>
        <w:t>3</w:t>
      </w:r>
      <w:r>
        <w:rPr>
          <w:rFonts w:ascii="Times New Roman" w:hAnsi="Times New Roman"/>
          <w:sz w:val="24"/>
        </w:rPr>
        <w:t>）处理拌和站废水，废水静止沉淀到下一台班末，上清液回用于混凝土拌和站或施工场地洒水。</w:t>
      </w:r>
    </w:p>
    <w:p>
      <w:pPr>
        <w:spacing w:line="470" w:lineRule="exact"/>
        <w:ind w:firstLine="559" w:firstLineChars="232"/>
        <w:rPr>
          <w:rFonts w:ascii="Times New Roman" w:hAnsi="Times New Roman"/>
          <w:b/>
          <w:sz w:val="24"/>
        </w:rPr>
      </w:pPr>
      <w:r>
        <w:rPr>
          <w:rFonts w:ascii="Times New Roman" w:hAnsi="Times New Roman"/>
          <w:b/>
          <w:sz w:val="24"/>
        </w:rPr>
        <w:t>2、其他冲洗废水</w:t>
      </w:r>
    </w:p>
    <w:p>
      <w:pPr>
        <w:spacing w:line="470" w:lineRule="exact"/>
        <w:ind w:firstLine="556" w:firstLineChars="232"/>
        <w:rPr>
          <w:rFonts w:ascii="Times New Roman" w:hAnsi="Times New Roman"/>
          <w:sz w:val="24"/>
        </w:rPr>
      </w:pPr>
      <w:r>
        <w:rPr>
          <w:rFonts w:ascii="Times New Roman" w:hAnsi="Times New Roman"/>
          <w:sz w:val="24"/>
        </w:rPr>
        <w:t>施工场地内的施工机械和车辆需要定期清洗，以保证机械和车辆正常运行，减少粉尘排放。清洗产生清洗废水，主要污染物是悬浮物和少量石油类，拟设置简单的废水收集系统，清洗废水通过集水沟汇集，经沉淀隔油（隔油沉淀池约3m</w:t>
      </w:r>
      <w:r>
        <w:rPr>
          <w:rFonts w:ascii="Times New Roman" w:hAnsi="Times New Roman"/>
          <w:sz w:val="24"/>
          <w:vertAlign w:val="superscript"/>
        </w:rPr>
        <w:t>3</w:t>
      </w:r>
      <w:r>
        <w:rPr>
          <w:rFonts w:ascii="Times New Roman" w:hAnsi="Times New Roman"/>
          <w:sz w:val="24"/>
        </w:rPr>
        <w:t>）处理达标后用于场区或周边洒水降尘。</w:t>
      </w:r>
    </w:p>
    <w:p>
      <w:pPr>
        <w:pStyle w:val="108"/>
      </w:pPr>
      <w:bookmarkStart w:id="214" w:name="_Toc9873364"/>
      <w:r>
        <w:t>4.3.2 施工生活废水影响分析</w:t>
      </w:r>
      <w:bookmarkEnd w:id="214"/>
    </w:p>
    <w:p>
      <w:pPr>
        <w:pStyle w:val="22"/>
        <w:spacing w:line="470" w:lineRule="exact"/>
        <w:ind w:firstLine="480"/>
        <w:rPr>
          <w:rFonts w:cs="Times New Roman"/>
        </w:rPr>
      </w:pPr>
      <w:r>
        <w:rPr>
          <w:rFonts w:cs="Times New Roman"/>
        </w:rPr>
        <w:t>施工高峰期间施工人员人数预计可能达到50人，依据当地生活条件，生活污水产生量约有5m</w:t>
      </w:r>
      <w:r>
        <w:rPr>
          <w:rFonts w:cs="Times New Roman"/>
          <w:vertAlign w:val="superscript"/>
        </w:rPr>
        <w:t>3</w:t>
      </w:r>
      <w:r>
        <w:rPr>
          <w:rFonts w:cs="Times New Roman"/>
        </w:rPr>
        <w:t>/d，主要污染物是COD</w:t>
      </w:r>
      <w:r>
        <w:rPr>
          <w:rFonts w:cs="Times New Roman"/>
          <w:vertAlign w:val="subscript"/>
        </w:rPr>
        <w:t>Cr</w:t>
      </w:r>
      <w:r>
        <w:rPr>
          <w:rFonts w:cs="Times New Roman"/>
        </w:rPr>
        <w:t>、BOD</w:t>
      </w:r>
      <w:r>
        <w:rPr>
          <w:rFonts w:cs="Times New Roman"/>
          <w:vertAlign w:val="subscript"/>
        </w:rPr>
        <w:t>5</w:t>
      </w:r>
      <w:r>
        <w:rPr>
          <w:rFonts w:cs="Times New Roman"/>
        </w:rPr>
        <w:t>、氨氮、SS等污染物质。根据调查，本项目一期工程已建成投运，施工人员入厕可依托现有工程公厕，生活废水经一期污水处理设施收集处理后，回用于周边农田不外排。</w:t>
      </w:r>
    </w:p>
    <w:p>
      <w:pPr>
        <w:spacing w:line="470" w:lineRule="exact"/>
        <w:ind w:firstLine="480" w:firstLineChars="200"/>
        <w:rPr>
          <w:rFonts w:ascii="Times New Roman" w:hAnsi="Times New Roman"/>
          <w:sz w:val="24"/>
        </w:rPr>
      </w:pPr>
      <w:r>
        <w:rPr>
          <w:rFonts w:ascii="Times New Roman" w:hAnsi="Times New Roman"/>
          <w:sz w:val="24"/>
        </w:rPr>
        <w:t>综上所述，项目施工期无施工废水和生活污水排放，只要加强管理，严格落实措施，项目施工期对评价区域地表水基本无影响。</w:t>
      </w:r>
    </w:p>
    <w:p>
      <w:pPr>
        <w:pStyle w:val="103"/>
        <w:numPr>
          <w:ilvl w:val="0"/>
          <w:numId w:val="0"/>
        </w:numPr>
        <w:rPr>
          <w:rFonts w:ascii="Times New Roman" w:hAnsi="Times New Roman"/>
          <w:b w:val="0"/>
          <w:bCs/>
          <w:kern w:val="28"/>
          <w:sz w:val="32"/>
          <w:szCs w:val="32"/>
        </w:rPr>
      </w:pPr>
      <w:bookmarkStart w:id="215" w:name="_Toc9873365"/>
      <w:bookmarkStart w:id="216" w:name="_Toc161196231"/>
      <w:r>
        <w:rPr>
          <w:rFonts w:ascii="Times New Roman" w:hAnsi="Times New Roman"/>
          <w:b w:val="0"/>
          <w:bCs/>
          <w:kern w:val="28"/>
          <w:sz w:val="32"/>
          <w:szCs w:val="32"/>
        </w:rPr>
        <w:t>4.4 施工期固废影响分析</w:t>
      </w:r>
      <w:bookmarkEnd w:id="215"/>
      <w:bookmarkEnd w:id="216"/>
    </w:p>
    <w:p>
      <w:pPr>
        <w:ind w:left="140" w:leftChars="50" w:right="140" w:rightChars="50" w:firstLine="480"/>
        <w:contextualSpacing/>
        <w:rPr>
          <w:rFonts w:ascii="Times New Roman" w:hAnsi="Times New Roman"/>
          <w:sz w:val="24"/>
          <w:szCs w:val="24"/>
        </w:rPr>
      </w:pPr>
      <w:r>
        <w:rPr>
          <w:rFonts w:ascii="Times New Roman" w:hAnsi="Times New Roman"/>
          <w:sz w:val="24"/>
          <w:szCs w:val="24"/>
        </w:rPr>
        <w:t>施工期固体废弃物有弃土石方、建筑废物及生活垃圾。</w:t>
      </w:r>
    </w:p>
    <w:p>
      <w:pPr>
        <w:ind w:right="140" w:rightChars="50" w:firstLine="590" w:firstLineChars="245"/>
        <w:contextualSpacing/>
        <w:rPr>
          <w:rFonts w:ascii="Times New Roman" w:hAnsi="Times New Roman"/>
          <w:b/>
          <w:sz w:val="24"/>
          <w:szCs w:val="24"/>
        </w:rPr>
      </w:pPr>
      <w:r>
        <w:rPr>
          <w:rFonts w:ascii="Times New Roman" w:hAnsi="Times New Roman"/>
          <w:b/>
          <w:sz w:val="24"/>
          <w:szCs w:val="24"/>
        </w:rPr>
        <w:t>1、弃土石方</w:t>
      </w:r>
    </w:p>
    <w:p>
      <w:pPr>
        <w:ind w:right="140" w:rightChars="50" w:firstLine="588" w:firstLineChars="245"/>
        <w:contextualSpacing/>
        <w:rPr>
          <w:rFonts w:ascii="Times New Roman" w:hAnsi="Times New Roman"/>
          <w:sz w:val="24"/>
          <w:szCs w:val="24"/>
        </w:rPr>
      </w:pPr>
      <w:r>
        <w:rPr>
          <w:rFonts w:ascii="Times New Roman" w:hAnsi="Times New Roman"/>
          <w:sz w:val="24"/>
        </w:rPr>
        <w:t>本项目所在地地势较平坦，估算挖方约0.8万m</w:t>
      </w:r>
      <w:r>
        <w:rPr>
          <w:rFonts w:ascii="Times New Roman" w:hAnsi="Times New Roman"/>
          <w:sz w:val="24"/>
          <w:vertAlign w:val="superscript"/>
        </w:rPr>
        <w:t>3</w:t>
      </w:r>
      <w:r>
        <w:rPr>
          <w:rFonts w:ascii="Times New Roman" w:hAnsi="Times New Roman"/>
          <w:sz w:val="24"/>
        </w:rPr>
        <w:t>，</w:t>
      </w:r>
      <w:r>
        <w:rPr>
          <w:rFonts w:ascii="Times New Roman" w:hAnsi="Times New Roman"/>
          <w:sz w:val="24"/>
          <w:szCs w:val="24"/>
        </w:rPr>
        <w:t>开挖土石方全部用于场地回填、调整场平及绿化，无弃土产生。</w:t>
      </w:r>
      <w:r>
        <w:rPr>
          <w:rFonts w:ascii="Times New Roman" w:hAnsi="Times New Roman"/>
          <w:sz w:val="24"/>
        </w:rPr>
        <w:t>表土剥离作为绿化用土覆土厚度为30cm，堆放在项目区边缘临时堆土区。</w:t>
      </w:r>
      <w:r>
        <w:rPr>
          <w:rFonts w:ascii="Times New Roman" w:hAnsi="Times New Roman"/>
          <w:sz w:val="24"/>
          <w:szCs w:val="24"/>
        </w:rPr>
        <w:t>为防止施工期土石方处置不当对周围环境的影响，本环评要求：施工期禁止大风天气和雨天进行土石方开挖作业，开挖的土石方应及时回填，回填后应及时夯实覆土；施工完成后，应尽快进行绿化建设，优先选用固沙植物，覆盖的泥土应不超出绿化边界。</w:t>
      </w:r>
    </w:p>
    <w:p>
      <w:pPr>
        <w:ind w:left="568" w:right="140" w:rightChars="50"/>
        <w:contextualSpacing/>
        <w:rPr>
          <w:rFonts w:ascii="Times New Roman" w:hAnsi="Times New Roman"/>
          <w:b/>
          <w:sz w:val="24"/>
          <w:szCs w:val="24"/>
        </w:rPr>
      </w:pPr>
      <w:r>
        <w:rPr>
          <w:rFonts w:ascii="Times New Roman" w:hAnsi="Times New Roman"/>
          <w:b/>
          <w:sz w:val="24"/>
          <w:szCs w:val="24"/>
        </w:rPr>
        <w:t>2、建筑废物</w:t>
      </w:r>
    </w:p>
    <w:p>
      <w:pPr>
        <w:ind w:firstLine="480"/>
        <w:rPr>
          <w:rFonts w:ascii="Times New Roman" w:hAnsi="Times New Roman"/>
          <w:sz w:val="24"/>
          <w:szCs w:val="24"/>
        </w:rPr>
      </w:pPr>
      <w:r>
        <w:rPr>
          <w:rFonts w:ascii="Times New Roman" w:hAnsi="Times New Roman"/>
          <w:sz w:val="24"/>
          <w:szCs w:val="24"/>
        </w:rPr>
        <w:t>施工期建筑废物主要包括建筑垃圾和装修垃圾。</w:t>
      </w:r>
    </w:p>
    <w:p>
      <w:pPr>
        <w:ind w:firstLine="480"/>
        <w:rPr>
          <w:rFonts w:ascii="Times New Roman" w:hAnsi="Times New Roman"/>
          <w:sz w:val="24"/>
          <w:szCs w:val="24"/>
        </w:rPr>
      </w:pPr>
      <w:r>
        <w:rPr>
          <w:rFonts w:ascii="Times New Roman" w:hAnsi="Times New Roman"/>
          <w:sz w:val="24"/>
          <w:szCs w:val="24"/>
        </w:rPr>
        <w:t>项目建设施工过程，建筑垃圾产生量为150kg/m</w:t>
      </w:r>
      <w:r>
        <w:rPr>
          <w:rFonts w:ascii="Times New Roman" w:hAnsi="Times New Roman"/>
          <w:sz w:val="24"/>
          <w:szCs w:val="24"/>
          <w:vertAlign w:val="superscript"/>
        </w:rPr>
        <w:t>2</w:t>
      </w:r>
      <w:r>
        <w:rPr>
          <w:rFonts w:ascii="Times New Roman" w:hAnsi="Times New Roman"/>
          <w:sz w:val="24"/>
          <w:szCs w:val="24"/>
        </w:rPr>
        <w:t>，项目总建筑面积为24200m</w:t>
      </w:r>
      <w:r>
        <w:rPr>
          <w:rFonts w:ascii="Times New Roman" w:hAnsi="Times New Roman"/>
          <w:sz w:val="24"/>
          <w:szCs w:val="24"/>
          <w:vertAlign w:val="superscript"/>
        </w:rPr>
        <w:t>2</w:t>
      </w:r>
      <w:r>
        <w:rPr>
          <w:rFonts w:ascii="Times New Roman" w:hAnsi="Times New Roman"/>
          <w:sz w:val="24"/>
          <w:szCs w:val="24"/>
        </w:rPr>
        <w:t>，据此可估算出本项目施工期产生的建筑垃圾为0.363万t。对于施工期间产生的可回收利用的废料通过分类收集后交废物收购站；对不能回收的建筑废物不能随意倾倒，而应用编织袋包装后堆放在指定地点，由环卫部门统一清运处理。</w:t>
      </w:r>
    </w:p>
    <w:p>
      <w:pPr>
        <w:ind w:firstLine="480"/>
        <w:rPr>
          <w:rFonts w:ascii="Times New Roman" w:hAnsi="Times New Roman"/>
          <w:sz w:val="24"/>
          <w:szCs w:val="24"/>
        </w:rPr>
      </w:pPr>
      <w:r>
        <w:rPr>
          <w:rFonts w:ascii="Times New Roman" w:hAnsi="Times New Roman"/>
          <w:sz w:val="24"/>
          <w:szCs w:val="24"/>
        </w:rPr>
        <w:t>项目装修中用到的废弃涂料容器、环氧树脂等属于危险废物，约应单独设置收集并做好防护措施，施工完成后统一交由具有资质的单位。</w:t>
      </w:r>
    </w:p>
    <w:p>
      <w:pPr>
        <w:ind w:left="140" w:leftChars="50" w:right="140" w:rightChars="50" w:firstLine="482"/>
        <w:contextualSpacing/>
        <w:rPr>
          <w:rFonts w:ascii="Times New Roman" w:hAnsi="Times New Roman"/>
          <w:b/>
          <w:sz w:val="24"/>
          <w:szCs w:val="24"/>
        </w:rPr>
      </w:pPr>
      <w:r>
        <w:rPr>
          <w:rFonts w:ascii="Times New Roman" w:hAnsi="Times New Roman"/>
          <w:b/>
          <w:sz w:val="24"/>
          <w:szCs w:val="24"/>
        </w:rPr>
        <w:t>3、施工生活垃圾</w:t>
      </w:r>
    </w:p>
    <w:p>
      <w:pPr>
        <w:ind w:left="140" w:leftChars="50" w:right="140" w:rightChars="50" w:firstLine="480"/>
        <w:contextualSpacing/>
        <w:rPr>
          <w:rFonts w:ascii="Times New Roman" w:hAnsi="Times New Roman"/>
          <w:sz w:val="24"/>
          <w:szCs w:val="24"/>
        </w:rPr>
      </w:pPr>
      <w:r>
        <w:rPr>
          <w:rFonts w:ascii="Times New Roman" w:hAnsi="Times New Roman"/>
          <w:sz w:val="24"/>
          <w:szCs w:val="24"/>
        </w:rPr>
        <w:t>项目施工期高峰时施工人员约50人，生活垃圾按0.2kg/人·d计，生活垃圾产生量约10kg/d。本项目施工人员产生的生活垃圾经袋装收集后，由环卫部门统一清运处理。</w:t>
      </w:r>
    </w:p>
    <w:p>
      <w:pPr>
        <w:spacing w:line="470" w:lineRule="exact"/>
        <w:ind w:firstLine="480" w:firstLineChars="200"/>
        <w:rPr>
          <w:rFonts w:ascii="Times New Roman" w:hAnsi="Times New Roman"/>
          <w:sz w:val="24"/>
        </w:rPr>
      </w:pPr>
      <w:r>
        <w:rPr>
          <w:rFonts w:ascii="Times New Roman" w:hAnsi="Times New Roman"/>
          <w:sz w:val="24"/>
        </w:rPr>
        <w:t>总体而言，在采取各类必要环保措施后，只要加强施工管理，项目施工期的环境影响很小，并且随施工期的结束而消除。</w:t>
      </w:r>
    </w:p>
    <w:p>
      <w:pPr>
        <w:pStyle w:val="103"/>
        <w:numPr>
          <w:ilvl w:val="0"/>
          <w:numId w:val="0"/>
        </w:numPr>
        <w:rPr>
          <w:rFonts w:ascii="Times New Roman" w:hAnsi="Times New Roman"/>
          <w:b w:val="0"/>
          <w:bCs/>
          <w:kern w:val="28"/>
          <w:sz w:val="32"/>
          <w:szCs w:val="32"/>
        </w:rPr>
      </w:pPr>
      <w:bookmarkStart w:id="217" w:name="_Toc9873366"/>
      <w:r>
        <w:rPr>
          <w:rFonts w:ascii="Times New Roman" w:hAnsi="Times New Roman"/>
          <w:b w:val="0"/>
          <w:bCs/>
          <w:kern w:val="28"/>
          <w:sz w:val="32"/>
          <w:szCs w:val="32"/>
        </w:rPr>
        <w:t>4.5 施工期对水土流失的影响</w:t>
      </w:r>
      <w:bookmarkEnd w:id="217"/>
    </w:p>
    <w:p>
      <w:pPr>
        <w:spacing w:line="470" w:lineRule="exact"/>
        <w:ind w:firstLine="480" w:firstLineChars="200"/>
        <w:rPr>
          <w:rFonts w:ascii="Times New Roman" w:hAnsi="Times New Roman"/>
          <w:sz w:val="24"/>
        </w:rPr>
      </w:pPr>
      <w:r>
        <w:rPr>
          <w:rFonts w:ascii="Times New Roman" w:hAnsi="Times New Roman"/>
          <w:sz w:val="24"/>
        </w:rPr>
        <w:t>项目施工期的地面平整，建构筑物的建设将大量开挖场区地表，产生挖土的临时堆放等作业。项目场内可实现挖填方平衡，不需要永久堆放弃渣土。但大量施工临时挖土的堆放、场区施工开挖区等处在雨季可能造成的水土流失等生态影响。</w:t>
      </w:r>
    </w:p>
    <w:p>
      <w:pPr>
        <w:spacing w:line="470" w:lineRule="exact"/>
        <w:ind w:firstLine="480" w:firstLineChars="200"/>
        <w:rPr>
          <w:rFonts w:ascii="Times New Roman" w:hAnsi="Times New Roman"/>
          <w:sz w:val="24"/>
        </w:rPr>
      </w:pPr>
      <w:r>
        <w:rPr>
          <w:rFonts w:ascii="Times New Roman" w:hAnsi="Times New Roman"/>
          <w:sz w:val="24"/>
        </w:rPr>
        <w:t>对场区水土流失的防治主要应做好两个方面的工作：一方面项目在管理上和设计上，要充分考虑到在施工时段和弃土临时堆场水保措施及可能产生的影响；另一方面在项目实施时，要落实有关防范措施，减少可能造成的水土流失。项目施工期间应采取必要水保措施，应先修筑导排水设施及堡坎等必要水保设施后，再进行场内施工。防止水土流失。在采取有关措施后，可将水土流失影响降至最低。</w:t>
      </w:r>
    </w:p>
    <w:p>
      <w:pPr>
        <w:pStyle w:val="101"/>
        <w:spacing w:before="780" w:after="780"/>
        <w:rPr>
          <w:rFonts w:ascii="Times New Roman" w:hAnsi="Times New Roman"/>
        </w:rPr>
      </w:pPr>
      <w:r>
        <w:rPr>
          <w:rFonts w:ascii="Times New Roman" w:hAnsi="Times New Roman"/>
        </w:rPr>
        <w:br w:type="page"/>
      </w:r>
    </w:p>
    <w:p>
      <w:pPr>
        <w:pStyle w:val="101"/>
        <w:spacing w:before="780" w:after="780"/>
        <w:rPr>
          <w:rFonts w:ascii="Times New Roman" w:hAnsi="Times New Roman"/>
        </w:rPr>
      </w:pPr>
      <w:bookmarkStart w:id="218" w:name="_Toc9873367"/>
      <w:r>
        <w:rPr>
          <w:rFonts w:ascii="Times New Roman" w:hAnsi="Times New Roman"/>
        </w:rPr>
        <w:t>第五章  营运期环境影响预测与评价</w:t>
      </w:r>
      <w:bookmarkEnd w:id="218"/>
    </w:p>
    <w:p>
      <w:pPr>
        <w:pStyle w:val="103"/>
        <w:numPr>
          <w:ilvl w:val="0"/>
          <w:numId w:val="0"/>
        </w:numPr>
        <w:rPr>
          <w:rFonts w:ascii="Times New Roman" w:hAnsi="Times New Roman"/>
          <w:b w:val="0"/>
        </w:rPr>
      </w:pPr>
      <w:bookmarkStart w:id="219" w:name="_Toc161196233"/>
      <w:bookmarkStart w:id="220" w:name="_Toc9873368"/>
      <w:r>
        <w:rPr>
          <w:rFonts w:ascii="Times New Roman" w:hAnsi="Times New Roman"/>
          <w:b w:val="0"/>
          <w:bCs/>
          <w:kern w:val="28"/>
          <w:sz w:val="32"/>
          <w:szCs w:val="32"/>
        </w:rPr>
        <w:t>5.1  大气环境影响分析</w:t>
      </w:r>
      <w:bookmarkEnd w:id="219"/>
      <w:bookmarkEnd w:id="220"/>
    </w:p>
    <w:p>
      <w:pPr>
        <w:spacing w:line="470" w:lineRule="exact"/>
        <w:ind w:firstLine="480"/>
        <w:rPr>
          <w:rFonts w:ascii="Times New Roman" w:hAnsi="Times New Roman"/>
          <w:sz w:val="24"/>
        </w:rPr>
      </w:pPr>
      <w:r>
        <w:rPr>
          <w:rFonts w:ascii="Times New Roman" w:hAnsi="Times New Roman"/>
          <w:sz w:val="24"/>
        </w:rPr>
        <w:t>养殖场主要的大气污染物为猪只排泄的粪污和处理粪污装置等以无组织形式散发出的恶臭气体。</w:t>
      </w:r>
    </w:p>
    <w:p>
      <w:pPr>
        <w:pStyle w:val="108"/>
      </w:pPr>
      <w:bookmarkStart w:id="221" w:name="_Toc9873369"/>
      <w:r>
        <w:t>5.1.1 污染源分析</w:t>
      </w:r>
      <w:bookmarkEnd w:id="221"/>
    </w:p>
    <w:p>
      <w:pPr>
        <w:spacing w:line="470" w:lineRule="exact"/>
        <w:ind w:firstLine="480" w:firstLineChars="200"/>
        <w:rPr>
          <w:rFonts w:ascii="Times New Roman" w:hAnsi="Times New Roman"/>
          <w:sz w:val="24"/>
        </w:rPr>
      </w:pPr>
      <w:r>
        <w:rPr>
          <w:rFonts w:ascii="Times New Roman" w:hAnsi="Times New Roman"/>
          <w:sz w:val="24"/>
        </w:rPr>
        <w:t>本项目污染源为圈舍、干粪堆场、污水处理系统，污染因子为恶臭气体，主要是氨气和硫化氢气体。根据工程分析，本项目大气污染物无组织排放源强见表5.1-1。</w:t>
      </w:r>
    </w:p>
    <w:p>
      <w:pPr>
        <w:pStyle w:val="154"/>
        <w:spacing w:line="480" w:lineRule="exact"/>
        <w:ind w:firstLine="630"/>
        <w:jc w:val="center"/>
        <w:rPr>
          <w:rFonts w:ascii="Times New Roman" w:hAnsi="Times New Roman" w:cs="Times New Roman"/>
          <w:sz w:val="21"/>
          <w:szCs w:val="21"/>
        </w:rPr>
      </w:pPr>
      <w:r>
        <w:rPr>
          <w:rFonts w:ascii="Times New Roman" w:hAnsi="Times New Roman" w:cs="Times New Roman"/>
          <w:sz w:val="21"/>
          <w:szCs w:val="21"/>
        </w:rPr>
        <w:t>表5.1-1 本项目大气污染物无组织排放源强</w:t>
      </w:r>
    </w:p>
    <w:tbl>
      <w:tblPr>
        <w:tblStyle w:val="90"/>
        <w:tblpPr w:leftFromText="180" w:rightFromText="180" w:vertAnchor="text" w:horzAnchor="page" w:tblpX="1984" w:tblpY="462"/>
        <w:tblOverlap w:val="never"/>
        <w:tblW w:w="8017"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030"/>
        <w:gridCol w:w="1721"/>
        <w:gridCol w:w="1417"/>
        <w:gridCol w:w="1276"/>
        <w:gridCol w:w="1359"/>
        <w:gridCol w:w="121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trPr>
        <w:tc>
          <w:tcPr>
            <w:tcW w:w="1030" w:type="dxa"/>
            <w:vMerge w:val="restart"/>
            <w:tcMar>
              <w:left w:w="57" w:type="dxa"/>
              <w:right w:w="57" w:type="dxa"/>
            </w:tcMar>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来源</w:t>
            </w:r>
          </w:p>
        </w:tc>
        <w:tc>
          <w:tcPr>
            <w:tcW w:w="1721" w:type="dxa"/>
            <w:vMerge w:val="restart"/>
            <w:tcMar>
              <w:left w:w="57" w:type="dxa"/>
              <w:right w:w="57" w:type="dxa"/>
            </w:tcMar>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数量</w:t>
            </w:r>
          </w:p>
        </w:tc>
        <w:tc>
          <w:tcPr>
            <w:tcW w:w="2693" w:type="dxa"/>
            <w:gridSpan w:val="2"/>
            <w:tcMar>
              <w:left w:w="57" w:type="dxa"/>
              <w:right w:w="57" w:type="dxa"/>
            </w:tcMar>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氨</w:t>
            </w:r>
          </w:p>
        </w:tc>
        <w:tc>
          <w:tcPr>
            <w:tcW w:w="2573" w:type="dxa"/>
            <w:gridSpan w:val="2"/>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硫化氢</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61" w:hRule="atLeast"/>
        </w:trPr>
        <w:tc>
          <w:tcPr>
            <w:tcW w:w="1030" w:type="dxa"/>
            <w:vMerge w:val="continue"/>
            <w:tcMar>
              <w:left w:w="57" w:type="dxa"/>
              <w:right w:w="57" w:type="dxa"/>
            </w:tcMar>
            <w:vAlign w:val="center"/>
          </w:tcPr>
          <w:p>
            <w:pPr>
              <w:spacing w:line="276" w:lineRule="auto"/>
              <w:jc w:val="center"/>
              <w:rPr>
                <w:rFonts w:ascii="Times New Roman" w:hAnsi="Times New Roman" w:eastAsiaTheme="minorEastAsia"/>
                <w:sz w:val="21"/>
                <w:szCs w:val="21"/>
              </w:rPr>
            </w:pPr>
          </w:p>
        </w:tc>
        <w:tc>
          <w:tcPr>
            <w:tcW w:w="1721" w:type="dxa"/>
            <w:vMerge w:val="continue"/>
            <w:tcMar>
              <w:left w:w="57" w:type="dxa"/>
              <w:right w:w="57" w:type="dxa"/>
            </w:tcMar>
            <w:vAlign w:val="center"/>
          </w:tcPr>
          <w:p>
            <w:pPr>
              <w:spacing w:line="276" w:lineRule="auto"/>
              <w:jc w:val="center"/>
              <w:rPr>
                <w:rFonts w:ascii="Times New Roman" w:hAnsi="Times New Roman" w:eastAsiaTheme="minorEastAsia"/>
                <w:sz w:val="21"/>
                <w:szCs w:val="21"/>
              </w:rPr>
            </w:pPr>
          </w:p>
        </w:tc>
        <w:tc>
          <w:tcPr>
            <w:tcW w:w="1417" w:type="dxa"/>
            <w:tcMar>
              <w:left w:w="57" w:type="dxa"/>
              <w:right w:w="57" w:type="dxa"/>
            </w:tcMar>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产生量</w:t>
            </w:r>
          </w:p>
        </w:tc>
        <w:tc>
          <w:tcPr>
            <w:tcW w:w="1276"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排放量</w:t>
            </w:r>
          </w:p>
        </w:tc>
        <w:tc>
          <w:tcPr>
            <w:tcW w:w="1359" w:type="dxa"/>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产生量</w:t>
            </w:r>
          </w:p>
        </w:tc>
        <w:tc>
          <w:tcPr>
            <w:tcW w:w="1214" w:type="dxa"/>
            <w:tcMar>
              <w:left w:w="57" w:type="dxa"/>
              <w:right w:w="57" w:type="dxa"/>
            </w:tcMar>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排放量</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3" w:hRule="atLeast"/>
        </w:trPr>
        <w:tc>
          <w:tcPr>
            <w:tcW w:w="1030" w:type="dxa"/>
            <w:tcMar>
              <w:left w:w="57" w:type="dxa"/>
              <w:right w:w="57"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圈舍</w:t>
            </w:r>
          </w:p>
          <w:p>
            <w:pPr>
              <w:jc w:val="center"/>
              <w:rPr>
                <w:rFonts w:ascii="Times New Roman" w:hAnsi="Times New Roman" w:eastAsiaTheme="minorEastAsia"/>
                <w:sz w:val="21"/>
                <w:szCs w:val="21"/>
              </w:rPr>
            </w:pPr>
            <w:r>
              <w:rPr>
                <w:rFonts w:ascii="Times New Roman" w:hAnsi="Times New Roman" w:eastAsiaTheme="minorEastAsia"/>
                <w:sz w:val="21"/>
                <w:szCs w:val="21"/>
              </w:rPr>
              <w:t>24200㎡</w:t>
            </w:r>
          </w:p>
        </w:tc>
        <w:tc>
          <w:tcPr>
            <w:tcW w:w="1721" w:type="dxa"/>
            <w:tcMar>
              <w:left w:w="57" w:type="dxa"/>
              <w:right w:w="57"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存栏19900头</w:t>
            </w:r>
          </w:p>
        </w:tc>
        <w:tc>
          <w:tcPr>
            <w:tcW w:w="1417" w:type="dxa"/>
            <w:tcMar>
              <w:left w:w="57" w:type="dxa"/>
              <w:right w:w="57"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0.7261kg/h</w:t>
            </w:r>
          </w:p>
          <w:p>
            <w:pPr>
              <w:jc w:val="center"/>
              <w:rPr>
                <w:rFonts w:ascii="Times New Roman" w:hAnsi="Times New Roman" w:eastAsiaTheme="minorEastAsia"/>
                <w:sz w:val="21"/>
                <w:szCs w:val="21"/>
              </w:rPr>
            </w:pPr>
            <w:r>
              <w:rPr>
                <w:rFonts w:ascii="Times New Roman" w:hAnsi="Times New Roman" w:eastAsiaTheme="minorEastAsia"/>
                <w:sz w:val="21"/>
                <w:szCs w:val="21"/>
              </w:rPr>
              <w:t>6.3628t/a</w:t>
            </w:r>
          </w:p>
        </w:tc>
        <w:tc>
          <w:tcPr>
            <w:tcW w:w="1276"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0.0365kg/h</w:t>
            </w:r>
          </w:p>
          <w:p>
            <w:pPr>
              <w:jc w:val="center"/>
              <w:rPr>
                <w:rFonts w:ascii="Times New Roman" w:hAnsi="Times New Roman" w:eastAsiaTheme="minorEastAsia"/>
                <w:sz w:val="21"/>
                <w:szCs w:val="21"/>
              </w:rPr>
            </w:pPr>
            <w:r>
              <w:rPr>
                <w:rFonts w:ascii="Times New Roman" w:hAnsi="Times New Roman" w:eastAsiaTheme="minorEastAsia"/>
                <w:sz w:val="21"/>
                <w:szCs w:val="21"/>
              </w:rPr>
              <w:t>0.3181t/a</w:t>
            </w:r>
          </w:p>
        </w:tc>
        <w:tc>
          <w:tcPr>
            <w:tcW w:w="135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0.04279kg/h</w:t>
            </w:r>
          </w:p>
          <w:p>
            <w:pPr>
              <w:jc w:val="center"/>
              <w:rPr>
                <w:rFonts w:ascii="Times New Roman" w:hAnsi="Times New Roman" w:eastAsiaTheme="minorEastAsia"/>
                <w:sz w:val="21"/>
                <w:szCs w:val="21"/>
              </w:rPr>
            </w:pPr>
            <w:r>
              <w:rPr>
                <w:rFonts w:ascii="Times New Roman" w:hAnsi="Times New Roman" w:eastAsiaTheme="minorEastAsia"/>
                <w:sz w:val="21"/>
                <w:szCs w:val="21"/>
              </w:rPr>
              <w:t>0.3748t/a</w:t>
            </w:r>
          </w:p>
        </w:tc>
        <w:tc>
          <w:tcPr>
            <w:tcW w:w="1214" w:type="dxa"/>
            <w:tcMar>
              <w:left w:w="57" w:type="dxa"/>
              <w:right w:w="57" w:type="dxa"/>
            </w:tcMar>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0.0021kg/h</w:t>
            </w:r>
          </w:p>
          <w:p>
            <w:pPr>
              <w:jc w:val="center"/>
              <w:rPr>
                <w:rFonts w:ascii="Times New Roman" w:hAnsi="Times New Roman" w:eastAsiaTheme="minorEastAsia"/>
                <w:sz w:val="21"/>
                <w:szCs w:val="21"/>
              </w:rPr>
            </w:pPr>
            <w:r>
              <w:rPr>
                <w:rFonts w:ascii="Times New Roman" w:hAnsi="Times New Roman" w:eastAsiaTheme="minorEastAsia"/>
                <w:sz w:val="21"/>
                <w:szCs w:val="21"/>
              </w:rPr>
              <w:t>0.0187 t/a</w:t>
            </w:r>
          </w:p>
        </w:tc>
      </w:tr>
    </w:tbl>
    <w:p>
      <w:pPr>
        <w:pStyle w:val="108"/>
      </w:pPr>
      <w:bookmarkStart w:id="222" w:name="_Toc9873370"/>
      <w:r>
        <w:t>5.1.2  影响分析</w:t>
      </w:r>
      <w:bookmarkEnd w:id="222"/>
    </w:p>
    <w:p>
      <w:pPr>
        <w:spacing w:line="470" w:lineRule="exact"/>
        <w:ind w:firstLine="480"/>
        <w:rPr>
          <w:rFonts w:ascii="Times New Roman" w:hAnsi="Times New Roman"/>
          <w:sz w:val="24"/>
        </w:rPr>
      </w:pPr>
      <w:r>
        <w:rPr>
          <w:rFonts w:ascii="Times New Roman" w:hAnsi="Times New Roman"/>
          <w:sz w:val="24"/>
        </w:rPr>
        <w:t>本项目及污水处理装置等是恶臭污染源，排放恶臭气体由于是以无组织形式散发的，无法具体确定排放量进行污染浓度分布预测。可以通过加强卫生管理，粪污做到日产日处理，干粪堆场、污水处理装置等为密闭构筑物，减少恶臭气体向外扩散，使场界恶臭污染物NH</w:t>
      </w:r>
      <w:r>
        <w:rPr>
          <w:rFonts w:ascii="Times New Roman" w:hAnsi="Times New Roman"/>
          <w:sz w:val="24"/>
          <w:vertAlign w:val="sub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 xml:space="preserve">S满足《恶臭污染物排放标准》(GBl4554-93)中二级限值要求。同时通过场界种植高大乔木，形成一道绿化屏障，对恶臭污染物起到一定的阻隔和吸附作用，可最大限度地将恶臭污染物对周围大气环境的影响降至最低。 </w:t>
      </w:r>
    </w:p>
    <w:p>
      <w:pPr>
        <w:spacing w:line="470" w:lineRule="exact"/>
        <w:ind w:firstLine="480"/>
        <w:rPr>
          <w:rFonts w:ascii="Times New Roman" w:hAnsi="Times New Roman"/>
          <w:sz w:val="24"/>
        </w:rPr>
      </w:pPr>
      <w:r>
        <w:rPr>
          <w:rFonts w:ascii="Times New Roman" w:hAnsi="Times New Roman"/>
          <w:sz w:val="24"/>
        </w:rPr>
        <w:t>除上述常规除臭措施外，本项目：</w:t>
      </w:r>
    </w:p>
    <w:p>
      <w:pPr>
        <w:spacing w:line="470" w:lineRule="exact"/>
        <w:ind w:firstLine="480"/>
        <w:rPr>
          <w:rFonts w:ascii="Times New Roman" w:hAnsi="Times New Roman"/>
          <w:sz w:val="24"/>
        </w:rPr>
      </w:pPr>
      <w:r>
        <w:rPr>
          <w:rFonts w:ascii="Times New Roman" w:hAnsi="Times New Roman"/>
          <w:sz w:val="24"/>
        </w:rPr>
        <w:t>在圈舍增加通风次数，向粪便或舍内投放吸附剂减少臭气的散发。采用沸石、膨润土以及秸秆等含纤维素和木质素较多的材料，使用高锰酸钾等氧化剂及一些杀菌剂，可杀死厌氧发酵的细菌，达到除臭目的；</w:t>
      </w:r>
    </w:p>
    <w:p>
      <w:pPr>
        <w:spacing w:line="470" w:lineRule="exact"/>
        <w:ind w:firstLine="480"/>
        <w:rPr>
          <w:rFonts w:ascii="Times New Roman" w:hAnsi="Times New Roman"/>
          <w:sz w:val="24"/>
        </w:rPr>
      </w:pPr>
      <w:r>
        <w:rPr>
          <w:rFonts w:ascii="Times New Roman" w:hAnsi="Times New Roman"/>
          <w:sz w:val="24"/>
        </w:rPr>
        <w:t>每5天喷雾一次500倍稀释的EM（有效生物菌群）液等措施；</w:t>
      </w:r>
    </w:p>
    <w:p>
      <w:pPr>
        <w:snapToGrid w:val="0"/>
        <w:spacing w:line="500" w:lineRule="exact"/>
        <w:ind w:firstLine="480" w:firstLineChars="200"/>
        <w:rPr>
          <w:rFonts w:ascii="Times New Roman" w:hAnsi="Times New Roman"/>
          <w:sz w:val="24"/>
        </w:rPr>
      </w:pPr>
      <w:r>
        <w:rPr>
          <w:rFonts w:ascii="Times New Roman" w:hAnsi="Times New Roman"/>
          <w:sz w:val="24"/>
        </w:rPr>
        <w:t>根据国家环保总局《全国规模化畜禽养殖业污染情况调查及防治对策》（中国环境科学出版社 - 2002年出版）中有关数据分析，存栏 1000 头猪产生硫化氢 0.0043kg/h、氨0.073kg/h；同时，根据研究文献（《猪舍氨气排放量及其检测技术研究进展》2014年中国畜牧兽医 李勋等）研究， 猪舍内氨气排放量受许多因素的影响，如猪的年龄、体重、日粮组分、猪舍和蓄粪池的类型、粪尿处理方法及天气情况。在不同的国家，这些因素是不同的 所以每头猪的年氨气排放量也是不同的。即使在同一个国家的不同地区， 由于农业结构的差异，每头猪的年氨气排放量也是不同的。</w:t>
      </w:r>
    </w:p>
    <w:p>
      <w:pPr>
        <w:snapToGrid w:val="0"/>
        <w:spacing w:line="500" w:lineRule="exact"/>
        <w:ind w:firstLine="480" w:firstLineChars="200"/>
        <w:rPr>
          <w:rFonts w:ascii="Times New Roman" w:hAnsi="Times New Roman"/>
          <w:sz w:val="24"/>
        </w:rPr>
      </w:pPr>
      <w:r>
        <w:rPr>
          <w:rFonts w:ascii="Times New Roman" w:hAnsi="Times New Roman"/>
          <w:sz w:val="24"/>
        </w:rPr>
        <w:t>本项目采用全漏缝地板，根据经验会大幅度降低氨气的排放量。本项目氨的产生量常年存栏数 19900头，按存栏 1000 头猪产生硫化氢 0.0043kg/h、氨0.073kg/h计算，同时全漏缝地板减排系数50%左右控制，得到本项目圈舍恶臭污染物产生量为：硫化氢 0.04279kg/h（0.3748t/a）；氨0.7264kg/h（6.3628t/a）。</w:t>
      </w:r>
    </w:p>
    <w:p>
      <w:pPr>
        <w:snapToGrid w:val="0"/>
        <w:spacing w:line="500" w:lineRule="exact"/>
        <w:ind w:firstLine="480" w:firstLineChars="200"/>
        <w:rPr>
          <w:rFonts w:ascii="Times New Roman" w:hAnsi="Times New Roman"/>
          <w:sz w:val="24"/>
        </w:rPr>
      </w:pPr>
      <w:r>
        <w:rPr>
          <w:rFonts w:ascii="Times New Roman" w:hAnsi="Times New Roman"/>
          <w:sz w:val="24"/>
        </w:rPr>
        <w:t>本项目圈舍整体为负压封闭状态，废气一般不会溢出圈舍。废气通过抽风系统收集，垂直通风口采用活性炭处理后再通过圈舍耳房排放。</w:t>
      </w:r>
    </w:p>
    <w:p>
      <w:pPr>
        <w:snapToGrid w:val="0"/>
        <w:spacing w:line="500" w:lineRule="exact"/>
        <w:ind w:firstLine="480" w:firstLineChars="200"/>
        <w:rPr>
          <w:rFonts w:ascii="Times New Roman" w:hAnsi="Times New Roman"/>
          <w:sz w:val="24"/>
        </w:rPr>
      </w:pPr>
      <w:r>
        <w:rPr>
          <w:rFonts w:ascii="Times New Roman" w:hAnsi="Times New Roman"/>
          <w:sz w:val="24"/>
        </w:rPr>
        <w:t>采用在饲料中添加除臭丝兰粉，减少圈舍臭气污染物浓度，其中减少氨气量的40％~60％，硫化氢量的50%，本报告按50%计算。其作用原理为：丝兰提取物是一种脲酶抑制剂，不但能抑制尿素分解成氨气，还能促进微生物将氨气转变成微生物蛋白，从而减少粪、尿中氨气的产生。丝兰提取物中的大分子(大于 20万道尔顿)和序列分子能直接吸附、结合环境中氨气等有害气体。丝兰提取物可通过阻止粪尿中氮的硝化，使氮以无机质形式存在，从而使散发到空气中的氨气量减少。垂直通风口废气经过活性炭吸附，净化效率可提高到90%。综合处置净化效率95%。</w:t>
      </w:r>
    </w:p>
    <w:p>
      <w:pPr>
        <w:widowControl/>
        <w:snapToGrid w:val="0"/>
        <w:spacing w:line="500" w:lineRule="exact"/>
        <w:ind w:firstLine="480" w:firstLineChars="200"/>
        <w:jc w:val="left"/>
        <w:rPr>
          <w:rFonts w:ascii="Times New Roman" w:hAnsi="Times New Roman"/>
          <w:sz w:val="24"/>
        </w:rPr>
      </w:pPr>
      <w:r>
        <w:rPr>
          <w:rFonts w:ascii="Times New Roman" w:hAnsi="Times New Roman"/>
          <w:sz w:val="24"/>
        </w:rPr>
        <w:t>经一期试运行期间验收监测，经采取了综合防治措施后，圈舍臭气污染物可以达标排放。</w:t>
      </w:r>
      <w:r>
        <w:rPr>
          <w:rFonts w:ascii="Times New Roman" w:hAnsi="Times New Roman"/>
          <w:sz w:val="24"/>
          <w:lang w:bidi="ar"/>
        </w:rPr>
        <w:t>在项目试运行过程中，成都市华测检测技术有限公司检测与2018年4月对厂区无组织废气检测进行了检测，厂界氨和硫化氢的浓度较低（氨 0.04~0.26mg/m</w:t>
      </w:r>
      <w:r>
        <w:rPr>
          <w:rFonts w:ascii="Times New Roman" w:hAnsi="Times New Roman"/>
          <w:sz w:val="24"/>
          <w:vertAlign w:val="superscript"/>
          <w:lang w:bidi="ar"/>
        </w:rPr>
        <w:t>3</w:t>
      </w:r>
      <w:r>
        <w:rPr>
          <w:rFonts w:ascii="Times New Roman" w:hAnsi="Times New Roman"/>
          <w:sz w:val="24"/>
          <w:lang w:bidi="ar"/>
        </w:rPr>
        <w:t>、硫化氢 0.001~0.006mg/m</w:t>
      </w:r>
      <w:r>
        <w:rPr>
          <w:rFonts w:ascii="Times New Roman" w:hAnsi="Times New Roman"/>
          <w:sz w:val="24"/>
          <w:vertAlign w:val="superscript"/>
          <w:lang w:bidi="ar"/>
        </w:rPr>
        <w:t>3</w:t>
      </w:r>
      <w:r>
        <w:rPr>
          <w:rFonts w:ascii="Times New Roman" w:hAnsi="Times New Roman"/>
          <w:sz w:val="24"/>
          <w:lang w:bidi="ar"/>
        </w:rPr>
        <w:t>），废气排放满足排放要求。2018年12月对圈舍上方氨和硫化氢进行了监测，氨和硫化氢的浓度较低（氨 1.37mg/m</w:t>
      </w:r>
      <w:r>
        <w:rPr>
          <w:rFonts w:ascii="Times New Roman" w:hAnsi="Times New Roman"/>
          <w:sz w:val="24"/>
          <w:vertAlign w:val="superscript"/>
          <w:lang w:bidi="ar"/>
        </w:rPr>
        <w:t>3</w:t>
      </w:r>
      <w:r>
        <w:rPr>
          <w:rFonts w:ascii="Times New Roman" w:hAnsi="Times New Roman"/>
          <w:sz w:val="24"/>
          <w:lang w:bidi="ar"/>
        </w:rPr>
        <w:t>、硫化氢未检出）。</w:t>
      </w:r>
    </w:p>
    <w:p>
      <w:pPr>
        <w:pStyle w:val="108"/>
      </w:pPr>
      <w:bookmarkStart w:id="223" w:name="_Toc9873371"/>
      <w:r>
        <w:t>5.1.3 环境保护距离的确定</w:t>
      </w:r>
      <w:bookmarkEnd w:id="223"/>
    </w:p>
    <w:p>
      <w:pPr>
        <w:spacing w:line="470" w:lineRule="exact"/>
        <w:ind w:firstLine="480" w:firstLineChars="200"/>
        <w:rPr>
          <w:rFonts w:ascii="Times New Roman" w:hAnsi="Times New Roman"/>
          <w:sz w:val="24"/>
        </w:rPr>
      </w:pPr>
      <w:r>
        <w:rPr>
          <w:rFonts w:ascii="Times New Roman" w:hAnsi="Times New Roman"/>
          <w:sz w:val="24"/>
        </w:rPr>
        <w:t>采用导则推荐的大气环境模式计算各无组织排放源的大气环境，本项目无组织排放的气体主要为恶臭，将各养殖圈舍作为面源进行计算。经计算，本项目无组织排放源集中在厂区养殖区，根据大气计算结果， NH</w:t>
      </w:r>
      <w:r>
        <w:rPr>
          <w:rFonts w:ascii="Times New Roman" w:hAnsi="Times New Roman"/>
          <w:sz w:val="24"/>
          <w:vertAlign w:val="sub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S最大落地浓度占标率Pi分别为6%、8%，均小于10%，NH</w:t>
      </w:r>
      <w:r>
        <w:rPr>
          <w:rFonts w:ascii="Times New Roman" w:hAnsi="Times New Roman"/>
          <w:sz w:val="24"/>
          <w:vertAlign w:val="sub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S最大落地浓度分别为0.012mg/m</w:t>
      </w:r>
      <w:r>
        <w:rPr>
          <w:rFonts w:ascii="Times New Roman" w:hAnsi="Times New Roman"/>
          <w:sz w:val="24"/>
          <w:vertAlign w:val="superscript"/>
        </w:rPr>
        <w:t>3</w:t>
      </w:r>
      <w:r>
        <w:rPr>
          <w:rFonts w:ascii="Times New Roman" w:hAnsi="Times New Roman"/>
          <w:sz w:val="24"/>
        </w:rPr>
        <w:t>、0.001mg/m</w:t>
      </w:r>
      <w:r>
        <w:rPr>
          <w:rFonts w:ascii="Times New Roman" w:hAnsi="Times New Roman"/>
          <w:sz w:val="24"/>
          <w:vertAlign w:val="superscript"/>
        </w:rPr>
        <w:t>3</w:t>
      </w:r>
      <w:r>
        <w:rPr>
          <w:rFonts w:ascii="Times New Roman" w:hAnsi="Times New Roman"/>
          <w:sz w:val="24"/>
        </w:rPr>
        <w:t>，下方向距离分别为100~175m、125m~129m。硫化氢的最高允许浓度为0.01mg/m</w:t>
      </w:r>
      <w:r>
        <w:rPr>
          <w:rFonts w:ascii="Times New Roman" w:hAnsi="Times New Roman"/>
          <w:sz w:val="24"/>
          <w:vertAlign w:val="superscript"/>
        </w:rPr>
        <w:t>3</w:t>
      </w:r>
      <w:r>
        <w:rPr>
          <w:rFonts w:ascii="Times New Roman" w:hAnsi="Times New Roman"/>
          <w:sz w:val="24"/>
        </w:rPr>
        <w:t>，氨的最高允许浓度为0.20mg/m</w:t>
      </w:r>
      <w:r>
        <w:rPr>
          <w:rFonts w:ascii="Times New Roman" w:hAnsi="Times New Roman"/>
          <w:sz w:val="24"/>
          <w:vertAlign w:val="superscript"/>
        </w:rPr>
        <w:t>3</w:t>
      </w:r>
      <w:r>
        <w:rPr>
          <w:rFonts w:ascii="Times New Roman" w:hAnsi="Times New Roman"/>
          <w:sz w:val="24"/>
        </w:rPr>
        <w:t>。污染源在厂界外没有出现超标点。</w:t>
      </w:r>
    </w:p>
    <w:p>
      <w:pPr>
        <w:tabs>
          <w:tab w:val="left" w:pos="480"/>
        </w:tabs>
        <w:spacing w:line="470" w:lineRule="exact"/>
        <w:ind w:firstLine="480" w:firstLineChars="200"/>
        <w:rPr>
          <w:rFonts w:ascii="Times New Roman" w:hAnsi="Times New Roman"/>
          <w:sz w:val="24"/>
        </w:rPr>
      </w:pPr>
      <w:r>
        <w:rPr>
          <w:rFonts w:ascii="Times New Roman" w:hAnsi="Times New Roman"/>
          <w:sz w:val="24"/>
        </w:rPr>
        <w:t>参照类似养殖项目恶臭要求，一般要求在养殖区周围划定一定的环境保护距离，以避免恶臭对周围环境的不良影响，故通过对恶臭污染源的影响分析，确定环境。</w:t>
      </w:r>
    </w:p>
    <w:p>
      <w:pPr>
        <w:spacing w:line="470" w:lineRule="exact"/>
        <w:rPr>
          <w:rFonts w:ascii="Times New Roman" w:hAnsi="Times New Roman"/>
          <w:b/>
          <w:sz w:val="24"/>
        </w:rPr>
      </w:pPr>
      <w:r>
        <w:rPr>
          <w:rFonts w:hint="eastAsia" w:ascii="宋体" w:hAnsi="宋体" w:cs="宋体"/>
          <w:b/>
          <w:sz w:val="24"/>
        </w:rPr>
        <w:t>①</w:t>
      </w:r>
      <w:r>
        <w:rPr>
          <w:rFonts w:ascii="Times New Roman" w:hAnsi="Times New Roman"/>
          <w:b/>
          <w:sz w:val="24"/>
        </w:rPr>
        <w:t>污染因子的确定</w:t>
      </w:r>
    </w:p>
    <w:p>
      <w:pPr>
        <w:spacing w:line="470" w:lineRule="exact"/>
        <w:ind w:firstLine="480" w:firstLineChars="200"/>
        <w:rPr>
          <w:rFonts w:ascii="Times New Roman" w:hAnsi="Times New Roman"/>
          <w:sz w:val="24"/>
        </w:rPr>
      </w:pPr>
      <w:r>
        <w:rPr>
          <w:rFonts w:ascii="Times New Roman" w:hAnsi="Times New Roman"/>
          <w:sz w:val="24"/>
        </w:rPr>
        <w:t>选取NH</w:t>
      </w:r>
      <w:r>
        <w:rPr>
          <w:rFonts w:ascii="Times New Roman" w:hAnsi="Times New Roman"/>
          <w:sz w:val="24"/>
          <w:vertAlign w:val="sub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S恶臭污染物作为预测评价因子，以此确定本项目圈舍、干粪堆场、污水处理系统环境保护距离。</w:t>
      </w:r>
    </w:p>
    <w:p>
      <w:pPr>
        <w:spacing w:line="470" w:lineRule="exact"/>
        <w:rPr>
          <w:rFonts w:ascii="Times New Roman" w:hAnsi="Times New Roman"/>
          <w:b/>
          <w:sz w:val="24"/>
        </w:rPr>
      </w:pPr>
      <w:r>
        <w:rPr>
          <w:rFonts w:hint="eastAsia" w:ascii="宋体" w:hAnsi="宋体" w:cs="宋体"/>
          <w:b/>
          <w:sz w:val="24"/>
        </w:rPr>
        <w:t>②</w:t>
      </w:r>
      <w:r>
        <w:rPr>
          <w:rFonts w:ascii="Times New Roman" w:hAnsi="Times New Roman"/>
          <w:b/>
          <w:sz w:val="24"/>
        </w:rPr>
        <w:t>卫生防护距离的划定</w:t>
      </w:r>
    </w:p>
    <w:p>
      <w:pPr>
        <w:spacing w:line="470" w:lineRule="exact"/>
        <w:ind w:firstLine="480" w:firstLineChars="200"/>
        <w:rPr>
          <w:rFonts w:ascii="Times New Roman" w:hAnsi="Times New Roman"/>
          <w:sz w:val="24"/>
        </w:rPr>
      </w:pPr>
      <w:r>
        <w:rPr>
          <w:rFonts w:ascii="Times New Roman" w:hAnsi="Times New Roman"/>
          <w:sz w:val="24"/>
        </w:rPr>
        <w:t>A．计算公式为：</w:t>
      </w:r>
    </w:p>
    <w:p>
      <w:pPr>
        <w:jc w:val="center"/>
        <w:rPr>
          <w:rFonts w:ascii="Times New Roman" w:hAnsi="Times New Roman"/>
          <w:sz w:val="24"/>
        </w:rPr>
      </w:pPr>
      <w:r>
        <w:rPr>
          <w:rFonts w:ascii="Times New Roman" w:hAnsi="Times New Roman"/>
          <w:position w:val="-30"/>
          <w:sz w:val="24"/>
        </w:rPr>
        <w:object>
          <v:shape id="_x0000_i1027" o:spt="75" type="#_x0000_t75" style="height:33.65pt;width:139.3pt;" o:ole="t" filled="f" o:preferrelative="t" stroked="f" coordsize="21600,21600">
            <v:path/>
            <v:fill on="f" focussize="0,0"/>
            <v:stroke on="f" joinstyle="miter"/>
            <v:imagedata r:id="rId39" o:title=""/>
            <o:lock v:ext="edit" aspectratio="t"/>
            <w10:wrap type="none"/>
            <w10:anchorlock/>
          </v:shape>
          <o:OLEObject Type="Embed" ProgID="Equation.DSMT4" ShapeID="_x0000_i1027" DrawAspect="Content" ObjectID="_1468075729" r:id="rId38">
            <o:LockedField>false</o:LockedField>
          </o:OLEObject>
        </w:object>
      </w:r>
    </w:p>
    <w:p>
      <w:pPr>
        <w:spacing w:line="470" w:lineRule="exact"/>
        <w:ind w:firstLine="480" w:firstLineChars="200"/>
        <w:rPr>
          <w:rFonts w:ascii="Times New Roman" w:hAnsi="Times New Roman"/>
          <w:sz w:val="24"/>
        </w:rPr>
      </w:pPr>
      <w:r>
        <w:rPr>
          <w:rFonts w:ascii="Times New Roman" w:hAnsi="Times New Roman"/>
          <w:sz w:val="24"/>
        </w:rPr>
        <w:t>式中：</w:t>
      </w:r>
    </w:p>
    <w:p>
      <w:pPr>
        <w:spacing w:line="470" w:lineRule="exact"/>
        <w:ind w:firstLine="480" w:firstLineChars="200"/>
        <w:rPr>
          <w:rFonts w:ascii="Times New Roman" w:hAnsi="Times New Roman"/>
          <w:sz w:val="24"/>
        </w:rPr>
      </w:pPr>
      <w:r>
        <w:rPr>
          <w:rFonts w:ascii="Times New Roman" w:hAnsi="Times New Roman"/>
          <w:sz w:val="24"/>
        </w:rPr>
        <w:t>C</w:t>
      </w:r>
      <w:r>
        <w:rPr>
          <w:rFonts w:ascii="Times New Roman" w:hAnsi="Times New Roman"/>
          <w:sz w:val="24"/>
          <w:vertAlign w:val="subscript"/>
        </w:rPr>
        <w:t>m</w:t>
      </w:r>
      <w:r>
        <w:rPr>
          <w:rFonts w:ascii="Times New Roman" w:hAnsi="Times New Roman"/>
          <w:sz w:val="24"/>
        </w:rPr>
        <w:t>——居住区标准浓度限值；</w:t>
      </w:r>
    </w:p>
    <w:p>
      <w:pPr>
        <w:spacing w:line="470" w:lineRule="exact"/>
        <w:ind w:firstLine="480" w:firstLineChars="200"/>
        <w:rPr>
          <w:rFonts w:ascii="Times New Roman" w:hAnsi="Times New Roman"/>
          <w:sz w:val="24"/>
        </w:rPr>
      </w:pPr>
      <w:r>
        <w:rPr>
          <w:rFonts w:ascii="Times New Roman" w:hAnsi="Times New Roman"/>
          <w:sz w:val="24"/>
        </w:rPr>
        <w:t>根据《工业企业设计卫生标准》（TJ36-79）中居住区大气中有害物质的最高容许浓度要求，硫化氢的最高允许浓度为0.01mg/m</w:t>
      </w:r>
      <w:r>
        <w:rPr>
          <w:rFonts w:ascii="Times New Roman" w:hAnsi="Times New Roman"/>
          <w:sz w:val="24"/>
          <w:vertAlign w:val="superscript"/>
        </w:rPr>
        <w:t>3</w:t>
      </w:r>
      <w:r>
        <w:rPr>
          <w:rFonts w:ascii="Times New Roman" w:hAnsi="Times New Roman"/>
          <w:sz w:val="24"/>
        </w:rPr>
        <w:t>，氨的最高允许浓度为0.20mg/m</w:t>
      </w:r>
      <w:r>
        <w:rPr>
          <w:rFonts w:ascii="Times New Roman" w:hAnsi="Times New Roman"/>
          <w:sz w:val="24"/>
          <w:vertAlign w:val="superscript"/>
        </w:rPr>
        <w:t>3</w:t>
      </w:r>
      <w:r>
        <w:rPr>
          <w:rFonts w:ascii="Times New Roman" w:hAnsi="Times New Roman"/>
          <w:sz w:val="24"/>
        </w:rPr>
        <w:t>。</w:t>
      </w:r>
    </w:p>
    <w:p>
      <w:pPr>
        <w:spacing w:line="470" w:lineRule="exact"/>
        <w:ind w:firstLine="480" w:firstLineChars="200"/>
        <w:rPr>
          <w:rFonts w:ascii="Times New Roman" w:hAnsi="Times New Roman"/>
          <w:sz w:val="24"/>
        </w:rPr>
      </w:pPr>
      <w:r>
        <w:rPr>
          <w:rFonts w:ascii="Times New Roman" w:hAnsi="Times New Roman"/>
          <w:sz w:val="24"/>
        </w:rPr>
        <w:t>L——工业企业所需环境保护距离，m；</w:t>
      </w:r>
    </w:p>
    <w:p>
      <w:pPr>
        <w:spacing w:line="470" w:lineRule="exact"/>
        <w:ind w:firstLine="480" w:firstLineChars="200"/>
        <w:rPr>
          <w:rFonts w:ascii="Times New Roman" w:hAnsi="Times New Roman"/>
          <w:sz w:val="24"/>
        </w:rPr>
      </w:pPr>
      <w:r>
        <w:rPr>
          <w:rFonts w:ascii="Times New Roman" w:hAnsi="Times New Roman"/>
          <w:sz w:val="24"/>
        </w:rPr>
        <w:t>r——有害气体无组织排放源所在生产单元的等效半径，m。根据该生产单元占地面积S(m</w:t>
      </w:r>
      <w:r>
        <w:rPr>
          <w:rFonts w:ascii="Times New Roman" w:hAnsi="Times New Roman"/>
          <w:sz w:val="24"/>
          <w:vertAlign w:val="superscript"/>
        </w:rPr>
        <w:t>2</w:t>
      </w:r>
      <w:r>
        <w:rPr>
          <w:rFonts w:ascii="Times New Roman" w:hAnsi="Times New Roman"/>
          <w:sz w:val="24"/>
        </w:rPr>
        <w:t>)计算，r=(S/π)</w:t>
      </w:r>
      <w:r>
        <w:rPr>
          <w:rFonts w:ascii="Times New Roman" w:hAnsi="Times New Roman"/>
          <w:sz w:val="24"/>
          <w:vertAlign w:val="superscript"/>
        </w:rPr>
        <w:t>0.5</w:t>
      </w:r>
      <w:r>
        <w:rPr>
          <w:rFonts w:ascii="Times New Roman" w:hAnsi="Times New Roman"/>
          <w:sz w:val="24"/>
        </w:rPr>
        <w:t>；</w:t>
      </w:r>
    </w:p>
    <w:p>
      <w:pPr>
        <w:spacing w:line="470" w:lineRule="exact"/>
        <w:ind w:firstLine="480" w:firstLineChars="200"/>
        <w:rPr>
          <w:rFonts w:ascii="Times New Roman" w:hAnsi="Times New Roman"/>
          <w:sz w:val="24"/>
        </w:rPr>
      </w:pPr>
      <w:r>
        <w:rPr>
          <w:rFonts w:ascii="Times New Roman" w:hAnsi="Times New Roman"/>
          <w:sz w:val="24"/>
        </w:rPr>
        <w:t>Q</w:t>
      </w:r>
      <w:r>
        <w:rPr>
          <w:rFonts w:ascii="Times New Roman" w:hAnsi="Times New Roman"/>
          <w:sz w:val="24"/>
          <w:vertAlign w:val="subscript"/>
        </w:rPr>
        <w:t>c</w:t>
      </w:r>
      <w:r>
        <w:rPr>
          <w:rFonts w:ascii="Times New Roman" w:hAnsi="Times New Roman"/>
          <w:sz w:val="24"/>
        </w:rPr>
        <w:t>——有害气体排放速率，kg/h。</w:t>
      </w:r>
    </w:p>
    <w:p>
      <w:pPr>
        <w:spacing w:line="470" w:lineRule="exact"/>
        <w:ind w:firstLine="480" w:firstLineChars="200"/>
        <w:rPr>
          <w:rFonts w:ascii="Times New Roman" w:hAnsi="Times New Roman"/>
          <w:sz w:val="24"/>
        </w:rPr>
      </w:pPr>
      <w:r>
        <w:rPr>
          <w:rFonts w:ascii="Times New Roman" w:hAnsi="Times New Roman"/>
          <w:sz w:val="24"/>
        </w:rPr>
        <w:t>B．环境保护距离计算参数见表5.1-2。</w:t>
      </w:r>
    </w:p>
    <w:p>
      <w:pPr>
        <w:pStyle w:val="154"/>
        <w:spacing w:line="480" w:lineRule="exact"/>
        <w:ind w:firstLine="630"/>
        <w:jc w:val="center"/>
        <w:rPr>
          <w:rFonts w:ascii="Times New Roman" w:hAnsi="Times New Roman" w:cs="Times New Roman"/>
          <w:sz w:val="21"/>
          <w:szCs w:val="21"/>
        </w:rPr>
      </w:pPr>
      <w:r>
        <w:rPr>
          <w:rFonts w:ascii="Times New Roman" w:hAnsi="Times New Roman" w:cs="Times New Roman"/>
          <w:sz w:val="21"/>
          <w:szCs w:val="21"/>
        </w:rPr>
        <w:t>表5.1-2  环境保护距离计算参数表</w:t>
      </w:r>
    </w:p>
    <w:tbl>
      <w:tblPr>
        <w:tblStyle w:val="90"/>
        <w:tblW w:w="7895"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399"/>
        <w:gridCol w:w="1613"/>
        <w:gridCol w:w="18"/>
        <w:gridCol w:w="1514"/>
        <w:gridCol w:w="1506"/>
        <w:gridCol w:w="8"/>
        <w:gridCol w:w="1819"/>
        <w:gridCol w:w="10"/>
        <w:gridCol w:w="8"/>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gridAfter w:val="2"/>
          <w:wAfter w:w="18" w:type="dxa"/>
          <w:cantSplit/>
          <w:trHeight w:val="286" w:hRule="atLeast"/>
          <w:jc w:val="center"/>
        </w:trPr>
        <w:tc>
          <w:tcPr>
            <w:tcW w:w="3012" w:type="dxa"/>
            <w:gridSpan w:val="2"/>
            <w:vAlign w:val="center"/>
          </w:tcPr>
          <w:p>
            <w:pPr>
              <w:spacing w:line="280" w:lineRule="exact"/>
              <w:jc w:val="center"/>
              <w:rPr>
                <w:rFonts w:ascii="Times New Roman" w:hAnsi="Times New Roman"/>
                <w:sz w:val="21"/>
                <w:szCs w:val="21"/>
              </w:rPr>
            </w:pPr>
            <w:r>
              <w:rPr>
                <w:rFonts w:ascii="Times New Roman" w:hAnsi="Times New Roman"/>
                <w:sz w:val="21"/>
                <w:szCs w:val="21"/>
              </w:rPr>
              <w:t>环境保护距离计算系数</w:t>
            </w:r>
          </w:p>
        </w:tc>
        <w:tc>
          <w:tcPr>
            <w:tcW w:w="4865" w:type="dxa"/>
            <w:gridSpan w:val="5"/>
            <w:vAlign w:val="center"/>
          </w:tcPr>
          <w:p>
            <w:pPr>
              <w:spacing w:line="280" w:lineRule="exact"/>
              <w:jc w:val="center"/>
              <w:rPr>
                <w:rFonts w:ascii="Times New Roman" w:hAnsi="Times New Roman"/>
                <w:sz w:val="21"/>
                <w:szCs w:val="21"/>
              </w:rPr>
            </w:pPr>
            <w:r>
              <w:rPr>
                <w:rFonts w:ascii="Times New Roman" w:hAnsi="Times New Roman"/>
                <w:sz w:val="21"/>
                <w:szCs w:val="21"/>
              </w:rPr>
              <w:t>污染源参数</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399" w:type="dxa"/>
            <w:vAlign w:val="center"/>
          </w:tcPr>
          <w:p>
            <w:pPr>
              <w:spacing w:line="280" w:lineRule="exact"/>
              <w:jc w:val="center"/>
              <w:rPr>
                <w:rFonts w:ascii="Times New Roman" w:hAnsi="Times New Roman"/>
                <w:sz w:val="21"/>
                <w:szCs w:val="21"/>
              </w:rPr>
            </w:pPr>
            <w:r>
              <w:rPr>
                <w:rFonts w:ascii="Times New Roman" w:hAnsi="Times New Roman"/>
                <w:sz w:val="21"/>
                <w:szCs w:val="21"/>
              </w:rPr>
              <w:t>面积</w:t>
            </w:r>
          </w:p>
        </w:tc>
        <w:tc>
          <w:tcPr>
            <w:tcW w:w="1631" w:type="dxa"/>
            <w:gridSpan w:val="2"/>
            <w:vAlign w:val="center"/>
          </w:tcPr>
          <w:p>
            <w:pPr>
              <w:spacing w:line="280" w:lineRule="exact"/>
              <w:jc w:val="center"/>
              <w:rPr>
                <w:rFonts w:ascii="Times New Roman" w:hAnsi="Times New Roman"/>
                <w:sz w:val="21"/>
                <w:szCs w:val="21"/>
              </w:rPr>
            </w:pPr>
            <w:r>
              <w:rPr>
                <w:rFonts w:ascii="Times New Roman" w:hAnsi="Times New Roman"/>
                <w:sz w:val="21"/>
                <w:szCs w:val="21"/>
              </w:rPr>
              <w:t>多年平均风速</w:t>
            </w:r>
          </w:p>
        </w:tc>
        <w:tc>
          <w:tcPr>
            <w:tcW w:w="1514" w:type="dxa"/>
            <w:vAlign w:val="center"/>
          </w:tcPr>
          <w:p>
            <w:pPr>
              <w:spacing w:line="280" w:lineRule="exact"/>
              <w:jc w:val="center"/>
              <w:rPr>
                <w:rFonts w:ascii="Times New Roman" w:hAnsi="Times New Roman"/>
                <w:sz w:val="21"/>
                <w:szCs w:val="21"/>
              </w:rPr>
            </w:pPr>
            <w:r>
              <w:rPr>
                <w:rFonts w:ascii="Times New Roman" w:hAnsi="Times New Roman"/>
                <w:sz w:val="21"/>
                <w:szCs w:val="21"/>
              </w:rPr>
              <w:t>项目</w:t>
            </w:r>
          </w:p>
        </w:tc>
        <w:tc>
          <w:tcPr>
            <w:tcW w:w="1514" w:type="dxa"/>
            <w:gridSpan w:val="2"/>
            <w:vAlign w:val="center"/>
          </w:tcPr>
          <w:p>
            <w:pPr>
              <w:spacing w:line="280" w:lineRule="exact"/>
              <w:jc w:val="center"/>
              <w:rPr>
                <w:rFonts w:ascii="Times New Roman" w:hAnsi="Times New Roman"/>
                <w:sz w:val="21"/>
                <w:szCs w:val="21"/>
              </w:rPr>
            </w:pPr>
            <w:r>
              <w:rPr>
                <w:rFonts w:ascii="Times New Roman" w:hAnsi="Times New Roman"/>
                <w:sz w:val="21"/>
                <w:szCs w:val="21"/>
              </w:rPr>
              <w:t>硫化氢数值</w:t>
            </w:r>
          </w:p>
        </w:tc>
        <w:tc>
          <w:tcPr>
            <w:tcW w:w="1837" w:type="dxa"/>
            <w:gridSpan w:val="3"/>
            <w:vAlign w:val="center"/>
          </w:tcPr>
          <w:p>
            <w:pPr>
              <w:spacing w:line="280" w:lineRule="exact"/>
              <w:jc w:val="center"/>
              <w:rPr>
                <w:rFonts w:ascii="Times New Roman" w:hAnsi="Times New Roman"/>
                <w:sz w:val="21"/>
                <w:szCs w:val="21"/>
              </w:rPr>
            </w:pPr>
            <w:r>
              <w:rPr>
                <w:rFonts w:ascii="Times New Roman" w:hAnsi="Times New Roman"/>
                <w:sz w:val="21"/>
                <w:szCs w:val="21"/>
              </w:rPr>
              <w:t>氨数值</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69" w:hRule="atLeast"/>
          <w:jc w:val="center"/>
        </w:trPr>
        <w:tc>
          <w:tcPr>
            <w:tcW w:w="1399" w:type="dxa"/>
            <w:vMerge w:val="restart"/>
            <w:vAlign w:val="center"/>
          </w:tcPr>
          <w:p>
            <w:pPr>
              <w:spacing w:line="280" w:lineRule="exact"/>
              <w:jc w:val="center"/>
              <w:rPr>
                <w:rFonts w:ascii="Times New Roman" w:hAnsi="Times New Roman"/>
                <w:sz w:val="21"/>
                <w:szCs w:val="21"/>
              </w:rPr>
            </w:pPr>
            <w:bookmarkStart w:id="224" w:name="OLE_LINK1"/>
            <w:r>
              <w:rPr>
                <w:rFonts w:ascii="Times New Roman" w:hAnsi="Times New Roman"/>
                <w:sz w:val="21"/>
                <w:szCs w:val="21"/>
              </w:rPr>
              <w:t>圈舍</w:t>
            </w:r>
            <w:bookmarkEnd w:id="224"/>
          </w:p>
        </w:tc>
        <w:tc>
          <w:tcPr>
            <w:tcW w:w="1631" w:type="dxa"/>
            <w:gridSpan w:val="2"/>
            <w:vMerge w:val="restart"/>
            <w:vAlign w:val="center"/>
          </w:tcPr>
          <w:p>
            <w:pPr>
              <w:spacing w:line="280" w:lineRule="exact"/>
              <w:jc w:val="center"/>
              <w:rPr>
                <w:rFonts w:ascii="Times New Roman" w:hAnsi="Times New Roman"/>
                <w:sz w:val="21"/>
                <w:szCs w:val="21"/>
              </w:rPr>
            </w:pPr>
            <w:r>
              <w:rPr>
                <w:rFonts w:ascii="Times New Roman" w:hAnsi="Times New Roman"/>
                <w:sz w:val="21"/>
                <w:szCs w:val="21"/>
              </w:rPr>
              <w:t>1.2m/s</w:t>
            </w:r>
          </w:p>
        </w:tc>
        <w:tc>
          <w:tcPr>
            <w:tcW w:w="1514" w:type="dxa"/>
            <w:vAlign w:val="center"/>
          </w:tcPr>
          <w:p>
            <w:pPr>
              <w:spacing w:line="280" w:lineRule="exact"/>
              <w:jc w:val="center"/>
              <w:rPr>
                <w:rFonts w:ascii="Times New Roman" w:hAnsi="Times New Roman"/>
                <w:sz w:val="21"/>
                <w:szCs w:val="21"/>
                <w:vertAlign w:val="subscript"/>
              </w:rPr>
            </w:pPr>
            <w:r>
              <w:rPr>
                <w:rFonts w:ascii="Times New Roman" w:hAnsi="Times New Roman"/>
                <w:sz w:val="21"/>
                <w:szCs w:val="21"/>
              </w:rPr>
              <w:t>Q</w:t>
            </w:r>
            <w:r>
              <w:rPr>
                <w:rFonts w:ascii="Times New Roman" w:hAnsi="Times New Roman"/>
                <w:sz w:val="21"/>
                <w:szCs w:val="21"/>
                <w:vertAlign w:val="subscript"/>
              </w:rPr>
              <w:t>c</w:t>
            </w:r>
          </w:p>
        </w:tc>
        <w:tc>
          <w:tcPr>
            <w:tcW w:w="1514" w:type="dxa"/>
            <w:gridSpan w:val="2"/>
            <w:vAlign w:val="center"/>
          </w:tcPr>
          <w:p>
            <w:pPr>
              <w:spacing w:line="280" w:lineRule="exact"/>
              <w:jc w:val="center"/>
              <w:rPr>
                <w:rFonts w:ascii="Times New Roman" w:hAnsi="Times New Roman"/>
                <w:sz w:val="21"/>
                <w:szCs w:val="21"/>
              </w:rPr>
            </w:pPr>
            <w:r>
              <w:rPr>
                <w:rFonts w:ascii="Times New Roman" w:hAnsi="Times New Roman"/>
                <w:sz w:val="21"/>
                <w:szCs w:val="21"/>
              </w:rPr>
              <w:t>0.0021kg/h</w:t>
            </w:r>
          </w:p>
        </w:tc>
        <w:tc>
          <w:tcPr>
            <w:tcW w:w="1837" w:type="dxa"/>
            <w:gridSpan w:val="3"/>
            <w:vAlign w:val="center"/>
          </w:tcPr>
          <w:p>
            <w:pPr>
              <w:spacing w:line="280" w:lineRule="exact"/>
              <w:jc w:val="center"/>
              <w:rPr>
                <w:rFonts w:ascii="Times New Roman" w:hAnsi="Times New Roman"/>
                <w:sz w:val="21"/>
                <w:szCs w:val="21"/>
              </w:rPr>
            </w:pPr>
            <w:r>
              <w:rPr>
                <w:rFonts w:ascii="Times New Roman" w:hAnsi="Times New Roman"/>
                <w:sz w:val="21"/>
                <w:szCs w:val="21"/>
              </w:rPr>
              <w:t>0.0365kg/h</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5" w:hRule="atLeast"/>
          <w:jc w:val="center"/>
        </w:trPr>
        <w:tc>
          <w:tcPr>
            <w:tcW w:w="1399" w:type="dxa"/>
            <w:vMerge w:val="continue"/>
            <w:vAlign w:val="center"/>
          </w:tcPr>
          <w:p>
            <w:pPr>
              <w:spacing w:line="280" w:lineRule="exact"/>
              <w:jc w:val="center"/>
              <w:rPr>
                <w:rFonts w:ascii="Times New Roman" w:hAnsi="Times New Roman"/>
                <w:sz w:val="21"/>
                <w:szCs w:val="21"/>
              </w:rPr>
            </w:pPr>
          </w:p>
        </w:tc>
        <w:tc>
          <w:tcPr>
            <w:tcW w:w="1631" w:type="dxa"/>
            <w:gridSpan w:val="2"/>
            <w:vMerge w:val="continue"/>
            <w:vAlign w:val="center"/>
          </w:tcPr>
          <w:p>
            <w:pPr>
              <w:spacing w:line="280" w:lineRule="exact"/>
              <w:jc w:val="center"/>
              <w:rPr>
                <w:rFonts w:ascii="Times New Roman" w:hAnsi="Times New Roman"/>
                <w:sz w:val="21"/>
                <w:szCs w:val="21"/>
              </w:rPr>
            </w:pPr>
          </w:p>
        </w:tc>
        <w:tc>
          <w:tcPr>
            <w:tcW w:w="1514" w:type="dxa"/>
            <w:vAlign w:val="center"/>
          </w:tcPr>
          <w:p>
            <w:pPr>
              <w:spacing w:line="280" w:lineRule="exact"/>
              <w:jc w:val="center"/>
              <w:rPr>
                <w:rFonts w:ascii="Times New Roman" w:hAnsi="Times New Roman"/>
                <w:sz w:val="21"/>
                <w:szCs w:val="21"/>
              </w:rPr>
            </w:pPr>
            <w:r>
              <w:rPr>
                <w:rFonts w:ascii="Times New Roman" w:hAnsi="Times New Roman"/>
                <w:sz w:val="21"/>
                <w:szCs w:val="21"/>
              </w:rPr>
              <w:t>环境保护距离计算结果</w:t>
            </w:r>
          </w:p>
        </w:tc>
        <w:tc>
          <w:tcPr>
            <w:tcW w:w="1514" w:type="dxa"/>
            <w:gridSpan w:val="2"/>
            <w:vAlign w:val="center"/>
          </w:tcPr>
          <w:p>
            <w:pPr>
              <w:spacing w:line="280" w:lineRule="exact"/>
              <w:jc w:val="center"/>
              <w:rPr>
                <w:rFonts w:ascii="Times New Roman" w:hAnsi="Times New Roman"/>
                <w:sz w:val="21"/>
                <w:szCs w:val="21"/>
              </w:rPr>
            </w:pPr>
            <w:r>
              <w:rPr>
                <w:rFonts w:ascii="Times New Roman" w:hAnsi="Times New Roman"/>
                <w:sz w:val="21"/>
                <w:szCs w:val="21"/>
              </w:rPr>
              <w:t>1.83</w:t>
            </w:r>
          </w:p>
        </w:tc>
        <w:tc>
          <w:tcPr>
            <w:tcW w:w="1837" w:type="dxa"/>
            <w:gridSpan w:val="3"/>
            <w:vAlign w:val="center"/>
          </w:tcPr>
          <w:p>
            <w:pPr>
              <w:spacing w:line="280" w:lineRule="exact"/>
              <w:jc w:val="center"/>
              <w:rPr>
                <w:rFonts w:ascii="Times New Roman" w:hAnsi="Times New Roman"/>
                <w:sz w:val="21"/>
                <w:szCs w:val="21"/>
              </w:rPr>
            </w:pPr>
            <w:r>
              <w:rPr>
                <w:rFonts w:ascii="Times New Roman" w:hAnsi="Times New Roman"/>
                <w:sz w:val="21"/>
                <w:szCs w:val="21"/>
              </w:rPr>
              <w:t>1.56</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583" w:hRule="atLeast"/>
          <w:jc w:val="center"/>
        </w:trPr>
        <w:tc>
          <w:tcPr>
            <w:tcW w:w="1399" w:type="dxa"/>
            <w:vMerge w:val="continue"/>
            <w:vAlign w:val="center"/>
          </w:tcPr>
          <w:p>
            <w:pPr>
              <w:spacing w:line="280" w:lineRule="exact"/>
              <w:jc w:val="center"/>
              <w:rPr>
                <w:rFonts w:ascii="Times New Roman" w:hAnsi="Times New Roman"/>
                <w:sz w:val="21"/>
                <w:szCs w:val="21"/>
              </w:rPr>
            </w:pPr>
          </w:p>
        </w:tc>
        <w:tc>
          <w:tcPr>
            <w:tcW w:w="1631" w:type="dxa"/>
            <w:gridSpan w:val="2"/>
            <w:vMerge w:val="continue"/>
            <w:vAlign w:val="center"/>
          </w:tcPr>
          <w:p>
            <w:pPr>
              <w:spacing w:line="280" w:lineRule="exact"/>
              <w:jc w:val="center"/>
              <w:rPr>
                <w:rFonts w:ascii="Times New Roman" w:hAnsi="Times New Roman"/>
                <w:sz w:val="21"/>
                <w:szCs w:val="21"/>
              </w:rPr>
            </w:pPr>
          </w:p>
        </w:tc>
        <w:tc>
          <w:tcPr>
            <w:tcW w:w="1514" w:type="dxa"/>
            <w:vAlign w:val="center"/>
          </w:tcPr>
          <w:p>
            <w:pPr>
              <w:spacing w:line="280" w:lineRule="exact"/>
              <w:jc w:val="center"/>
              <w:rPr>
                <w:rFonts w:ascii="Times New Roman" w:hAnsi="Times New Roman"/>
                <w:sz w:val="21"/>
                <w:szCs w:val="21"/>
              </w:rPr>
            </w:pPr>
            <w:r>
              <w:rPr>
                <w:rFonts w:ascii="Times New Roman" w:hAnsi="Times New Roman"/>
                <w:sz w:val="21"/>
                <w:szCs w:val="21"/>
              </w:rPr>
              <w:t>提级后环境保护距离</w:t>
            </w:r>
          </w:p>
        </w:tc>
        <w:tc>
          <w:tcPr>
            <w:tcW w:w="1506" w:type="dxa"/>
            <w:vAlign w:val="center"/>
          </w:tcPr>
          <w:p>
            <w:pPr>
              <w:spacing w:line="280" w:lineRule="exact"/>
              <w:jc w:val="center"/>
              <w:rPr>
                <w:rFonts w:ascii="Times New Roman" w:hAnsi="Times New Roman"/>
                <w:sz w:val="21"/>
                <w:szCs w:val="21"/>
              </w:rPr>
            </w:pPr>
            <w:r>
              <w:rPr>
                <w:rFonts w:ascii="Times New Roman" w:hAnsi="Times New Roman"/>
                <w:sz w:val="21"/>
                <w:szCs w:val="21"/>
              </w:rPr>
              <w:t>50m</w:t>
            </w:r>
          </w:p>
        </w:tc>
        <w:tc>
          <w:tcPr>
            <w:tcW w:w="1845" w:type="dxa"/>
            <w:gridSpan w:val="4"/>
            <w:vAlign w:val="center"/>
          </w:tcPr>
          <w:p>
            <w:pPr>
              <w:spacing w:line="280" w:lineRule="exact"/>
              <w:jc w:val="center"/>
              <w:rPr>
                <w:rFonts w:ascii="Times New Roman" w:hAnsi="Times New Roman"/>
                <w:sz w:val="21"/>
                <w:szCs w:val="21"/>
              </w:rPr>
            </w:pPr>
            <w:r>
              <w:rPr>
                <w:rFonts w:ascii="Times New Roman" w:hAnsi="Times New Roman"/>
                <w:sz w:val="21"/>
                <w:szCs w:val="21"/>
              </w:rPr>
              <w:t>50m</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583" w:hRule="atLeast"/>
          <w:jc w:val="center"/>
        </w:trPr>
        <w:tc>
          <w:tcPr>
            <w:tcW w:w="4544" w:type="dxa"/>
            <w:gridSpan w:val="4"/>
            <w:vAlign w:val="center"/>
          </w:tcPr>
          <w:p>
            <w:pPr>
              <w:spacing w:line="280" w:lineRule="exact"/>
              <w:jc w:val="center"/>
              <w:rPr>
                <w:rFonts w:ascii="Times New Roman" w:hAnsi="Times New Roman"/>
                <w:sz w:val="21"/>
                <w:szCs w:val="21"/>
              </w:rPr>
            </w:pPr>
            <w:r>
              <w:rPr>
                <w:rFonts w:ascii="Times New Roman" w:hAnsi="Times New Roman"/>
                <w:sz w:val="21"/>
                <w:szCs w:val="21"/>
              </w:rPr>
              <w:t>两种有害气体计算提高级别</w:t>
            </w:r>
          </w:p>
        </w:tc>
        <w:tc>
          <w:tcPr>
            <w:tcW w:w="3351" w:type="dxa"/>
            <w:gridSpan w:val="5"/>
            <w:vAlign w:val="center"/>
          </w:tcPr>
          <w:p>
            <w:pPr>
              <w:spacing w:line="280" w:lineRule="exact"/>
              <w:jc w:val="center"/>
              <w:rPr>
                <w:rFonts w:ascii="Times New Roman" w:hAnsi="Times New Roman"/>
                <w:sz w:val="21"/>
                <w:szCs w:val="21"/>
              </w:rPr>
            </w:pPr>
            <w:r>
              <w:rPr>
                <w:rFonts w:ascii="Times New Roman" w:hAnsi="Times New Roman"/>
                <w:sz w:val="21"/>
                <w:szCs w:val="21"/>
              </w:rPr>
              <w:t>100m</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gridAfter w:val="1"/>
          <w:wAfter w:w="8" w:type="dxa"/>
          <w:cantSplit/>
          <w:trHeight w:val="572" w:hRule="atLeast"/>
          <w:jc w:val="center"/>
        </w:trPr>
        <w:tc>
          <w:tcPr>
            <w:tcW w:w="7887" w:type="dxa"/>
            <w:gridSpan w:val="8"/>
            <w:vAlign w:val="center"/>
          </w:tcPr>
          <w:p>
            <w:pPr>
              <w:spacing w:line="280" w:lineRule="exact"/>
              <w:rPr>
                <w:rFonts w:ascii="Times New Roman" w:hAnsi="Times New Roman"/>
                <w:sz w:val="21"/>
                <w:szCs w:val="21"/>
              </w:rPr>
            </w:pPr>
            <w:r>
              <w:rPr>
                <w:rFonts w:ascii="Times New Roman" w:hAnsi="Times New Roman"/>
                <w:sz w:val="21"/>
                <w:szCs w:val="21"/>
              </w:rPr>
              <w:t>年平均风速1.2m/s，年静风频率41%。主导风向为东风，次主导风向西风和东北风。</w:t>
            </w:r>
          </w:p>
        </w:tc>
      </w:tr>
    </w:tbl>
    <w:p>
      <w:pPr>
        <w:spacing w:line="470" w:lineRule="exact"/>
        <w:ind w:firstLine="482"/>
        <w:rPr>
          <w:rFonts w:ascii="Times New Roman" w:hAnsi="Times New Roman"/>
          <w:sz w:val="24"/>
        </w:rPr>
      </w:pPr>
      <w:r>
        <w:rPr>
          <w:rFonts w:ascii="Times New Roman" w:hAnsi="Times New Roman"/>
          <w:sz w:val="24"/>
        </w:rPr>
        <w:t>C．计算结果</w:t>
      </w:r>
    </w:p>
    <w:p>
      <w:pPr>
        <w:spacing w:line="470" w:lineRule="exact"/>
        <w:ind w:firstLine="482"/>
        <w:rPr>
          <w:rFonts w:ascii="Times New Roman" w:hAnsi="Times New Roman"/>
          <w:sz w:val="24"/>
        </w:rPr>
      </w:pPr>
      <w:r>
        <w:rPr>
          <w:rFonts w:ascii="Times New Roman" w:hAnsi="Times New Roman"/>
          <w:sz w:val="24"/>
        </w:rPr>
        <w:t>根据污染物排放量和公式计算，得出硫化氢环境为1.83m，保护距离按最大计为50m。氨的保护距离为1.56m，环境保护距离按最大计为50m。</w:t>
      </w:r>
    </w:p>
    <w:p>
      <w:pPr>
        <w:spacing w:line="470" w:lineRule="exact"/>
        <w:ind w:firstLine="480" w:firstLineChars="200"/>
        <w:rPr>
          <w:rFonts w:ascii="Times New Roman" w:hAnsi="Times New Roman"/>
          <w:sz w:val="24"/>
        </w:rPr>
      </w:pPr>
      <w:r>
        <w:rPr>
          <w:rFonts w:ascii="Times New Roman" w:hAnsi="Times New Roman"/>
          <w:sz w:val="24"/>
        </w:rPr>
        <w:t>当按两种或两种以上的有害气体的 Qc/Cm 值计算的环境保护距离在同一级别时，该类工业企业的环境保护距离级别应为高一级，因此，如果按计算结果，确定本项目的环境保护距离为100 米。</w:t>
      </w:r>
    </w:p>
    <w:p>
      <w:pPr>
        <w:spacing w:line="470" w:lineRule="exact"/>
        <w:ind w:firstLine="480" w:firstLineChars="200"/>
        <w:rPr>
          <w:rFonts w:ascii="Times New Roman" w:hAnsi="Times New Roman"/>
          <w:sz w:val="24"/>
        </w:rPr>
      </w:pPr>
      <w:r>
        <w:rPr>
          <w:rFonts w:ascii="Times New Roman" w:hAnsi="Times New Roman"/>
          <w:sz w:val="24"/>
        </w:rPr>
        <w:t>D．保护距离的划定</w:t>
      </w:r>
    </w:p>
    <w:p>
      <w:pPr>
        <w:spacing w:line="470" w:lineRule="exact"/>
        <w:ind w:firstLine="480" w:firstLineChars="200"/>
        <w:rPr>
          <w:rFonts w:ascii="Times New Roman" w:hAnsi="Times New Roman"/>
          <w:sz w:val="24"/>
        </w:rPr>
      </w:pPr>
      <w:r>
        <w:rPr>
          <w:rFonts w:ascii="Times New Roman" w:hAnsi="Times New Roman"/>
          <w:sz w:val="24"/>
        </w:rPr>
        <w:t>类比调查和现场踏勘结果显示：在恶臭污染源下风向 5m 范围内可感觉到明显的气味，50m 范围内容易感觉到气味，50~100m气味很弱，100m 外基本无气味很弱，150m 以外已闻不到气味。</w:t>
      </w:r>
    </w:p>
    <w:p>
      <w:pPr>
        <w:spacing w:line="470" w:lineRule="exact"/>
        <w:ind w:firstLine="480" w:firstLineChars="200"/>
        <w:rPr>
          <w:rFonts w:ascii="Times New Roman" w:hAnsi="Times New Roman"/>
          <w:sz w:val="24"/>
        </w:rPr>
      </w:pPr>
      <w:r>
        <w:rPr>
          <w:rFonts w:ascii="Times New Roman" w:hAnsi="Times New Roman"/>
          <w:sz w:val="24"/>
        </w:rPr>
        <w:t>根据计算结果和实际情况综合考虑，本项目环境保护距离以恶臭源圈舍外起150m 包络线划定。</w:t>
      </w:r>
    </w:p>
    <w:p>
      <w:pPr>
        <w:ind w:firstLine="480" w:firstLineChars="200"/>
        <w:rPr>
          <w:rFonts w:ascii="Times New Roman" w:hAnsi="Times New Roman"/>
          <w:sz w:val="24"/>
        </w:rPr>
      </w:pPr>
      <w:r>
        <w:rPr>
          <w:rFonts w:ascii="Times New Roman" w:hAnsi="Times New Roman"/>
          <w:sz w:val="24"/>
        </w:rPr>
        <w:t>根据现场调查，项目所在地处于邛崃市冉义镇园林村（原白玉村），拟建位置北面为大邑县安仁镇泉水村。白玉村和泉水村都已于2013年实施了土地整治和居民集中居住方案（详见附件），目前项目周围的散居住户均为已规划搬迁的农户，但项目南侧1户白玉村村民、北侧1户泉水村村民不愿意搬迁，还在此居住。除此外项目圈舍外北面150m~200m范围还有大邑县泉水村集中居民10户，200~300m有20余户居民。在项目一期验收的公众参与调查和本次环评的共中出参与调查中，上述居民均未反应本项目对其有恶臭污染的影响。</w:t>
      </w:r>
    </w:p>
    <w:p>
      <w:pPr>
        <w:ind w:firstLine="480" w:firstLineChars="200"/>
        <w:rPr>
          <w:rFonts w:ascii="Times New Roman" w:hAnsi="Times New Roman"/>
          <w:sz w:val="24"/>
        </w:rPr>
      </w:pPr>
      <w:r>
        <w:rPr>
          <w:rFonts w:ascii="Times New Roman" w:hAnsi="Times New Roman"/>
          <w:sz w:val="24"/>
        </w:rPr>
        <w:t>项目周边100m范围内有两户居民分布，南面白玉村散居住户1户距离项目边界5m，圈舍10m，北面泉水村住户距离拟建二期边界30m，圈舍40m，防护距离内的这两户居民因自身原因不愿意搬迁，目前与本项目建设单位签署了知情同意书，对项目建设无意见。相关协议详见附件。</w:t>
      </w:r>
    </w:p>
    <w:p>
      <w:pPr>
        <w:ind w:firstLine="480" w:firstLineChars="200"/>
        <w:rPr>
          <w:rFonts w:ascii="Times New Roman" w:hAnsi="Times New Roman"/>
          <w:sz w:val="24"/>
        </w:rPr>
      </w:pPr>
      <w:r>
        <w:rPr>
          <w:rFonts w:ascii="Times New Roman" w:hAnsi="Times New Roman"/>
          <w:sz w:val="24"/>
        </w:rPr>
        <w:t>综上分析，卫生防护距离范围内无敏感目标分布。</w:t>
      </w:r>
    </w:p>
    <w:p>
      <w:pPr>
        <w:ind w:firstLine="480" w:firstLineChars="200"/>
        <w:rPr>
          <w:rFonts w:ascii="Times New Roman" w:hAnsi="Times New Roman"/>
          <w:sz w:val="24"/>
        </w:rPr>
      </w:pPr>
      <w:r>
        <w:rPr>
          <w:rFonts w:ascii="Times New Roman" w:hAnsi="Times New Roman"/>
          <w:sz w:val="24"/>
        </w:rPr>
        <w:t>卫生防护距离示意图详见附图4。</w:t>
      </w:r>
    </w:p>
    <w:p>
      <w:pPr>
        <w:pStyle w:val="108"/>
      </w:pPr>
      <w:bookmarkStart w:id="225" w:name="_Toc9873372"/>
      <w:bookmarkStart w:id="226" w:name="_Toc161196237"/>
      <w:r>
        <w:t>5.1.4 沼气产生及影响分析</w:t>
      </w:r>
      <w:bookmarkEnd w:id="225"/>
    </w:p>
    <w:p>
      <w:pPr>
        <w:spacing w:line="460" w:lineRule="exact"/>
        <w:ind w:firstLine="480" w:firstLineChars="200"/>
        <w:rPr>
          <w:rFonts w:ascii="Times New Roman" w:hAnsi="Times New Roman"/>
          <w:sz w:val="24"/>
        </w:rPr>
      </w:pPr>
      <w:r>
        <w:rPr>
          <w:rFonts w:ascii="Times New Roman" w:hAnsi="Times New Roman"/>
          <w:sz w:val="24"/>
        </w:rPr>
        <w:t>本项目圈舍设计为24小时全时通风换气，垂直气流经过圈舍的全漏缝地板进入圈舍下方的发酵坑表面，将圈舍下方的废气同时换出。成都市华测检测技术有限公司于2019年1月对圈舍漏缝地板上，漏缝地板下两个点位的空气进行了检测。圈舍地板上方氨浓度为1.37mg/m</w:t>
      </w:r>
      <w:r>
        <w:rPr>
          <w:rFonts w:ascii="Times New Roman" w:hAnsi="Times New Roman"/>
          <w:sz w:val="24"/>
          <w:vertAlign w:val="superscript"/>
        </w:rPr>
        <w:t>3</w:t>
      </w:r>
      <w:r>
        <w:rPr>
          <w:rFonts w:ascii="Times New Roman" w:hAnsi="Times New Roman"/>
          <w:sz w:val="24"/>
        </w:rPr>
        <w:t>，硫化氢未检出，臭气浓度79，地板下点位测出甲烷体积百分比为0.0003%（远低于爆炸下限5.3%），硫化氢未检出。由于本项目圈舍换气设置的特殊性，产生废气中甲烷浓度过低，无法燃烧利用。</w:t>
      </w:r>
    </w:p>
    <w:p>
      <w:pPr>
        <w:spacing w:line="460" w:lineRule="exact"/>
        <w:ind w:firstLine="480" w:firstLineChars="200"/>
        <w:rPr>
          <w:rFonts w:ascii="Times New Roman" w:hAnsi="Times New Roman"/>
          <w:sz w:val="24"/>
        </w:rPr>
      </w:pPr>
      <w:r>
        <w:rPr>
          <w:rFonts w:ascii="Times New Roman" w:hAnsi="Times New Roman"/>
          <w:sz w:val="24"/>
        </w:rPr>
        <w:t>产甲烷菌是一种厌氧性细菌，对氧特别敏感，有氧气的条件下不能成活。由于本项目采用的全漏缝地板与下面发酵深坑相同，发酵坑没有严格的厌氧环境，空气中的氧气会使其生命活动受到抑制；粪中无秸秆内的有机质，总有机质含量低，产沼气量少；同时，本项目发酵坑是静态发酵，不进行搅拌，发酵原料分层不均匀，也是导致甲烷气体产生量低的因素，故本项目发酵废气中甲烷浓度极低。</w:t>
      </w:r>
    </w:p>
    <w:p>
      <w:pPr>
        <w:spacing w:line="460" w:lineRule="exact"/>
        <w:ind w:firstLine="480" w:firstLineChars="200"/>
        <w:rPr>
          <w:rFonts w:ascii="Times New Roman" w:hAnsi="Times New Roman"/>
          <w:sz w:val="24"/>
        </w:rPr>
      </w:pPr>
      <w:r>
        <w:rPr>
          <w:rFonts w:ascii="Times New Roman" w:hAnsi="Times New Roman"/>
          <w:sz w:val="24"/>
        </w:rPr>
        <w:t>综上分析，本项目发酵废气不会对周围环境造成影响。</w:t>
      </w:r>
    </w:p>
    <w:p>
      <w:pPr>
        <w:pStyle w:val="108"/>
        <w:rPr>
          <w:b/>
          <w:sz w:val="24"/>
        </w:rPr>
      </w:pPr>
      <w:bookmarkStart w:id="227" w:name="_Toc9873373"/>
      <w:r>
        <w:t>5.1.5大气环境影响结论</w:t>
      </w:r>
      <w:bookmarkEnd w:id="227"/>
    </w:p>
    <w:p>
      <w:pPr>
        <w:spacing w:line="470" w:lineRule="exact"/>
        <w:ind w:firstLine="480" w:firstLineChars="200"/>
        <w:rPr>
          <w:rFonts w:ascii="Times New Roman" w:hAnsi="Times New Roman"/>
          <w:sz w:val="24"/>
        </w:rPr>
      </w:pPr>
      <w:r>
        <w:rPr>
          <w:rFonts w:ascii="Times New Roman" w:hAnsi="Times New Roman"/>
          <w:sz w:val="24"/>
        </w:rPr>
        <w:t>本项目产生的恶臭通过设置环境保护距离、采用干清粪工艺、科学设计日粮，提高饲料利用率、合理使用饲料添加剂、加强猪场卫生管理等措施减少恶臭气体的排放量，使恶臭气体在厂界处达标排放。评价认为：通过设置150米的环境保护距离，粪渣及时清运、种植防护林等措施的实施，可以最大程度的降低恶臭对于当地空气质量的影响。综上分析，只要项目在营运期间采取本环评提出的相应措施后，废气不会对外界环境产生明显影响。</w:t>
      </w:r>
    </w:p>
    <w:p>
      <w:pPr>
        <w:pStyle w:val="103"/>
        <w:numPr>
          <w:ilvl w:val="0"/>
          <w:numId w:val="0"/>
        </w:numPr>
        <w:rPr>
          <w:rFonts w:ascii="Times New Roman" w:hAnsi="Times New Roman"/>
          <w:b w:val="0"/>
          <w:bCs/>
          <w:kern w:val="28"/>
          <w:sz w:val="32"/>
          <w:szCs w:val="32"/>
        </w:rPr>
      </w:pPr>
      <w:bookmarkStart w:id="228" w:name="_Toc9873374"/>
      <w:r>
        <w:rPr>
          <w:rFonts w:ascii="Times New Roman" w:hAnsi="Times New Roman"/>
          <w:b w:val="0"/>
          <w:bCs/>
          <w:kern w:val="28"/>
          <w:sz w:val="32"/>
          <w:szCs w:val="32"/>
        </w:rPr>
        <w:t>5.2 声环境影响预测与评价</w:t>
      </w:r>
      <w:bookmarkEnd w:id="226"/>
      <w:bookmarkEnd w:id="228"/>
    </w:p>
    <w:p>
      <w:pPr>
        <w:pStyle w:val="108"/>
      </w:pPr>
      <w:bookmarkStart w:id="229" w:name="_Toc9873375"/>
      <w:bookmarkStart w:id="230" w:name="_Toc161196238"/>
      <w:r>
        <w:t>5.2.1  噪声源强</w:t>
      </w:r>
      <w:bookmarkEnd w:id="229"/>
    </w:p>
    <w:p>
      <w:pPr>
        <w:spacing w:line="470" w:lineRule="exact"/>
        <w:rPr>
          <w:rFonts w:ascii="Times New Roman" w:hAnsi="Times New Roman"/>
          <w:sz w:val="24"/>
        </w:rPr>
      </w:pPr>
      <w:r>
        <w:rPr>
          <w:rFonts w:ascii="Times New Roman" w:hAnsi="Times New Roman"/>
          <w:sz w:val="24"/>
        </w:rPr>
        <w:t xml:space="preserve">    本项目噪声源主要是饲料加工机组、风机、水泵和猪叫声。</w:t>
      </w:r>
    </w:p>
    <w:p>
      <w:pPr>
        <w:spacing w:line="470" w:lineRule="exact"/>
        <w:ind w:firstLine="480" w:firstLineChars="200"/>
        <w:rPr>
          <w:rFonts w:ascii="Times New Roman" w:hAnsi="Times New Roman"/>
          <w:sz w:val="24"/>
        </w:rPr>
      </w:pPr>
      <w:r>
        <w:rPr>
          <w:rFonts w:ascii="Times New Roman" w:hAnsi="Times New Roman"/>
          <w:sz w:val="24"/>
        </w:rPr>
        <w:t>设备噪声值见表5.2-1</w:t>
      </w:r>
    </w:p>
    <w:p>
      <w:pPr>
        <w:spacing w:line="480" w:lineRule="exact"/>
        <w:jc w:val="center"/>
        <w:rPr>
          <w:rFonts w:ascii="Times New Roman" w:hAnsi="Times New Roman" w:eastAsia="黑体"/>
          <w:sz w:val="21"/>
          <w:szCs w:val="21"/>
        </w:rPr>
      </w:pPr>
      <w:r>
        <w:rPr>
          <w:rFonts w:ascii="Times New Roman" w:hAnsi="Times New Roman" w:eastAsia="黑体"/>
          <w:sz w:val="21"/>
          <w:szCs w:val="21"/>
        </w:rPr>
        <w:t>表5.2-1  主要噪声源强一览表</w:t>
      </w:r>
    </w:p>
    <w:tbl>
      <w:tblPr>
        <w:tblStyle w:val="90"/>
        <w:tblW w:w="8397"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57" w:type="dxa"/>
          <w:bottom w:w="0" w:type="dxa"/>
          <w:right w:w="57" w:type="dxa"/>
        </w:tblCellMar>
      </w:tblPr>
      <w:tblGrid>
        <w:gridCol w:w="631"/>
        <w:gridCol w:w="812"/>
        <w:gridCol w:w="1429"/>
        <w:gridCol w:w="1127"/>
        <w:gridCol w:w="1278"/>
        <w:gridCol w:w="1535"/>
        <w:gridCol w:w="158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57" w:type="dxa"/>
            <w:bottom w:w="0" w:type="dxa"/>
            <w:right w:w="57" w:type="dxa"/>
          </w:tblCellMar>
        </w:tblPrEx>
        <w:trPr>
          <w:cantSplit/>
          <w:trHeight w:val="369" w:hRule="atLeast"/>
          <w:jc w:val="center"/>
        </w:trPr>
        <w:tc>
          <w:tcPr>
            <w:tcW w:w="631"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项目</w:t>
            </w:r>
          </w:p>
        </w:tc>
        <w:tc>
          <w:tcPr>
            <w:tcW w:w="812"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种类</w:t>
            </w:r>
          </w:p>
        </w:tc>
        <w:tc>
          <w:tcPr>
            <w:tcW w:w="1429"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污染物来源</w:t>
            </w:r>
          </w:p>
        </w:tc>
        <w:tc>
          <w:tcPr>
            <w:tcW w:w="1127"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产生方式</w:t>
            </w:r>
          </w:p>
        </w:tc>
        <w:tc>
          <w:tcPr>
            <w:tcW w:w="1278"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1m处噪声级</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dB（A）</w:t>
            </w:r>
          </w:p>
        </w:tc>
        <w:tc>
          <w:tcPr>
            <w:tcW w:w="1535"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防治设施</w:t>
            </w:r>
          </w:p>
        </w:tc>
        <w:tc>
          <w:tcPr>
            <w:tcW w:w="15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采取措施后的噪声源dB（A）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57" w:type="dxa"/>
            <w:bottom w:w="0" w:type="dxa"/>
            <w:right w:w="57" w:type="dxa"/>
          </w:tblCellMar>
        </w:tblPrEx>
        <w:trPr>
          <w:cantSplit/>
          <w:trHeight w:val="369" w:hRule="atLeast"/>
          <w:jc w:val="center"/>
        </w:trPr>
        <w:tc>
          <w:tcPr>
            <w:tcW w:w="631" w:type="dxa"/>
            <w:vMerge w:val="restart"/>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噪声</w:t>
            </w:r>
          </w:p>
        </w:tc>
        <w:tc>
          <w:tcPr>
            <w:tcW w:w="812"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猪只叫声</w:t>
            </w:r>
          </w:p>
        </w:tc>
        <w:tc>
          <w:tcPr>
            <w:tcW w:w="1429"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圈舍</w:t>
            </w:r>
          </w:p>
        </w:tc>
        <w:tc>
          <w:tcPr>
            <w:tcW w:w="1127"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间断</w:t>
            </w:r>
          </w:p>
        </w:tc>
        <w:tc>
          <w:tcPr>
            <w:tcW w:w="1278"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70</w:t>
            </w:r>
          </w:p>
        </w:tc>
        <w:tc>
          <w:tcPr>
            <w:tcW w:w="1535"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全封闭圈舍、满足饮食及饮水，避免突发性噪声</w:t>
            </w:r>
          </w:p>
        </w:tc>
        <w:tc>
          <w:tcPr>
            <w:tcW w:w="15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40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57" w:type="dxa"/>
            <w:bottom w:w="0" w:type="dxa"/>
            <w:right w:w="57" w:type="dxa"/>
          </w:tblCellMar>
        </w:tblPrEx>
        <w:trPr>
          <w:cantSplit/>
          <w:trHeight w:val="369" w:hRule="atLeast"/>
          <w:jc w:val="center"/>
        </w:trPr>
        <w:tc>
          <w:tcPr>
            <w:tcW w:w="631" w:type="dxa"/>
            <w:vMerge w:val="continue"/>
            <w:tcMar>
              <w:left w:w="28" w:type="dxa"/>
              <w:right w:w="28" w:type="dxa"/>
            </w:tcMar>
            <w:vAlign w:val="center"/>
          </w:tcPr>
          <w:p>
            <w:pPr>
              <w:spacing w:line="240" w:lineRule="auto"/>
              <w:jc w:val="center"/>
              <w:rPr>
                <w:rFonts w:ascii="Times New Roman" w:hAnsi="Times New Roman" w:eastAsiaTheme="minorEastAsia"/>
                <w:sz w:val="21"/>
                <w:szCs w:val="21"/>
              </w:rPr>
            </w:pPr>
          </w:p>
        </w:tc>
        <w:tc>
          <w:tcPr>
            <w:tcW w:w="812"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排气扇</w:t>
            </w:r>
          </w:p>
        </w:tc>
        <w:tc>
          <w:tcPr>
            <w:tcW w:w="1429"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圈舍</w:t>
            </w:r>
          </w:p>
        </w:tc>
        <w:tc>
          <w:tcPr>
            <w:tcW w:w="1127"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连续</w:t>
            </w:r>
          </w:p>
        </w:tc>
        <w:tc>
          <w:tcPr>
            <w:tcW w:w="1278"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70</w:t>
            </w:r>
          </w:p>
        </w:tc>
        <w:tc>
          <w:tcPr>
            <w:tcW w:w="1535"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选低噪声设备，消声、隔声等措施，</w:t>
            </w:r>
          </w:p>
        </w:tc>
        <w:tc>
          <w:tcPr>
            <w:tcW w:w="15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60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57" w:type="dxa"/>
            <w:bottom w:w="0" w:type="dxa"/>
            <w:right w:w="57" w:type="dxa"/>
          </w:tblCellMar>
        </w:tblPrEx>
        <w:trPr>
          <w:cantSplit/>
          <w:trHeight w:val="369" w:hRule="atLeast"/>
          <w:jc w:val="center"/>
        </w:trPr>
        <w:tc>
          <w:tcPr>
            <w:tcW w:w="631" w:type="dxa"/>
            <w:vMerge w:val="continue"/>
            <w:tcMar>
              <w:left w:w="28" w:type="dxa"/>
              <w:right w:w="28" w:type="dxa"/>
            </w:tcMar>
            <w:vAlign w:val="center"/>
          </w:tcPr>
          <w:p>
            <w:pPr>
              <w:spacing w:line="240" w:lineRule="auto"/>
              <w:jc w:val="center"/>
              <w:rPr>
                <w:rFonts w:ascii="Times New Roman" w:hAnsi="Times New Roman" w:eastAsiaTheme="minorEastAsia"/>
                <w:sz w:val="21"/>
                <w:szCs w:val="21"/>
              </w:rPr>
            </w:pPr>
          </w:p>
        </w:tc>
        <w:tc>
          <w:tcPr>
            <w:tcW w:w="812"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水泵</w:t>
            </w:r>
          </w:p>
        </w:tc>
        <w:tc>
          <w:tcPr>
            <w:tcW w:w="1429"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污水处理系统</w:t>
            </w:r>
          </w:p>
        </w:tc>
        <w:tc>
          <w:tcPr>
            <w:tcW w:w="1127"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连续</w:t>
            </w:r>
          </w:p>
        </w:tc>
        <w:tc>
          <w:tcPr>
            <w:tcW w:w="1278"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85</w:t>
            </w:r>
          </w:p>
        </w:tc>
        <w:tc>
          <w:tcPr>
            <w:tcW w:w="1535"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选低噪声设备</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消声等</w:t>
            </w:r>
          </w:p>
        </w:tc>
        <w:tc>
          <w:tcPr>
            <w:tcW w:w="15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60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57" w:type="dxa"/>
            <w:bottom w:w="0" w:type="dxa"/>
            <w:right w:w="57" w:type="dxa"/>
          </w:tblCellMar>
        </w:tblPrEx>
        <w:trPr>
          <w:cantSplit/>
          <w:trHeight w:val="369" w:hRule="atLeast"/>
          <w:jc w:val="center"/>
        </w:trPr>
        <w:tc>
          <w:tcPr>
            <w:tcW w:w="631" w:type="dxa"/>
            <w:vMerge w:val="continue"/>
            <w:tcMar>
              <w:left w:w="28" w:type="dxa"/>
              <w:right w:w="28" w:type="dxa"/>
            </w:tcMar>
            <w:vAlign w:val="center"/>
          </w:tcPr>
          <w:p>
            <w:pPr>
              <w:spacing w:line="240" w:lineRule="auto"/>
              <w:jc w:val="center"/>
              <w:rPr>
                <w:rFonts w:ascii="Times New Roman" w:hAnsi="Times New Roman" w:eastAsiaTheme="minorEastAsia"/>
                <w:sz w:val="21"/>
                <w:szCs w:val="21"/>
              </w:rPr>
            </w:pPr>
          </w:p>
        </w:tc>
        <w:tc>
          <w:tcPr>
            <w:tcW w:w="812"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通风</w:t>
            </w:r>
          </w:p>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系统</w:t>
            </w:r>
          </w:p>
        </w:tc>
        <w:tc>
          <w:tcPr>
            <w:tcW w:w="1429"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圈舍</w:t>
            </w:r>
          </w:p>
        </w:tc>
        <w:tc>
          <w:tcPr>
            <w:tcW w:w="1127"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连续</w:t>
            </w:r>
          </w:p>
        </w:tc>
        <w:tc>
          <w:tcPr>
            <w:tcW w:w="1278"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80</w:t>
            </w:r>
          </w:p>
        </w:tc>
        <w:tc>
          <w:tcPr>
            <w:tcW w:w="1535" w:type="dxa"/>
            <w:tcMar>
              <w:left w:w="28" w:type="dxa"/>
              <w:right w:w="28" w:type="dxa"/>
            </w:tcMar>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选低噪声设备消声、隔声等措施</w:t>
            </w:r>
          </w:p>
        </w:tc>
        <w:tc>
          <w:tcPr>
            <w:tcW w:w="1585"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60</w:t>
            </w:r>
          </w:p>
        </w:tc>
      </w:tr>
    </w:tbl>
    <w:p>
      <w:pPr>
        <w:pStyle w:val="108"/>
        <w:rPr>
          <w:sz w:val="24"/>
        </w:rPr>
      </w:pPr>
      <w:bookmarkStart w:id="231" w:name="_Toc9873376"/>
      <w:r>
        <w:t>5.2.2  预测内容</w:t>
      </w:r>
      <w:bookmarkEnd w:id="231"/>
      <w:r>
        <w:rPr>
          <w:sz w:val="24"/>
        </w:rPr>
        <w:tab/>
      </w:r>
    </w:p>
    <w:p>
      <w:pPr>
        <w:spacing w:line="470" w:lineRule="exact"/>
        <w:ind w:firstLine="480" w:firstLineChars="200"/>
        <w:rPr>
          <w:rFonts w:ascii="Times New Roman" w:hAnsi="Times New Roman"/>
          <w:sz w:val="24"/>
        </w:rPr>
      </w:pPr>
      <w:r>
        <w:rPr>
          <w:rFonts w:ascii="Times New Roman" w:hAnsi="Times New Roman"/>
          <w:sz w:val="24"/>
        </w:rPr>
        <w:t>预测的内容主要为厂界噪声达标情况；对外环境及敏感目标有无影响。</w:t>
      </w:r>
    </w:p>
    <w:p>
      <w:pPr>
        <w:pStyle w:val="108"/>
      </w:pPr>
      <w:bookmarkStart w:id="232" w:name="_Toc9873377"/>
      <w:r>
        <w:t>5.2.3  预测方法</w:t>
      </w:r>
      <w:bookmarkEnd w:id="232"/>
    </w:p>
    <w:p>
      <w:pPr>
        <w:spacing w:line="470" w:lineRule="exact"/>
        <w:ind w:firstLine="480" w:firstLineChars="200"/>
        <w:rPr>
          <w:rFonts w:ascii="Times New Roman" w:hAnsi="Times New Roman"/>
          <w:sz w:val="24"/>
        </w:rPr>
      </w:pPr>
      <w:r>
        <w:rPr>
          <w:rFonts w:ascii="Times New Roman" w:hAnsi="Times New Roman"/>
          <w:sz w:val="24"/>
        </w:rPr>
        <w:t>采用噪声数学模式计算，预测场界产生的噪声级。根据导则有关规定，工业噪声源都按点声源处理。其预测模式为：</w:t>
      </w:r>
    </w:p>
    <w:p>
      <w:pPr>
        <w:spacing w:line="470" w:lineRule="exact"/>
        <w:rPr>
          <w:rFonts w:ascii="Times New Roman" w:hAnsi="Times New Roman"/>
          <w:sz w:val="24"/>
        </w:rPr>
      </w:pPr>
      <w:r>
        <w:rPr>
          <w:rFonts w:ascii="Times New Roman" w:hAnsi="Times New Roman"/>
          <w:sz w:val="24"/>
        </w:rPr>
        <w:t xml:space="preserve">    (1)点声源预测模式</w:t>
      </w:r>
    </w:p>
    <w:p>
      <w:pPr>
        <w:spacing w:line="480" w:lineRule="exact"/>
        <w:jc w:val="center"/>
        <w:rPr>
          <w:rFonts w:ascii="Times New Roman" w:hAnsi="Times New Roman"/>
          <w:sz w:val="24"/>
        </w:rPr>
      </w:pPr>
      <w:r>
        <w:rPr>
          <w:rFonts w:ascii="Times New Roman" w:hAnsi="Times New Roman"/>
          <w:position w:val="-12"/>
        </w:rPr>
        <w:object>
          <v:shape id="_x0000_i1028" o:spt="75" type="#_x0000_t75" style="height:18.7pt;width:182.35pt;" o:ole="t" filled="f" o:preferrelative="t" stroked="f" coordsize="21600,21600">
            <v:path/>
            <v:fill on="f" focussize="0,0"/>
            <v:stroke on="f" joinstyle="miter"/>
            <v:imagedata r:id="rId41" o:title=""/>
            <o:lock v:ext="edit" aspectratio="t"/>
            <w10:wrap type="none"/>
            <w10:anchorlock/>
          </v:shape>
          <o:OLEObject Type="Embed" ProgID="Equation.3" ShapeID="_x0000_i1028" DrawAspect="Content" ObjectID="_1468075730" r:id="rId40">
            <o:LockedField>false</o:LockedField>
          </o:OLEObject>
        </w:object>
      </w:r>
    </w:p>
    <w:p>
      <w:pPr>
        <w:spacing w:line="470" w:lineRule="exact"/>
        <w:rPr>
          <w:rFonts w:ascii="Times New Roman" w:hAnsi="Times New Roman"/>
          <w:sz w:val="24"/>
        </w:rPr>
      </w:pPr>
      <w:r>
        <w:rPr>
          <w:rFonts w:ascii="Times New Roman" w:hAnsi="Times New Roman"/>
          <w:sz w:val="24"/>
        </w:rPr>
        <w:t xml:space="preserve">    式中：L</w:t>
      </w:r>
      <w:r>
        <w:rPr>
          <w:rFonts w:ascii="Times New Roman" w:hAnsi="Times New Roman"/>
          <w:sz w:val="24"/>
          <w:vertAlign w:val="subscript"/>
        </w:rPr>
        <w:t>oct</w:t>
      </w:r>
      <w:r>
        <w:rPr>
          <w:rFonts w:ascii="Times New Roman" w:hAnsi="Times New Roman"/>
          <w:sz w:val="24"/>
        </w:rPr>
        <w:t>(r)——点声源在预测点产生的倍频带声压级；</w:t>
      </w:r>
    </w:p>
    <w:p>
      <w:pPr>
        <w:spacing w:line="470" w:lineRule="exact"/>
        <w:ind w:firstLine="1152" w:firstLineChars="480"/>
        <w:rPr>
          <w:rFonts w:ascii="Times New Roman" w:hAnsi="Times New Roman"/>
          <w:sz w:val="24"/>
        </w:rPr>
      </w:pPr>
      <w:r>
        <w:rPr>
          <w:rFonts w:ascii="Times New Roman" w:hAnsi="Times New Roman"/>
          <w:sz w:val="24"/>
        </w:rPr>
        <w:t>L</w:t>
      </w:r>
      <w:r>
        <w:rPr>
          <w:rFonts w:ascii="Times New Roman" w:hAnsi="Times New Roman"/>
          <w:sz w:val="24"/>
          <w:vertAlign w:val="subscript"/>
        </w:rPr>
        <w:t>oct</w:t>
      </w:r>
      <w:r>
        <w:rPr>
          <w:rFonts w:ascii="Times New Roman" w:hAnsi="Times New Roman"/>
          <w:sz w:val="24"/>
        </w:rPr>
        <w:t>(r</w:t>
      </w:r>
      <w:r>
        <w:rPr>
          <w:rFonts w:ascii="Times New Roman" w:hAnsi="Times New Roman"/>
          <w:sz w:val="24"/>
          <w:vertAlign w:val="subscript"/>
        </w:rPr>
        <w:t>o</w:t>
      </w:r>
      <w:r>
        <w:rPr>
          <w:rFonts w:ascii="Times New Roman" w:hAnsi="Times New Roman"/>
          <w:sz w:val="24"/>
        </w:rPr>
        <w:t>)——参考位置r。处的倍频带声压级；</w:t>
      </w:r>
    </w:p>
    <w:p>
      <w:pPr>
        <w:spacing w:line="470" w:lineRule="exact"/>
        <w:ind w:firstLine="1152" w:firstLineChars="480"/>
        <w:rPr>
          <w:rFonts w:ascii="Times New Roman" w:hAnsi="Times New Roman"/>
          <w:sz w:val="24"/>
        </w:rPr>
      </w:pPr>
      <w:r>
        <w:rPr>
          <w:rFonts w:ascii="Times New Roman" w:hAnsi="Times New Roman"/>
          <w:sz w:val="24"/>
        </w:rPr>
        <w:t>r——预测点距声源的距离，(m)；</w:t>
      </w:r>
    </w:p>
    <w:p>
      <w:pPr>
        <w:spacing w:line="470" w:lineRule="exact"/>
        <w:ind w:firstLine="1152" w:firstLineChars="480"/>
        <w:rPr>
          <w:rFonts w:ascii="Times New Roman" w:hAnsi="Times New Roman"/>
          <w:sz w:val="24"/>
        </w:rPr>
      </w:pPr>
      <w:r>
        <w:rPr>
          <w:rFonts w:ascii="Times New Roman" w:hAnsi="Times New Roman"/>
          <w:sz w:val="24"/>
        </w:rPr>
        <w:t>r</w:t>
      </w:r>
      <w:r>
        <w:rPr>
          <w:rFonts w:ascii="Times New Roman" w:hAnsi="Times New Roman"/>
          <w:sz w:val="24"/>
          <w:vertAlign w:val="subscript"/>
        </w:rPr>
        <w:t>o</w:t>
      </w:r>
      <w:r>
        <w:rPr>
          <w:rFonts w:ascii="Times New Roman" w:hAnsi="Times New Roman"/>
          <w:sz w:val="24"/>
        </w:rPr>
        <w:t>——参考位置距声源的距离，(m)；</w:t>
      </w:r>
    </w:p>
    <w:p>
      <w:pPr>
        <w:spacing w:line="470" w:lineRule="exact"/>
        <w:ind w:firstLine="1152" w:firstLineChars="480"/>
        <w:rPr>
          <w:rFonts w:ascii="Times New Roman" w:hAnsi="Times New Roman"/>
          <w:sz w:val="24"/>
        </w:rPr>
      </w:pPr>
      <w:r>
        <w:rPr>
          <w:rFonts w:ascii="Cambria Math" w:hAnsi="Cambria Math" w:cs="Cambria Math"/>
          <w:sz w:val="24"/>
        </w:rPr>
        <w:t>△</w:t>
      </w:r>
      <w:r>
        <w:rPr>
          <w:rFonts w:ascii="Times New Roman" w:hAnsi="Times New Roman"/>
          <w:sz w:val="24"/>
        </w:rPr>
        <w:t>L</w:t>
      </w:r>
      <w:r>
        <w:rPr>
          <w:rFonts w:ascii="Times New Roman" w:hAnsi="Times New Roman"/>
          <w:sz w:val="24"/>
          <w:vertAlign w:val="subscript"/>
        </w:rPr>
        <w:t>oct</w:t>
      </w:r>
      <w:r>
        <w:rPr>
          <w:rFonts w:ascii="Times New Roman" w:hAnsi="Times New Roman"/>
          <w:sz w:val="24"/>
        </w:rPr>
        <w:t>——声屏障、遮挡物、空气吸收、地面效应引起的衰减量。</w:t>
      </w:r>
    </w:p>
    <w:p>
      <w:pPr>
        <w:spacing w:line="470" w:lineRule="exact"/>
        <w:ind w:firstLine="435"/>
        <w:rPr>
          <w:rFonts w:ascii="Times New Roman" w:hAnsi="Times New Roman"/>
          <w:sz w:val="24"/>
        </w:rPr>
      </w:pPr>
      <w:r>
        <w:rPr>
          <w:rFonts w:ascii="Times New Roman" w:hAnsi="Times New Roman"/>
          <w:sz w:val="24"/>
        </w:rPr>
        <w:t>(2)某点的总等效声级Leq</w:t>
      </w:r>
    </w:p>
    <w:p>
      <w:pPr>
        <w:spacing w:line="480" w:lineRule="exact"/>
        <w:ind w:firstLine="2160"/>
        <w:rPr>
          <w:rFonts w:ascii="Times New Roman" w:hAnsi="Times New Roman"/>
          <w:sz w:val="24"/>
        </w:rPr>
      </w:pPr>
      <w:r>
        <w:rPr>
          <w:rFonts w:ascii="Times New Roman" w:hAnsi="Times New Roman"/>
          <w:position w:val="-30"/>
        </w:rPr>
        <w:object>
          <v:shape id="_x0000_i1029" o:spt="75" type="#_x0000_t75" style="height:35.55pt;width:111.25pt;" o:ole="t" filled="f" o:preferrelative="t" stroked="f" coordsize="21600,21600">
            <v:path/>
            <v:fill on="f" focussize="0,0"/>
            <v:stroke on="f" joinstyle="miter"/>
            <v:imagedata r:id="rId43" o:title=""/>
            <o:lock v:ext="edit" aspectratio="t"/>
            <w10:wrap type="none"/>
            <w10:anchorlock/>
          </v:shape>
          <o:OLEObject Type="Embed" ProgID="Equation.3" ShapeID="_x0000_i1029" DrawAspect="Content" ObjectID="_1468075731" r:id="rId42">
            <o:LockedField>false</o:LockedField>
          </o:OLEObject>
        </w:object>
      </w:r>
    </w:p>
    <w:p>
      <w:pPr>
        <w:spacing w:line="470" w:lineRule="exact"/>
        <w:ind w:firstLine="435"/>
        <w:rPr>
          <w:rFonts w:ascii="Times New Roman" w:hAnsi="Times New Roman"/>
          <w:sz w:val="24"/>
        </w:rPr>
      </w:pPr>
      <w:r>
        <w:rPr>
          <w:rFonts w:ascii="Times New Roman" w:hAnsi="Times New Roman"/>
          <w:sz w:val="24"/>
        </w:rPr>
        <w:t>式中：L</w:t>
      </w:r>
      <w:r>
        <w:rPr>
          <w:rFonts w:ascii="Times New Roman" w:hAnsi="Times New Roman"/>
          <w:sz w:val="24"/>
          <w:vertAlign w:val="subscript"/>
        </w:rPr>
        <w:t>eqi</w:t>
      </w:r>
      <w:r>
        <w:rPr>
          <w:rFonts w:ascii="Times New Roman" w:hAnsi="Times New Roman"/>
          <w:sz w:val="24"/>
        </w:rPr>
        <w:t>——第i个声源对粟点的等效声级</w:t>
      </w:r>
    </w:p>
    <w:p>
      <w:pPr>
        <w:pStyle w:val="108"/>
      </w:pPr>
      <w:bookmarkStart w:id="233" w:name="_Toc9873378"/>
      <w:r>
        <w:t>5.2.4  控制标准</w:t>
      </w:r>
      <w:bookmarkEnd w:id="233"/>
    </w:p>
    <w:p>
      <w:pPr>
        <w:spacing w:line="470" w:lineRule="exact"/>
        <w:ind w:firstLine="435"/>
        <w:rPr>
          <w:rFonts w:ascii="Times New Roman" w:hAnsi="Times New Roman"/>
          <w:sz w:val="24"/>
        </w:rPr>
      </w:pPr>
      <w:r>
        <w:rPr>
          <w:rFonts w:ascii="Times New Roman" w:hAnsi="Times New Roman"/>
          <w:sz w:val="24"/>
        </w:rPr>
        <w:t>营运期各场界的噪声值满足《工业企业厂界环境噪声排放标准》（GB12348-2008）中2类标准。场界外围农村环境，周边区域环境噪声执行《声环境质量标准》（GB3096-2008）中的2类。</w:t>
      </w:r>
    </w:p>
    <w:p>
      <w:pPr>
        <w:pStyle w:val="108"/>
        <w:rPr>
          <w:sz w:val="24"/>
        </w:rPr>
      </w:pPr>
      <w:bookmarkStart w:id="234" w:name="_Toc9873379"/>
      <w:r>
        <w:t>5.2.5  预测结果及分析</w:t>
      </w:r>
      <w:bookmarkEnd w:id="234"/>
    </w:p>
    <w:p>
      <w:pPr>
        <w:spacing w:line="470" w:lineRule="exact"/>
        <w:ind w:firstLine="435"/>
        <w:rPr>
          <w:rFonts w:ascii="Times New Roman" w:hAnsi="Times New Roman"/>
          <w:sz w:val="24"/>
        </w:rPr>
      </w:pPr>
      <w:r>
        <w:rPr>
          <w:rFonts w:ascii="Times New Roman" w:hAnsi="Times New Roman"/>
          <w:sz w:val="24"/>
        </w:rPr>
        <w:t>根据建设项目高噪声设备声级所处位置，利用工业企业噪声预测模式和方法，对场界外的声环境进行预测计算，得到项目建成后各预测点的昼间和夜间噪声级。二期项目圈舍距离北厂界20m、南厂界110m、西厂界10m、东厂界20m、距离南侧敏感点115m、距离西北侧敏感点30m。噪声源采用削减后的最大噪声60分贝进行衰减计算。将项目一期验收监测厂界噪声，二期环评期间对敏感点处的噪声监测值与预测值进行叠加，建设项目的场界噪声预测结果见表5.2-2。</w:t>
      </w:r>
    </w:p>
    <w:p>
      <w:pPr>
        <w:spacing w:line="480" w:lineRule="exact"/>
        <w:jc w:val="center"/>
        <w:rPr>
          <w:rFonts w:ascii="Times New Roman" w:hAnsi="Times New Roman" w:eastAsia="黑体"/>
          <w:sz w:val="21"/>
          <w:szCs w:val="21"/>
        </w:rPr>
      </w:pPr>
      <w:r>
        <w:rPr>
          <w:rFonts w:ascii="Times New Roman" w:hAnsi="Times New Roman" w:eastAsia="黑体"/>
          <w:sz w:val="21"/>
          <w:szCs w:val="21"/>
        </w:rPr>
        <w:t>表5.2-2   场界噪声预测结果  Leq：dB(A)</w:t>
      </w:r>
    </w:p>
    <w:tbl>
      <w:tblPr>
        <w:tblStyle w:val="90"/>
        <w:tblW w:w="8789"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
      <w:tblGrid>
        <w:gridCol w:w="1163"/>
        <w:gridCol w:w="606"/>
        <w:gridCol w:w="705"/>
        <w:gridCol w:w="699"/>
        <w:gridCol w:w="690"/>
        <w:gridCol w:w="660"/>
        <w:gridCol w:w="690"/>
        <w:gridCol w:w="630"/>
        <w:gridCol w:w="630"/>
        <w:gridCol w:w="645"/>
        <w:gridCol w:w="636"/>
        <w:gridCol w:w="540"/>
        <w:gridCol w:w="49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1163" w:type="dxa"/>
            <w:vMerge w:val="restart"/>
            <w:vAlign w:val="center"/>
          </w:tcPr>
          <w:p>
            <w:pPr>
              <w:jc w:val="center"/>
              <w:rPr>
                <w:rFonts w:ascii="Times New Roman" w:hAnsi="Times New Roman"/>
                <w:sz w:val="18"/>
                <w:szCs w:val="18"/>
              </w:rPr>
            </w:pPr>
            <w:r>
              <w:rPr>
                <w:rFonts w:ascii="Times New Roman" w:hAnsi="Times New Roman"/>
                <w:kern w:val="0"/>
                <w:sz w:val="18"/>
                <w:szCs w:val="18"/>
              </w:rPr>
              <w:t>监测点</w:t>
            </w:r>
          </w:p>
        </w:tc>
        <w:tc>
          <w:tcPr>
            <w:tcW w:w="1311" w:type="dxa"/>
            <w:gridSpan w:val="2"/>
            <w:vAlign w:val="center"/>
          </w:tcPr>
          <w:p>
            <w:pPr>
              <w:jc w:val="center"/>
              <w:rPr>
                <w:rFonts w:ascii="Times New Roman" w:hAnsi="Times New Roman"/>
                <w:sz w:val="18"/>
                <w:szCs w:val="18"/>
              </w:rPr>
            </w:pPr>
            <w:r>
              <w:rPr>
                <w:rFonts w:ascii="Times New Roman" w:hAnsi="Times New Roman"/>
                <w:sz w:val="18"/>
                <w:szCs w:val="18"/>
              </w:rPr>
              <w:t>东厂界</w:t>
            </w:r>
          </w:p>
        </w:tc>
        <w:tc>
          <w:tcPr>
            <w:tcW w:w="1389" w:type="dxa"/>
            <w:gridSpan w:val="2"/>
            <w:vAlign w:val="center"/>
          </w:tcPr>
          <w:p>
            <w:pPr>
              <w:jc w:val="center"/>
              <w:rPr>
                <w:rFonts w:ascii="Times New Roman" w:hAnsi="Times New Roman"/>
                <w:sz w:val="18"/>
                <w:szCs w:val="18"/>
              </w:rPr>
            </w:pPr>
            <w:r>
              <w:rPr>
                <w:rFonts w:ascii="Times New Roman" w:hAnsi="Times New Roman"/>
                <w:sz w:val="18"/>
                <w:szCs w:val="18"/>
              </w:rPr>
              <w:t>南厂界</w:t>
            </w:r>
          </w:p>
        </w:tc>
        <w:tc>
          <w:tcPr>
            <w:tcW w:w="1350" w:type="dxa"/>
            <w:gridSpan w:val="2"/>
            <w:vAlign w:val="center"/>
          </w:tcPr>
          <w:p>
            <w:pPr>
              <w:jc w:val="center"/>
              <w:rPr>
                <w:rFonts w:ascii="Times New Roman" w:hAnsi="Times New Roman"/>
                <w:sz w:val="18"/>
                <w:szCs w:val="18"/>
              </w:rPr>
            </w:pPr>
            <w:r>
              <w:rPr>
                <w:rFonts w:ascii="Times New Roman" w:hAnsi="Times New Roman"/>
                <w:sz w:val="18"/>
                <w:szCs w:val="18"/>
              </w:rPr>
              <w:t>西厂界</w:t>
            </w:r>
          </w:p>
        </w:tc>
        <w:tc>
          <w:tcPr>
            <w:tcW w:w="1260" w:type="dxa"/>
            <w:gridSpan w:val="2"/>
            <w:vAlign w:val="center"/>
          </w:tcPr>
          <w:p>
            <w:pPr>
              <w:jc w:val="center"/>
              <w:rPr>
                <w:rFonts w:ascii="Times New Roman" w:hAnsi="Times New Roman"/>
                <w:sz w:val="18"/>
                <w:szCs w:val="18"/>
              </w:rPr>
            </w:pPr>
            <w:r>
              <w:rPr>
                <w:rFonts w:ascii="Times New Roman" w:hAnsi="Times New Roman"/>
                <w:sz w:val="18"/>
                <w:szCs w:val="18"/>
              </w:rPr>
              <w:t>北厂界</w:t>
            </w:r>
          </w:p>
        </w:tc>
        <w:tc>
          <w:tcPr>
            <w:tcW w:w="1281" w:type="dxa"/>
            <w:gridSpan w:val="2"/>
            <w:vAlign w:val="center"/>
          </w:tcPr>
          <w:p>
            <w:pPr>
              <w:jc w:val="center"/>
              <w:rPr>
                <w:rFonts w:ascii="Times New Roman" w:hAnsi="Times New Roman"/>
                <w:sz w:val="18"/>
                <w:szCs w:val="18"/>
              </w:rPr>
            </w:pPr>
            <w:r>
              <w:rPr>
                <w:rFonts w:ascii="Times New Roman" w:hAnsi="Times New Roman"/>
                <w:sz w:val="18"/>
                <w:szCs w:val="18"/>
              </w:rPr>
              <w:t>北侧敏感点</w:t>
            </w:r>
          </w:p>
        </w:tc>
        <w:tc>
          <w:tcPr>
            <w:tcW w:w="1035" w:type="dxa"/>
            <w:gridSpan w:val="2"/>
            <w:vAlign w:val="center"/>
          </w:tcPr>
          <w:p>
            <w:pPr>
              <w:jc w:val="center"/>
              <w:rPr>
                <w:rFonts w:ascii="Times New Roman" w:hAnsi="Times New Roman"/>
                <w:sz w:val="18"/>
                <w:szCs w:val="18"/>
              </w:rPr>
            </w:pPr>
            <w:r>
              <w:rPr>
                <w:rFonts w:ascii="Times New Roman" w:hAnsi="Times New Roman"/>
                <w:sz w:val="18"/>
                <w:szCs w:val="18"/>
              </w:rPr>
              <w:t>南侧敏感点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1163" w:type="dxa"/>
            <w:vMerge w:val="continue"/>
            <w:vAlign w:val="center"/>
          </w:tcPr>
          <w:p>
            <w:pPr>
              <w:jc w:val="center"/>
              <w:rPr>
                <w:rFonts w:ascii="Times New Roman" w:hAnsi="Times New Roman"/>
                <w:kern w:val="0"/>
                <w:sz w:val="18"/>
                <w:szCs w:val="18"/>
              </w:rPr>
            </w:pPr>
          </w:p>
        </w:tc>
        <w:tc>
          <w:tcPr>
            <w:tcW w:w="606" w:type="dxa"/>
            <w:vAlign w:val="center"/>
          </w:tcPr>
          <w:p>
            <w:pPr>
              <w:jc w:val="center"/>
              <w:rPr>
                <w:rFonts w:ascii="Times New Roman" w:hAnsi="Times New Roman"/>
                <w:sz w:val="18"/>
                <w:szCs w:val="18"/>
              </w:rPr>
            </w:pPr>
            <w:r>
              <w:rPr>
                <w:rFonts w:ascii="Times New Roman" w:hAnsi="Times New Roman"/>
                <w:sz w:val="18"/>
                <w:szCs w:val="18"/>
              </w:rPr>
              <w:t>昼间</w:t>
            </w:r>
          </w:p>
        </w:tc>
        <w:tc>
          <w:tcPr>
            <w:tcW w:w="705" w:type="dxa"/>
            <w:vAlign w:val="center"/>
          </w:tcPr>
          <w:p>
            <w:pPr>
              <w:jc w:val="center"/>
              <w:rPr>
                <w:rFonts w:ascii="Times New Roman" w:hAnsi="Times New Roman"/>
                <w:sz w:val="18"/>
                <w:szCs w:val="18"/>
              </w:rPr>
            </w:pPr>
            <w:r>
              <w:rPr>
                <w:rFonts w:ascii="Times New Roman" w:hAnsi="Times New Roman"/>
                <w:sz w:val="18"/>
                <w:szCs w:val="18"/>
              </w:rPr>
              <w:t>夜间</w:t>
            </w:r>
          </w:p>
        </w:tc>
        <w:tc>
          <w:tcPr>
            <w:tcW w:w="699" w:type="dxa"/>
            <w:vAlign w:val="center"/>
          </w:tcPr>
          <w:p>
            <w:pPr>
              <w:jc w:val="center"/>
              <w:rPr>
                <w:rFonts w:ascii="Times New Roman" w:hAnsi="Times New Roman"/>
                <w:sz w:val="18"/>
                <w:szCs w:val="18"/>
              </w:rPr>
            </w:pPr>
            <w:r>
              <w:rPr>
                <w:rFonts w:ascii="Times New Roman" w:hAnsi="Times New Roman"/>
                <w:sz w:val="18"/>
                <w:szCs w:val="18"/>
              </w:rPr>
              <w:t>昼间</w:t>
            </w:r>
          </w:p>
        </w:tc>
        <w:tc>
          <w:tcPr>
            <w:tcW w:w="690" w:type="dxa"/>
            <w:vAlign w:val="center"/>
          </w:tcPr>
          <w:p>
            <w:pPr>
              <w:jc w:val="center"/>
              <w:rPr>
                <w:rFonts w:ascii="Times New Roman" w:hAnsi="Times New Roman"/>
                <w:sz w:val="18"/>
                <w:szCs w:val="18"/>
              </w:rPr>
            </w:pPr>
            <w:r>
              <w:rPr>
                <w:rFonts w:ascii="Times New Roman" w:hAnsi="Times New Roman"/>
                <w:sz w:val="18"/>
                <w:szCs w:val="18"/>
              </w:rPr>
              <w:t>夜间</w:t>
            </w:r>
          </w:p>
        </w:tc>
        <w:tc>
          <w:tcPr>
            <w:tcW w:w="660" w:type="dxa"/>
            <w:vAlign w:val="center"/>
          </w:tcPr>
          <w:p>
            <w:pPr>
              <w:jc w:val="center"/>
              <w:rPr>
                <w:rFonts w:ascii="Times New Roman" w:hAnsi="Times New Roman"/>
                <w:sz w:val="18"/>
                <w:szCs w:val="18"/>
              </w:rPr>
            </w:pPr>
            <w:r>
              <w:rPr>
                <w:rFonts w:ascii="Times New Roman" w:hAnsi="Times New Roman"/>
                <w:sz w:val="18"/>
                <w:szCs w:val="18"/>
              </w:rPr>
              <w:t>昼间</w:t>
            </w:r>
          </w:p>
        </w:tc>
        <w:tc>
          <w:tcPr>
            <w:tcW w:w="690" w:type="dxa"/>
            <w:vAlign w:val="center"/>
          </w:tcPr>
          <w:p>
            <w:pPr>
              <w:jc w:val="center"/>
              <w:rPr>
                <w:rFonts w:ascii="Times New Roman" w:hAnsi="Times New Roman"/>
                <w:sz w:val="18"/>
                <w:szCs w:val="18"/>
              </w:rPr>
            </w:pPr>
            <w:r>
              <w:rPr>
                <w:rFonts w:ascii="Times New Roman" w:hAnsi="Times New Roman"/>
                <w:sz w:val="18"/>
                <w:szCs w:val="18"/>
              </w:rPr>
              <w:t>夜间</w:t>
            </w:r>
          </w:p>
        </w:tc>
        <w:tc>
          <w:tcPr>
            <w:tcW w:w="630" w:type="dxa"/>
            <w:vAlign w:val="center"/>
          </w:tcPr>
          <w:p>
            <w:pPr>
              <w:jc w:val="center"/>
              <w:rPr>
                <w:rFonts w:ascii="Times New Roman" w:hAnsi="Times New Roman"/>
                <w:sz w:val="18"/>
                <w:szCs w:val="18"/>
              </w:rPr>
            </w:pPr>
            <w:r>
              <w:rPr>
                <w:rFonts w:ascii="Times New Roman" w:hAnsi="Times New Roman"/>
                <w:sz w:val="18"/>
                <w:szCs w:val="18"/>
              </w:rPr>
              <w:t>昼间</w:t>
            </w:r>
          </w:p>
        </w:tc>
        <w:tc>
          <w:tcPr>
            <w:tcW w:w="630" w:type="dxa"/>
            <w:vAlign w:val="center"/>
          </w:tcPr>
          <w:p>
            <w:pPr>
              <w:jc w:val="center"/>
              <w:rPr>
                <w:rFonts w:ascii="Times New Roman" w:hAnsi="Times New Roman"/>
                <w:sz w:val="18"/>
                <w:szCs w:val="18"/>
              </w:rPr>
            </w:pPr>
            <w:r>
              <w:rPr>
                <w:rFonts w:ascii="Times New Roman" w:hAnsi="Times New Roman"/>
                <w:sz w:val="18"/>
                <w:szCs w:val="18"/>
              </w:rPr>
              <w:t>夜间</w:t>
            </w:r>
          </w:p>
        </w:tc>
        <w:tc>
          <w:tcPr>
            <w:tcW w:w="645" w:type="dxa"/>
            <w:vAlign w:val="center"/>
          </w:tcPr>
          <w:p>
            <w:pPr>
              <w:jc w:val="center"/>
              <w:rPr>
                <w:rFonts w:ascii="Times New Roman" w:hAnsi="Times New Roman"/>
                <w:sz w:val="18"/>
                <w:szCs w:val="18"/>
              </w:rPr>
            </w:pPr>
            <w:r>
              <w:rPr>
                <w:rFonts w:ascii="Times New Roman" w:hAnsi="Times New Roman"/>
                <w:sz w:val="18"/>
                <w:szCs w:val="18"/>
              </w:rPr>
              <w:t>昼间</w:t>
            </w:r>
          </w:p>
        </w:tc>
        <w:tc>
          <w:tcPr>
            <w:tcW w:w="636" w:type="dxa"/>
            <w:vAlign w:val="center"/>
          </w:tcPr>
          <w:p>
            <w:pPr>
              <w:jc w:val="center"/>
              <w:rPr>
                <w:rFonts w:ascii="Times New Roman" w:hAnsi="Times New Roman"/>
                <w:sz w:val="18"/>
                <w:szCs w:val="18"/>
              </w:rPr>
            </w:pPr>
            <w:r>
              <w:rPr>
                <w:rFonts w:ascii="Times New Roman" w:hAnsi="Times New Roman"/>
                <w:sz w:val="18"/>
                <w:szCs w:val="18"/>
              </w:rPr>
              <w:t>夜间</w:t>
            </w:r>
          </w:p>
        </w:tc>
        <w:tc>
          <w:tcPr>
            <w:tcW w:w="540" w:type="dxa"/>
            <w:vAlign w:val="center"/>
          </w:tcPr>
          <w:p>
            <w:pPr>
              <w:jc w:val="center"/>
              <w:rPr>
                <w:rFonts w:ascii="Times New Roman" w:hAnsi="Times New Roman"/>
                <w:sz w:val="18"/>
                <w:szCs w:val="18"/>
              </w:rPr>
            </w:pPr>
            <w:r>
              <w:rPr>
                <w:rFonts w:ascii="Times New Roman" w:hAnsi="Times New Roman"/>
                <w:sz w:val="18"/>
                <w:szCs w:val="18"/>
              </w:rPr>
              <w:t>昼间</w:t>
            </w:r>
          </w:p>
        </w:tc>
        <w:tc>
          <w:tcPr>
            <w:tcW w:w="495" w:type="dxa"/>
            <w:vAlign w:val="center"/>
          </w:tcPr>
          <w:p>
            <w:pPr>
              <w:jc w:val="center"/>
              <w:rPr>
                <w:rFonts w:ascii="Times New Roman" w:hAnsi="Times New Roman"/>
                <w:sz w:val="18"/>
                <w:szCs w:val="18"/>
              </w:rPr>
            </w:pPr>
            <w:r>
              <w:rPr>
                <w:rFonts w:ascii="Times New Roman" w:hAnsi="Times New Roman"/>
                <w:sz w:val="18"/>
                <w:szCs w:val="18"/>
              </w:rPr>
              <w:t>夜间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1163" w:type="dxa"/>
            <w:vAlign w:val="center"/>
          </w:tcPr>
          <w:p>
            <w:pPr>
              <w:jc w:val="center"/>
              <w:rPr>
                <w:rFonts w:ascii="Times New Roman" w:hAnsi="Times New Roman"/>
                <w:kern w:val="0"/>
                <w:sz w:val="18"/>
                <w:szCs w:val="18"/>
              </w:rPr>
            </w:pPr>
            <w:r>
              <w:rPr>
                <w:rFonts w:ascii="Times New Roman" w:hAnsi="Times New Roman"/>
                <w:kern w:val="0"/>
                <w:sz w:val="18"/>
                <w:szCs w:val="18"/>
              </w:rPr>
              <w:t>项目所在地</w:t>
            </w:r>
          </w:p>
          <w:p>
            <w:pPr>
              <w:jc w:val="center"/>
              <w:rPr>
                <w:rFonts w:ascii="Times New Roman" w:hAnsi="Times New Roman"/>
                <w:kern w:val="0"/>
                <w:sz w:val="18"/>
                <w:szCs w:val="18"/>
              </w:rPr>
            </w:pPr>
            <w:r>
              <w:rPr>
                <w:rFonts w:ascii="Times New Roman" w:hAnsi="Times New Roman"/>
                <w:kern w:val="0"/>
                <w:sz w:val="18"/>
                <w:szCs w:val="18"/>
              </w:rPr>
              <w:t>背景噪声值</w:t>
            </w:r>
          </w:p>
        </w:tc>
        <w:tc>
          <w:tcPr>
            <w:tcW w:w="606" w:type="dxa"/>
            <w:vAlign w:val="center"/>
          </w:tcPr>
          <w:p>
            <w:pPr>
              <w:jc w:val="center"/>
              <w:rPr>
                <w:rFonts w:ascii="Times New Roman" w:hAnsi="Times New Roman"/>
                <w:sz w:val="18"/>
                <w:szCs w:val="18"/>
              </w:rPr>
            </w:pPr>
            <w:r>
              <w:rPr>
                <w:rFonts w:ascii="Times New Roman" w:hAnsi="Times New Roman"/>
                <w:sz w:val="18"/>
                <w:szCs w:val="18"/>
              </w:rPr>
              <w:t>53.3</w:t>
            </w:r>
          </w:p>
        </w:tc>
        <w:tc>
          <w:tcPr>
            <w:tcW w:w="705" w:type="dxa"/>
            <w:vAlign w:val="center"/>
          </w:tcPr>
          <w:p>
            <w:pPr>
              <w:jc w:val="center"/>
              <w:rPr>
                <w:rFonts w:ascii="Times New Roman" w:hAnsi="Times New Roman"/>
                <w:sz w:val="18"/>
                <w:szCs w:val="18"/>
              </w:rPr>
            </w:pPr>
            <w:r>
              <w:rPr>
                <w:rFonts w:ascii="Times New Roman" w:hAnsi="Times New Roman"/>
                <w:sz w:val="18"/>
                <w:szCs w:val="18"/>
              </w:rPr>
              <w:t>48.3</w:t>
            </w:r>
          </w:p>
        </w:tc>
        <w:tc>
          <w:tcPr>
            <w:tcW w:w="699" w:type="dxa"/>
            <w:vAlign w:val="center"/>
          </w:tcPr>
          <w:p>
            <w:pPr>
              <w:jc w:val="center"/>
              <w:rPr>
                <w:rFonts w:ascii="Times New Roman" w:hAnsi="Times New Roman"/>
                <w:sz w:val="18"/>
                <w:szCs w:val="18"/>
              </w:rPr>
            </w:pPr>
            <w:r>
              <w:rPr>
                <w:rFonts w:ascii="Times New Roman" w:hAnsi="Times New Roman"/>
                <w:sz w:val="18"/>
                <w:szCs w:val="18"/>
              </w:rPr>
              <w:t>54.6</w:t>
            </w:r>
          </w:p>
        </w:tc>
        <w:tc>
          <w:tcPr>
            <w:tcW w:w="690" w:type="dxa"/>
            <w:vAlign w:val="center"/>
          </w:tcPr>
          <w:p>
            <w:pPr>
              <w:jc w:val="center"/>
              <w:rPr>
                <w:rFonts w:ascii="Times New Roman" w:hAnsi="Times New Roman"/>
                <w:sz w:val="18"/>
                <w:szCs w:val="18"/>
              </w:rPr>
            </w:pPr>
            <w:r>
              <w:rPr>
                <w:rFonts w:ascii="Times New Roman" w:hAnsi="Times New Roman"/>
                <w:sz w:val="18"/>
                <w:szCs w:val="18"/>
              </w:rPr>
              <w:t>46.9</w:t>
            </w:r>
          </w:p>
        </w:tc>
        <w:tc>
          <w:tcPr>
            <w:tcW w:w="660" w:type="dxa"/>
            <w:vAlign w:val="center"/>
          </w:tcPr>
          <w:p>
            <w:pPr>
              <w:jc w:val="center"/>
              <w:rPr>
                <w:rFonts w:ascii="Times New Roman" w:hAnsi="Times New Roman"/>
                <w:sz w:val="18"/>
                <w:szCs w:val="18"/>
              </w:rPr>
            </w:pPr>
            <w:r>
              <w:rPr>
                <w:rFonts w:ascii="Times New Roman" w:hAnsi="Times New Roman"/>
                <w:sz w:val="18"/>
                <w:szCs w:val="18"/>
              </w:rPr>
              <w:t>54.4</w:t>
            </w:r>
          </w:p>
        </w:tc>
        <w:tc>
          <w:tcPr>
            <w:tcW w:w="690" w:type="dxa"/>
            <w:vAlign w:val="center"/>
          </w:tcPr>
          <w:p>
            <w:pPr>
              <w:jc w:val="center"/>
              <w:rPr>
                <w:rFonts w:ascii="Times New Roman" w:hAnsi="Times New Roman"/>
                <w:sz w:val="18"/>
                <w:szCs w:val="18"/>
              </w:rPr>
            </w:pPr>
            <w:r>
              <w:rPr>
                <w:rFonts w:ascii="Times New Roman" w:hAnsi="Times New Roman"/>
                <w:sz w:val="18"/>
                <w:szCs w:val="18"/>
              </w:rPr>
              <w:t>48.6</w:t>
            </w:r>
          </w:p>
        </w:tc>
        <w:tc>
          <w:tcPr>
            <w:tcW w:w="630" w:type="dxa"/>
            <w:vAlign w:val="center"/>
          </w:tcPr>
          <w:p>
            <w:pPr>
              <w:jc w:val="center"/>
              <w:rPr>
                <w:rFonts w:ascii="Times New Roman" w:hAnsi="Times New Roman"/>
                <w:sz w:val="18"/>
                <w:szCs w:val="18"/>
              </w:rPr>
            </w:pPr>
            <w:r>
              <w:rPr>
                <w:rFonts w:ascii="Times New Roman" w:hAnsi="Times New Roman"/>
                <w:sz w:val="18"/>
                <w:szCs w:val="18"/>
              </w:rPr>
              <w:t>54.2</w:t>
            </w:r>
          </w:p>
        </w:tc>
        <w:tc>
          <w:tcPr>
            <w:tcW w:w="630" w:type="dxa"/>
            <w:vAlign w:val="center"/>
          </w:tcPr>
          <w:p>
            <w:pPr>
              <w:jc w:val="center"/>
              <w:rPr>
                <w:rFonts w:ascii="Times New Roman" w:hAnsi="Times New Roman"/>
                <w:sz w:val="18"/>
                <w:szCs w:val="18"/>
              </w:rPr>
            </w:pPr>
            <w:r>
              <w:rPr>
                <w:rFonts w:ascii="Times New Roman" w:hAnsi="Times New Roman"/>
                <w:sz w:val="18"/>
                <w:szCs w:val="18"/>
              </w:rPr>
              <w:t>48.8</w:t>
            </w:r>
          </w:p>
        </w:tc>
        <w:tc>
          <w:tcPr>
            <w:tcW w:w="645" w:type="dxa"/>
            <w:vAlign w:val="center"/>
          </w:tcPr>
          <w:p>
            <w:pPr>
              <w:jc w:val="center"/>
              <w:rPr>
                <w:rFonts w:ascii="Times New Roman" w:hAnsi="Times New Roman"/>
                <w:sz w:val="18"/>
                <w:szCs w:val="18"/>
              </w:rPr>
            </w:pPr>
            <w:r>
              <w:rPr>
                <w:rFonts w:ascii="Times New Roman" w:hAnsi="Times New Roman"/>
                <w:sz w:val="18"/>
                <w:szCs w:val="18"/>
              </w:rPr>
              <w:t>55</w:t>
            </w:r>
          </w:p>
        </w:tc>
        <w:tc>
          <w:tcPr>
            <w:tcW w:w="636" w:type="dxa"/>
            <w:vAlign w:val="center"/>
          </w:tcPr>
          <w:p>
            <w:pPr>
              <w:jc w:val="center"/>
              <w:rPr>
                <w:rFonts w:ascii="Times New Roman" w:hAnsi="Times New Roman"/>
                <w:sz w:val="18"/>
                <w:szCs w:val="18"/>
              </w:rPr>
            </w:pPr>
            <w:r>
              <w:rPr>
                <w:rFonts w:ascii="Times New Roman" w:hAnsi="Times New Roman"/>
                <w:sz w:val="18"/>
                <w:szCs w:val="18"/>
              </w:rPr>
              <w:t>46</w:t>
            </w:r>
          </w:p>
        </w:tc>
        <w:tc>
          <w:tcPr>
            <w:tcW w:w="540" w:type="dxa"/>
            <w:vAlign w:val="center"/>
          </w:tcPr>
          <w:p>
            <w:pPr>
              <w:jc w:val="center"/>
              <w:rPr>
                <w:rFonts w:ascii="Times New Roman" w:hAnsi="Times New Roman"/>
                <w:sz w:val="18"/>
                <w:szCs w:val="18"/>
              </w:rPr>
            </w:pPr>
            <w:r>
              <w:rPr>
                <w:rFonts w:ascii="Times New Roman" w:hAnsi="Times New Roman"/>
                <w:sz w:val="18"/>
                <w:szCs w:val="18"/>
              </w:rPr>
              <w:t>53</w:t>
            </w:r>
          </w:p>
        </w:tc>
        <w:tc>
          <w:tcPr>
            <w:tcW w:w="495" w:type="dxa"/>
            <w:vAlign w:val="center"/>
          </w:tcPr>
          <w:p>
            <w:pPr>
              <w:jc w:val="center"/>
              <w:rPr>
                <w:rFonts w:ascii="Times New Roman" w:hAnsi="Times New Roman"/>
                <w:sz w:val="18"/>
                <w:szCs w:val="18"/>
              </w:rPr>
            </w:pPr>
            <w:r>
              <w:rPr>
                <w:rFonts w:ascii="Times New Roman" w:hAnsi="Times New Roman"/>
                <w:sz w:val="18"/>
                <w:szCs w:val="18"/>
              </w:rPr>
              <w:t>47</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1163" w:type="dxa"/>
            <w:vAlign w:val="center"/>
          </w:tcPr>
          <w:p>
            <w:pPr>
              <w:jc w:val="center"/>
              <w:rPr>
                <w:rFonts w:ascii="Times New Roman" w:hAnsi="Times New Roman"/>
                <w:kern w:val="0"/>
                <w:sz w:val="18"/>
                <w:szCs w:val="18"/>
              </w:rPr>
            </w:pPr>
            <w:r>
              <w:rPr>
                <w:rFonts w:ascii="Times New Roman" w:hAnsi="Times New Roman"/>
                <w:kern w:val="0"/>
                <w:sz w:val="18"/>
                <w:szCs w:val="18"/>
              </w:rPr>
              <w:t>衰减至厂界</w:t>
            </w:r>
          </w:p>
        </w:tc>
        <w:tc>
          <w:tcPr>
            <w:tcW w:w="606" w:type="dxa"/>
            <w:vAlign w:val="center"/>
          </w:tcPr>
          <w:p>
            <w:pPr>
              <w:jc w:val="center"/>
              <w:rPr>
                <w:rFonts w:ascii="Times New Roman" w:hAnsi="Times New Roman"/>
                <w:sz w:val="18"/>
                <w:szCs w:val="18"/>
              </w:rPr>
            </w:pPr>
            <w:r>
              <w:rPr>
                <w:rFonts w:ascii="Times New Roman" w:hAnsi="Times New Roman"/>
                <w:sz w:val="18"/>
                <w:szCs w:val="18"/>
              </w:rPr>
              <w:t>33.98</w:t>
            </w:r>
          </w:p>
        </w:tc>
        <w:tc>
          <w:tcPr>
            <w:tcW w:w="705" w:type="dxa"/>
            <w:vAlign w:val="center"/>
          </w:tcPr>
          <w:p>
            <w:pPr>
              <w:jc w:val="center"/>
              <w:rPr>
                <w:rFonts w:ascii="Times New Roman" w:hAnsi="Times New Roman"/>
                <w:sz w:val="18"/>
                <w:szCs w:val="18"/>
              </w:rPr>
            </w:pPr>
            <w:r>
              <w:rPr>
                <w:rFonts w:ascii="Times New Roman" w:hAnsi="Times New Roman"/>
                <w:sz w:val="18"/>
                <w:szCs w:val="18"/>
              </w:rPr>
              <w:t>33.98</w:t>
            </w:r>
          </w:p>
        </w:tc>
        <w:tc>
          <w:tcPr>
            <w:tcW w:w="699" w:type="dxa"/>
            <w:vAlign w:val="center"/>
          </w:tcPr>
          <w:p>
            <w:pPr>
              <w:jc w:val="center"/>
              <w:rPr>
                <w:rFonts w:ascii="Times New Roman" w:hAnsi="Times New Roman"/>
                <w:sz w:val="18"/>
                <w:szCs w:val="18"/>
              </w:rPr>
            </w:pPr>
            <w:r>
              <w:rPr>
                <w:rFonts w:ascii="Times New Roman" w:hAnsi="Times New Roman"/>
                <w:sz w:val="18"/>
                <w:szCs w:val="18"/>
              </w:rPr>
              <w:t>19.17</w:t>
            </w:r>
          </w:p>
        </w:tc>
        <w:tc>
          <w:tcPr>
            <w:tcW w:w="690" w:type="dxa"/>
            <w:vAlign w:val="center"/>
          </w:tcPr>
          <w:p>
            <w:pPr>
              <w:jc w:val="center"/>
              <w:rPr>
                <w:rFonts w:ascii="Times New Roman" w:hAnsi="Times New Roman"/>
                <w:sz w:val="18"/>
                <w:szCs w:val="18"/>
              </w:rPr>
            </w:pPr>
            <w:r>
              <w:rPr>
                <w:rFonts w:ascii="Times New Roman" w:hAnsi="Times New Roman"/>
                <w:sz w:val="18"/>
                <w:szCs w:val="18"/>
              </w:rPr>
              <w:t>19.17</w:t>
            </w:r>
          </w:p>
        </w:tc>
        <w:tc>
          <w:tcPr>
            <w:tcW w:w="660" w:type="dxa"/>
            <w:vAlign w:val="center"/>
          </w:tcPr>
          <w:p>
            <w:pPr>
              <w:jc w:val="center"/>
              <w:rPr>
                <w:rFonts w:ascii="Times New Roman" w:hAnsi="Times New Roman"/>
                <w:sz w:val="18"/>
                <w:szCs w:val="18"/>
              </w:rPr>
            </w:pPr>
            <w:r>
              <w:rPr>
                <w:rFonts w:ascii="Times New Roman" w:hAnsi="Times New Roman"/>
                <w:sz w:val="18"/>
                <w:szCs w:val="18"/>
              </w:rPr>
              <w:t>40</w:t>
            </w:r>
          </w:p>
        </w:tc>
        <w:tc>
          <w:tcPr>
            <w:tcW w:w="690" w:type="dxa"/>
            <w:vAlign w:val="center"/>
          </w:tcPr>
          <w:p>
            <w:pPr>
              <w:jc w:val="center"/>
              <w:rPr>
                <w:rFonts w:ascii="Times New Roman" w:hAnsi="Times New Roman"/>
                <w:sz w:val="18"/>
                <w:szCs w:val="18"/>
              </w:rPr>
            </w:pPr>
            <w:r>
              <w:rPr>
                <w:rFonts w:ascii="Times New Roman" w:hAnsi="Times New Roman"/>
                <w:sz w:val="18"/>
                <w:szCs w:val="18"/>
              </w:rPr>
              <w:t>40</w:t>
            </w:r>
          </w:p>
        </w:tc>
        <w:tc>
          <w:tcPr>
            <w:tcW w:w="630" w:type="dxa"/>
            <w:vAlign w:val="center"/>
          </w:tcPr>
          <w:p>
            <w:pPr>
              <w:jc w:val="center"/>
              <w:rPr>
                <w:rFonts w:ascii="Times New Roman" w:hAnsi="Times New Roman"/>
                <w:sz w:val="18"/>
                <w:szCs w:val="18"/>
              </w:rPr>
            </w:pPr>
            <w:r>
              <w:rPr>
                <w:rFonts w:ascii="Times New Roman" w:hAnsi="Times New Roman"/>
                <w:sz w:val="18"/>
                <w:szCs w:val="18"/>
              </w:rPr>
              <w:t>33.98</w:t>
            </w:r>
          </w:p>
        </w:tc>
        <w:tc>
          <w:tcPr>
            <w:tcW w:w="630" w:type="dxa"/>
            <w:vAlign w:val="center"/>
          </w:tcPr>
          <w:p>
            <w:pPr>
              <w:jc w:val="center"/>
              <w:rPr>
                <w:rFonts w:ascii="Times New Roman" w:hAnsi="Times New Roman"/>
                <w:sz w:val="18"/>
                <w:szCs w:val="18"/>
              </w:rPr>
            </w:pPr>
            <w:r>
              <w:rPr>
                <w:rFonts w:ascii="Times New Roman" w:hAnsi="Times New Roman"/>
                <w:sz w:val="18"/>
                <w:szCs w:val="18"/>
              </w:rPr>
              <w:t>33.98</w:t>
            </w:r>
          </w:p>
        </w:tc>
        <w:tc>
          <w:tcPr>
            <w:tcW w:w="645" w:type="dxa"/>
            <w:vAlign w:val="center"/>
          </w:tcPr>
          <w:p>
            <w:pPr>
              <w:jc w:val="center"/>
              <w:rPr>
                <w:rFonts w:ascii="Times New Roman" w:hAnsi="Times New Roman"/>
                <w:sz w:val="18"/>
                <w:szCs w:val="18"/>
              </w:rPr>
            </w:pPr>
            <w:r>
              <w:rPr>
                <w:rFonts w:ascii="Times New Roman" w:hAnsi="Times New Roman"/>
                <w:sz w:val="18"/>
                <w:szCs w:val="18"/>
              </w:rPr>
              <w:t>30.46</w:t>
            </w:r>
          </w:p>
        </w:tc>
        <w:tc>
          <w:tcPr>
            <w:tcW w:w="636" w:type="dxa"/>
            <w:vAlign w:val="center"/>
          </w:tcPr>
          <w:p>
            <w:pPr>
              <w:jc w:val="center"/>
              <w:rPr>
                <w:rFonts w:ascii="Times New Roman" w:hAnsi="Times New Roman"/>
                <w:sz w:val="18"/>
                <w:szCs w:val="18"/>
              </w:rPr>
            </w:pPr>
            <w:r>
              <w:rPr>
                <w:rFonts w:ascii="Times New Roman" w:hAnsi="Times New Roman"/>
                <w:sz w:val="18"/>
                <w:szCs w:val="18"/>
              </w:rPr>
              <w:t>30.46</w:t>
            </w:r>
          </w:p>
        </w:tc>
        <w:tc>
          <w:tcPr>
            <w:tcW w:w="540" w:type="dxa"/>
            <w:vAlign w:val="center"/>
          </w:tcPr>
          <w:p>
            <w:pPr>
              <w:jc w:val="center"/>
              <w:rPr>
                <w:rFonts w:ascii="Times New Roman" w:hAnsi="Times New Roman"/>
                <w:sz w:val="18"/>
                <w:szCs w:val="18"/>
              </w:rPr>
            </w:pPr>
            <w:r>
              <w:rPr>
                <w:rFonts w:ascii="Times New Roman" w:hAnsi="Times New Roman"/>
                <w:sz w:val="18"/>
                <w:szCs w:val="18"/>
              </w:rPr>
              <w:t>18.79</w:t>
            </w:r>
          </w:p>
        </w:tc>
        <w:tc>
          <w:tcPr>
            <w:tcW w:w="495" w:type="dxa"/>
            <w:vAlign w:val="center"/>
          </w:tcPr>
          <w:p>
            <w:pPr>
              <w:jc w:val="center"/>
              <w:rPr>
                <w:rFonts w:ascii="Times New Roman" w:hAnsi="Times New Roman"/>
                <w:sz w:val="18"/>
                <w:szCs w:val="18"/>
              </w:rPr>
            </w:pPr>
            <w:r>
              <w:rPr>
                <w:rFonts w:ascii="Times New Roman" w:hAnsi="Times New Roman"/>
                <w:sz w:val="18"/>
                <w:szCs w:val="18"/>
              </w:rPr>
              <w:t>18.79</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1163" w:type="dxa"/>
            <w:vAlign w:val="center"/>
          </w:tcPr>
          <w:p>
            <w:pPr>
              <w:jc w:val="center"/>
              <w:rPr>
                <w:rFonts w:ascii="Times New Roman" w:hAnsi="Times New Roman"/>
                <w:kern w:val="0"/>
                <w:sz w:val="18"/>
                <w:szCs w:val="18"/>
              </w:rPr>
            </w:pPr>
            <w:r>
              <w:rPr>
                <w:rFonts w:ascii="Times New Roman" w:hAnsi="Times New Roman"/>
                <w:kern w:val="0"/>
                <w:sz w:val="18"/>
                <w:szCs w:val="18"/>
              </w:rPr>
              <w:t>叠加后预测值</w:t>
            </w:r>
          </w:p>
        </w:tc>
        <w:tc>
          <w:tcPr>
            <w:tcW w:w="606" w:type="dxa"/>
            <w:vAlign w:val="center"/>
          </w:tcPr>
          <w:p>
            <w:pPr>
              <w:jc w:val="center"/>
              <w:rPr>
                <w:rFonts w:ascii="Times New Roman" w:hAnsi="Times New Roman"/>
                <w:sz w:val="18"/>
                <w:szCs w:val="18"/>
              </w:rPr>
            </w:pPr>
            <w:r>
              <w:rPr>
                <w:rFonts w:ascii="Times New Roman" w:hAnsi="Times New Roman"/>
                <w:sz w:val="18"/>
                <w:szCs w:val="18"/>
              </w:rPr>
              <w:t>55.4</w:t>
            </w:r>
          </w:p>
        </w:tc>
        <w:tc>
          <w:tcPr>
            <w:tcW w:w="705" w:type="dxa"/>
            <w:vAlign w:val="center"/>
          </w:tcPr>
          <w:p>
            <w:pPr>
              <w:jc w:val="center"/>
              <w:rPr>
                <w:rFonts w:ascii="Times New Roman" w:hAnsi="Times New Roman"/>
                <w:sz w:val="18"/>
                <w:szCs w:val="18"/>
              </w:rPr>
            </w:pPr>
            <w:r>
              <w:rPr>
                <w:rFonts w:ascii="Times New Roman" w:hAnsi="Times New Roman"/>
                <w:sz w:val="18"/>
                <w:szCs w:val="18"/>
              </w:rPr>
              <w:t>48.5</w:t>
            </w:r>
          </w:p>
        </w:tc>
        <w:tc>
          <w:tcPr>
            <w:tcW w:w="699" w:type="dxa"/>
            <w:vAlign w:val="center"/>
          </w:tcPr>
          <w:p>
            <w:pPr>
              <w:jc w:val="center"/>
              <w:rPr>
                <w:rFonts w:ascii="Times New Roman" w:hAnsi="Times New Roman"/>
                <w:sz w:val="18"/>
                <w:szCs w:val="18"/>
              </w:rPr>
            </w:pPr>
            <w:r>
              <w:rPr>
                <w:rFonts w:ascii="Times New Roman" w:hAnsi="Times New Roman"/>
                <w:sz w:val="18"/>
                <w:szCs w:val="18"/>
              </w:rPr>
              <w:t>54.6</w:t>
            </w:r>
          </w:p>
        </w:tc>
        <w:tc>
          <w:tcPr>
            <w:tcW w:w="690" w:type="dxa"/>
            <w:vAlign w:val="center"/>
          </w:tcPr>
          <w:p>
            <w:pPr>
              <w:jc w:val="center"/>
              <w:rPr>
                <w:rFonts w:ascii="Times New Roman" w:hAnsi="Times New Roman"/>
                <w:sz w:val="18"/>
                <w:szCs w:val="18"/>
              </w:rPr>
            </w:pPr>
            <w:r>
              <w:rPr>
                <w:rFonts w:ascii="Times New Roman" w:hAnsi="Times New Roman"/>
                <w:sz w:val="18"/>
                <w:szCs w:val="18"/>
              </w:rPr>
              <w:t>46.9</w:t>
            </w:r>
          </w:p>
        </w:tc>
        <w:tc>
          <w:tcPr>
            <w:tcW w:w="660" w:type="dxa"/>
            <w:vAlign w:val="center"/>
          </w:tcPr>
          <w:p>
            <w:pPr>
              <w:jc w:val="center"/>
              <w:rPr>
                <w:rFonts w:ascii="Times New Roman" w:hAnsi="Times New Roman"/>
                <w:sz w:val="18"/>
                <w:szCs w:val="18"/>
              </w:rPr>
            </w:pPr>
            <w:r>
              <w:rPr>
                <w:rFonts w:ascii="Times New Roman" w:hAnsi="Times New Roman"/>
                <w:sz w:val="18"/>
                <w:szCs w:val="18"/>
              </w:rPr>
              <w:t>54.65</w:t>
            </w:r>
          </w:p>
        </w:tc>
        <w:tc>
          <w:tcPr>
            <w:tcW w:w="690" w:type="dxa"/>
            <w:vAlign w:val="center"/>
          </w:tcPr>
          <w:p>
            <w:pPr>
              <w:jc w:val="center"/>
              <w:rPr>
                <w:rFonts w:ascii="Times New Roman" w:hAnsi="Times New Roman"/>
                <w:sz w:val="18"/>
                <w:szCs w:val="18"/>
              </w:rPr>
            </w:pPr>
            <w:r>
              <w:rPr>
                <w:rFonts w:ascii="Times New Roman" w:hAnsi="Times New Roman"/>
                <w:sz w:val="18"/>
                <w:szCs w:val="18"/>
              </w:rPr>
              <w:t>49.2</w:t>
            </w:r>
          </w:p>
        </w:tc>
        <w:tc>
          <w:tcPr>
            <w:tcW w:w="630" w:type="dxa"/>
            <w:vAlign w:val="center"/>
          </w:tcPr>
          <w:p>
            <w:pPr>
              <w:jc w:val="center"/>
              <w:rPr>
                <w:rFonts w:ascii="Times New Roman" w:hAnsi="Times New Roman"/>
                <w:sz w:val="18"/>
                <w:szCs w:val="18"/>
              </w:rPr>
            </w:pPr>
            <w:r>
              <w:rPr>
                <w:rFonts w:ascii="Times New Roman" w:hAnsi="Times New Roman"/>
                <w:sz w:val="18"/>
                <w:szCs w:val="18"/>
              </w:rPr>
              <w:t>54.2</w:t>
            </w:r>
          </w:p>
        </w:tc>
        <w:tc>
          <w:tcPr>
            <w:tcW w:w="630" w:type="dxa"/>
            <w:vAlign w:val="center"/>
          </w:tcPr>
          <w:p>
            <w:pPr>
              <w:jc w:val="center"/>
              <w:rPr>
                <w:rFonts w:ascii="Times New Roman" w:hAnsi="Times New Roman"/>
                <w:sz w:val="18"/>
                <w:szCs w:val="18"/>
              </w:rPr>
            </w:pPr>
            <w:r>
              <w:rPr>
                <w:rFonts w:ascii="Times New Roman" w:hAnsi="Times New Roman"/>
                <w:sz w:val="18"/>
                <w:szCs w:val="18"/>
              </w:rPr>
              <w:t>48.9</w:t>
            </w:r>
          </w:p>
        </w:tc>
        <w:tc>
          <w:tcPr>
            <w:tcW w:w="645" w:type="dxa"/>
            <w:vAlign w:val="center"/>
          </w:tcPr>
          <w:p>
            <w:pPr>
              <w:jc w:val="center"/>
              <w:rPr>
                <w:rFonts w:ascii="Times New Roman" w:hAnsi="Times New Roman"/>
                <w:sz w:val="18"/>
                <w:szCs w:val="18"/>
              </w:rPr>
            </w:pPr>
            <w:r>
              <w:rPr>
                <w:rFonts w:ascii="Times New Roman" w:hAnsi="Times New Roman"/>
                <w:sz w:val="18"/>
                <w:szCs w:val="18"/>
              </w:rPr>
              <w:t>55.0</w:t>
            </w:r>
          </w:p>
        </w:tc>
        <w:tc>
          <w:tcPr>
            <w:tcW w:w="636" w:type="dxa"/>
            <w:vAlign w:val="center"/>
          </w:tcPr>
          <w:p>
            <w:pPr>
              <w:jc w:val="center"/>
              <w:rPr>
                <w:rFonts w:ascii="Times New Roman" w:hAnsi="Times New Roman"/>
                <w:sz w:val="18"/>
                <w:szCs w:val="18"/>
              </w:rPr>
            </w:pPr>
            <w:r>
              <w:rPr>
                <w:rFonts w:ascii="Times New Roman" w:hAnsi="Times New Roman"/>
                <w:sz w:val="18"/>
                <w:szCs w:val="18"/>
              </w:rPr>
              <w:t>46.1</w:t>
            </w:r>
          </w:p>
        </w:tc>
        <w:tc>
          <w:tcPr>
            <w:tcW w:w="540" w:type="dxa"/>
            <w:vAlign w:val="center"/>
          </w:tcPr>
          <w:p>
            <w:pPr>
              <w:jc w:val="center"/>
              <w:rPr>
                <w:rFonts w:ascii="Times New Roman" w:hAnsi="Times New Roman"/>
                <w:sz w:val="18"/>
                <w:szCs w:val="18"/>
              </w:rPr>
            </w:pPr>
            <w:r>
              <w:rPr>
                <w:rFonts w:ascii="Times New Roman" w:hAnsi="Times New Roman"/>
                <w:sz w:val="18"/>
                <w:szCs w:val="18"/>
              </w:rPr>
              <w:t>53.0</w:t>
            </w:r>
          </w:p>
        </w:tc>
        <w:tc>
          <w:tcPr>
            <w:tcW w:w="495" w:type="dxa"/>
            <w:vAlign w:val="center"/>
          </w:tcPr>
          <w:p>
            <w:pPr>
              <w:jc w:val="center"/>
              <w:rPr>
                <w:rFonts w:ascii="Times New Roman" w:hAnsi="Times New Roman"/>
                <w:sz w:val="18"/>
                <w:szCs w:val="18"/>
              </w:rPr>
            </w:pPr>
            <w:r>
              <w:rPr>
                <w:rFonts w:ascii="Times New Roman" w:hAnsi="Times New Roman"/>
                <w:sz w:val="18"/>
                <w:szCs w:val="18"/>
              </w:rPr>
              <w:t>47.0</w:t>
            </w:r>
          </w:p>
        </w:tc>
      </w:tr>
    </w:tbl>
    <w:p>
      <w:pPr>
        <w:tabs>
          <w:tab w:val="left" w:pos="7380"/>
        </w:tabs>
        <w:spacing w:line="470" w:lineRule="exact"/>
        <w:ind w:firstLine="480" w:firstLineChars="200"/>
        <w:rPr>
          <w:rFonts w:ascii="Times New Roman" w:hAnsi="Times New Roman"/>
          <w:sz w:val="24"/>
        </w:rPr>
      </w:pPr>
      <w:r>
        <w:rPr>
          <w:rFonts w:ascii="Times New Roman" w:hAnsi="Times New Roman"/>
          <w:sz w:val="24"/>
        </w:rPr>
        <w:t>从表5.2-2可知，建设项目场界各预测点的昼夜噪声预测值均可达到《工业企业厂界环境噪声排放标准》（GB12348-2008）中2类标准。由于项目周围除2户已签订协议的联合养殖户外，无其他散居住户。故本项目噪声对外环境影响较小。</w:t>
      </w:r>
    </w:p>
    <w:p>
      <w:pPr>
        <w:pStyle w:val="103"/>
        <w:numPr>
          <w:ilvl w:val="0"/>
          <w:numId w:val="0"/>
        </w:numPr>
        <w:rPr>
          <w:rFonts w:ascii="Times New Roman" w:hAnsi="Times New Roman"/>
          <w:b w:val="0"/>
          <w:bCs/>
          <w:kern w:val="28"/>
          <w:sz w:val="32"/>
          <w:szCs w:val="32"/>
        </w:rPr>
      </w:pPr>
      <w:bookmarkStart w:id="235" w:name="_Toc9873380"/>
      <w:r>
        <w:rPr>
          <w:rFonts w:ascii="Times New Roman" w:hAnsi="Times New Roman"/>
          <w:b w:val="0"/>
          <w:bCs/>
          <w:kern w:val="28"/>
          <w:sz w:val="32"/>
          <w:szCs w:val="32"/>
        </w:rPr>
        <w:t>5.3  废水对地表水影响预测评价</w:t>
      </w:r>
      <w:bookmarkEnd w:id="235"/>
    </w:p>
    <w:p>
      <w:pPr>
        <w:spacing w:line="470" w:lineRule="exact"/>
        <w:ind w:firstLine="600" w:firstLineChars="250"/>
        <w:rPr>
          <w:rFonts w:ascii="Times New Roman" w:hAnsi="Times New Roman"/>
          <w:sz w:val="24"/>
        </w:rPr>
      </w:pPr>
      <w:r>
        <w:rPr>
          <w:rFonts w:ascii="Times New Roman" w:hAnsi="Times New Roman"/>
          <w:sz w:val="24"/>
        </w:rPr>
        <w:t>养殖场污水主要为猪尿、猪只降温水、固液分离机分离后的养殖废水，污水有机物浓度高、悬浮物多、氨氮含量大、臭味大。污水中主要污染物质为COD、BOD</w:t>
      </w:r>
      <w:r>
        <w:rPr>
          <w:rFonts w:ascii="Times New Roman" w:hAnsi="Times New Roman"/>
          <w:sz w:val="24"/>
          <w:vertAlign w:val="subscript"/>
        </w:rPr>
        <w:t>5</w:t>
      </w:r>
      <w:r>
        <w:rPr>
          <w:rFonts w:ascii="Times New Roman" w:hAnsi="Times New Roman"/>
          <w:sz w:val="24"/>
        </w:rPr>
        <w:t>、NH</w:t>
      </w:r>
      <w:r>
        <w:rPr>
          <w:rFonts w:ascii="Times New Roman" w:hAnsi="Times New Roman"/>
          <w:sz w:val="24"/>
          <w:vertAlign w:val="subscript"/>
        </w:rPr>
        <w:t>3</w:t>
      </w:r>
      <w:r>
        <w:rPr>
          <w:rFonts w:ascii="Times New Roman" w:hAnsi="Times New Roman"/>
          <w:sz w:val="24"/>
        </w:rPr>
        <w:t>-N、TP、SS。经类比分析和计算，污染物浓度见下表。</w:t>
      </w:r>
    </w:p>
    <w:p>
      <w:pPr>
        <w:spacing w:line="460" w:lineRule="exact"/>
        <w:ind w:right="525"/>
        <w:jc w:val="center"/>
        <w:rPr>
          <w:rFonts w:ascii="Times New Roman" w:hAnsi="Times New Roman" w:eastAsia="黑体"/>
          <w:b/>
          <w:sz w:val="21"/>
          <w:szCs w:val="21"/>
        </w:rPr>
      </w:pPr>
      <w:r>
        <w:rPr>
          <w:rFonts w:ascii="Times New Roman" w:hAnsi="Times New Roman" w:eastAsia="黑体"/>
          <w:sz w:val="21"/>
          <w:szCs w:val="21"/>
        </w:rPr>
        <w:t>表5.3-1 污染物产生浓度</w:t>
      </w:r>
      <w:r>
        <w:rPr>
          <w:rFonts w:ascii="Times New Roman" w:hAnsi="Times New Roman" w:eastAsia="黑体"/>
          <w:b/>
          <w:sz w:val="21"/>
          <w:szCs w:val="21"/>
        </w:rPr>
        <w:t xml:space="preserve">  </w:t>
      </w:r>
      <w:r>
        <w:rPr>
          <w:rFonts w:ascii="Times New Roman" w:hAnsi="Times New Roman" w:eastAsia="黑体"/>
          <w:sz w:val="21"/>
          <w:szCs w:val="21"/>
        </w:rPr>
        <w:t>单位：mg/l</w:t>
      </w:r>
    </w:p>
    <w:tbl>
      <w:tblPr>
        <w:tblStyle w:val="90"/>
        <w:tblW w:w="8206"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844"/>
        <w:gridCol w:w="914"/>
        <w:gridCol w:w="939"/>
        <w:gridCol w:w="740"/>
        <w:gridCol w:w="811"/>
        <w:gridCol w:w="638"/>
        <w:gridCol w:w="132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1" w:hRule="atLeast"/>
          <w:jc w:val="center"/>
        </w:trPr>
        <w:tc>
          <w:tcPr>
            <w:tcW w:w="2844" w:type="dxa"/>
            <w:vAlign w:val="center"/>
          </w:tcPr>
          <w:p>
            <w:pPr>
              <w:spacing w:line="360" w:lineRule="atLeast"/>
              <w:jc w:val="center"/>
              <w:rPr>
                <w:rFonts w:ascii="Times New Roman" w:hAnsi="Times New Roman"/>
                <w:sz w:val="21"/>
                <w:szCs w:val="21"/>
              </w:rPr>
            </w:pPr>
            <w:r>
              <w:rPr>
                <w:rFonts w:ascii="Times New Roman" w:hAnsi="Times New Roman"/>
                <w:sz w:val="21"/>
                <w:szCs w:val="21"/>
              </w:rPr>
              <w:t>项目</w:t>
            </w:r>
          </w:p>
        </w:tc>
        <w:tc>
          <w:tcPr>
            <w:tcW w:w="914" w:type="dxa"/>
            <w:vAlign w:val="center"/>
          </w:tcPr>
          <w:p>
            <w:pPr>
              <w:spacing w:line="360" w:lineRule="atLeast"/>
              <w:jc w:val="center"/>
              <w:rPr>
                <w:rFonts w:ascii="Times New Roman" w:hAnsi="Times New Roman"/>
                <w:sz w:val="21"/>
                <w:szCs w:val="21"/>
              </w:rPr>
            </w:pPr>
            <w:r>
              <w:rPr>
                <w:rFonts w:ascii="Times New Roman" w:hAnsi="Times New Roman"/>
                <w:sz w:val="21"/>
                <w:szCs w:val="21"/>
              </w:rPr>
              <w:t>COD</w:t>
            </w:r>
          </w:p>
        </w:tc>
        <w:tc>
          <w:tcPr>
            <w:tcW w:w="939" w:type="dxa"/>
            <w:vAlign w:val="center"/>
          </w:tcPr>
          <w:p>
            <w:pPr>
              <w:spacing w:line="360" w:lineRule="atLeast"/>
              <w:jc w:val="center"/>
              <w:rPr>
                <w:rFonts w:ascii="Times New Roman" w:hAnsi="Times New Roman"/>
                <w:sz w:val="21"/>
                <w:szCs w:val="21"/>
              </w:rPr>
            </w:pPr>
            <w:r>
              <w:rPr>
                <w:rFonts w:ascii="Times New Roman" w:hAnsi="Times New Roman"/>
                <w:sz w:val="21"/>
                <w:szCs w:val="21"/>
              </w:rPr>
              <w:t>BOD</w:t>
            </w:r>
            <w:r>
              <w:rPr>
                <w:rFonts w:ascii="Times New Roman" w:hAnsi="Times New Roman"/>
                <w:sz w:val="21"/>
                <w:szCs w:val="21"/>
                <w:vertAlign w:val="subscript"/>
              </w:rPr>
              <w:t>5</w:t>
            </w:r>
          </w:p>
        </w:tc>
        <w:tc>
          <w:tcPr>
            <w:tcW w:w="740" w:type="dxa"/>
            <w:vAlign w:val="center"/>
          </w:tcPr>
          <w:p>
            <w:pPr>
              <w:spacing w:line="360" w:lineRule="atLeast"/>
              <w:jc w:val="center"/>
              <w:rPr>
                <w:rFonts w:ascii="Times New Roman" w:hAnsi="Times New Roman"/>
                <w:sz w:val="21"/>
                <w:szCs w:val="21"/>
              </w:rPr>
            </w:pPr>
            <w:r>
              <w:rPr>
                <w:rFonts w:ascii="Times New Roman" w:hAnsi="Times New Roman"/>
                <w:sz w:val="21"/>
                <w:szCs w:val="21"/>
              </w:rPr>
              <w:t>SS</w:t>
            </w:r>
          </w:p>
        </w:tc>
        <w:tc>
          <w:tcPr>
            <w:tcW w:w="811" w:type="dxa"/>
            <w:vAlign w:val="center"/>
          </w:tcPr>
          <w:p>
            <w:pPr>
              <w:spacing w:line="360" w:lineRule="atLeast"/>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-N</w:t>
            </w:r>
          </w:p>
        </w:tc>
        <w:tc>
          <w:tcPr>
            <w:tcW w:w="638" w:type="dxa"/>
            <w:vAlign w:val="center"/>
          </w:tcPr>
          <w:p>
            <w:pPr>
              <w:spacing w:line="360" w:lineRule="atLeast"/>
              <w:jc w:val="center"/>
              <w:rPr>
                <w:rFonts w:ascii="Times New Roman" w:hAnsi="Times New Roman"/>
                <w:sz w:val="21"/>
                <w:szCs w:val="21"/>
              </w:rPr>
            </w:pPr>
            <w:r>
              <w:rPr>
                <w:rFonts w:ascii="Times New Roman" w:hAnsi="Times New Roman"/>
                <w:sz w:val="21"/>
                <w:szCs w:val="21"/>
              </w:rPr>
              <w:t xml:space="preserve">TP </w:t>
            </w:r>
          </w:p>
        </w:tc>
        <w:tc>
          <w:tcPr>
            <w:tcW w:w="1320" w:type="dxa"/>
            <w:vAlign w:val="center"/>
          </w:tcPr>
          <w:p>
            <w:pPr>
              <w:spacing w:line="360" w:lineRule="atLeast"/>
              <w:jc w:val="center"/>
              <w:rPr>
                <w:rFonts w:ascii="Times New Roman" w:hAnsi="Times New Roman"/>
                <w:sz w:val="21"/>
                <w:szCs w:val="21"/>
              </w:rPr>
            </w:pPr>
            <w:r>
              <w:rPr>
                <w:rFonts w:ascii="Times New Roman" w:hAnsi="Times New Roman"/>
                <w:sz w:val="21"/>
                <w:szCs w:val="21"/>
              </w:rPr>
              <w:t>粪大肠菌群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20" w:hRule="atLeast"/>
          <w:jc w:val="center"/>
        </w:trPr>
        <w:tc>
          <w:tcPr>
            <w:tcW w:w="2844" w:type="dxa"/>
            <w:vAlign w:val="center"/>
          </w:tcPr>
          <w:p>
            <w:pPr>
              <w:spacing w:line="360" w:lineRule="atLeast"/>
              <w:jc w:val="center"/>
              <w:rPr>
                <w:rFonts w:ascii="Times New Roman" w:hAnsi="Times New Roman"/>
                <w:sz w:val="21"/>
                <w:szCs w:val="21"/>
              </w:rPr>
            </w:pPr>
            <w:r>
              <w:rPr>
                <w:rFonts w:ascii="Times New Roman" w:hAnsi="Times New Roman"/>
                <w:sz w:val="21"/>
                <w:szCs w:val="21"/>
              </w:rPr>
              <w:t>本项目干湿分离后养殖废水</w:t>
            </w:r>
          </w:p>
        </w:tc>
        <w:tc>
          <w:tcPr>
            <w:tcW w:w="914" w:type="dxa"/>
            <w:vAlign w:val="center"/>
          </w:tcPr>
          <w:p>
            <w:pPr>
              <w:spacing w:line="360" w:lineRule="atLeast"/>
              <w:jc w:val="center"/>
              <w:rPr>
                <w:rFonts w:ascii="Times New Roman" w:hAnsi="Times New Roman"/>
                <w:sz w:val="21"/>
                <w:szCs w:val="21"/>
              </w:rPr>
            </w:pPr>
            <w:r>
              <w:rPr>
                <w:rFonts w:ascii="Times New Roman" w:hAnsi="Times New Roman"/>
                <w:sz w:val="21"/>
                <w:szCs w:val="21"/>
              </w:rPr>
              <w:t>3000</w:t>
            </w:r>
          </w:p>
        </w:tc>
        <w:tc>
          <w:tcPr>
            <w:tcW w:w="939" w:type="dxa"/>
            <w:vAlign w:val="center"/>
          </w:tcPr>
          <w:p>
            <w:pPr>
              <w:spacing w:line="360" w:lineRule="atLeast"/>
              <w:jc w:val="center"/>
              <w:rPr>
                <w:rFonts w:ascii="Times New Roman" w:hAnsi="Times New Roman"/>
                <w:sz w:val="21"/>
                <w:szCs w:val="21"/>
              </w:rPr>
            </w:pPr>
            <w:r>
              <w:rPr>
                <w:rFonts w:ascii="Times New Roman" w:hAnsi="Times New Roman"/>
                <w:sz w:val="21"/>
                <w:szCs w:val="21"/>
              </w:rPr>
              <w:t>1800</w:t>
            </w:r>
          </w:p>
        </w:tc>
        <w:tc>
          <w:tcPr>
            <w:tcW w:w="740" w:type="dxa"/>
            <w:vAlign w:val="center"/>
          </w:tcPr>
          <w:p>
            <w:pPr>
              <w:spacing w:line="360" w:lineRule="atLeast"/>
              <w:jc w:val="center"/>
              <w:rPr>
                <w:rFonts w:ascii="Times New Roman" w:hAnsi="Times New Roman"/>
                <w:sz w:val="21"/>
                <w:szCs w:val="21"/>
              </w:rPr>
            </w:pPr>
            <w:r>
              <w:rPr>
                <w:rFonts w:ascii="Times New Roman" w:hAnsi="Times New Roman"/>
                <w:sz w:val="21"/>
                <w:szCs w:val="21"/>
              </w:rPr>
              <w:t>3600</w:t>
            </w:r>
          </w:p>
        </w:tc>
        <w:tc>
          <w:tcPr>
            <w:tcW w:w="811" w:type="dxa"/>
            <w:vAlign w:val="center"/>
          </w:tcPr>
          <w:p>
            <w:pPr>
              <w:spacing w:line="360" w:lineRule="atLeast"/>
              <w:jc w:val="center"/>
              <w:rPr>
                <w:rFonts w:ascii="Times New Roman" w:hAnsi="Times New Roman"/>
                <w:sz w:val="21"/>
                <w:szCs w:val="21"/>
              </w:rPr>
            </w:pPr>
            <w:r>
              <w:rPr>
                <w:rFonts w:ascii="Times New Roman" w:hAnsi="Times New Roman"/>
                <w:sz w:val="21"/>
                <w:szCs w:val="21"/>
              </w:rPr>
              <w:t>500</w:t>
            </w:r>
          </w:p>
        </w:tc>
        <w:tc>
          <w:tcPr>
            <w:tcW w:w="638" w:type="dxa"/>
          </w:tcPr>
          <w:p>
            <w:pPr>
              <w:spacing w:line="360" w:lineRule="atLeast"/>
              <w:jc w:val="center"/>
              <w:rPr>
                <w:rFonts w:ascii="Times New Roman" w:hAnsi="Times New Roman"/>
                <w:sz w:val="21"/>
                <w:szCs w:val="21"/>
              </w:rPr>
            </w:pPr>
            <w:r>
              <w:rPr>
                <w:rFonts w:ascii="Times New Roman" w:hAnsi="Times New Roman"/>
                <w:sz w:val="21"/>
                <w:szCs w:val="21"/>
              </w:rPr>
              <w:t>100</w:t>
            </w:r>
          </w:p>
        </w:tc>
        <w:tc>
          <w:tcPr>
            <w:tcW w:w="1320" w:type="dxa"/>
          </w:tcPr>
          <w:p>
            <w:pPr>
              <w:spacing w:line="360" w:lineRule="atLeast"/>
              <w:jc w:val="center"/>
              <w:rPr>
                <w:rFonts w:ascii="Times New Roman" w:hAnsi="Times New Roman"/>
                <w:sz w:val="21"/>
                <w:szCs w:val="21"/>
              </w:rPr>
            </w:pPr>
            <w:r>
              <w:rPr>
                <w:rFonts w:ascii="Times New Roman" w:hAnsi="Times New Roman"/>
                <w:sz w:val="21"/>
                <w:szCs w:val="21"/>
              </w:rPr>
              <w:t>22000个</w:t>
            </w:r>
            <w:r>
              <w:rPr>
                <w:rFonts w:ascii="Times New Roman" w:hAnsi="Times New Roman"/>
                <w:bCs/>
                <w:sz w:val="21"/>
                <w:szCs w:val="21"/>
              </w:rPr>
              <w:t>/mL</w:t>
            </w:r>
          </w:p>
        </w:tc>
      </w:tr>
    </w:tbl>
    <w:p>
      <w:pPr>
        <w:pStyle w:val="118"/>
        <w:widowControl w:val="0"/>
        <w:snapToGrid w:val="0"/>
        <w:spacing w:line="470" w:lineRule="exact"/>
        <w:ind w:firstLine="480" w:firstLineChars="200"/>
        <w:rPr>
          <w:rFonts w:ascii="Times New Roman" w:hAnsi="Times New Roman" w:cs="Times New Roman"/>
          <w:szCs w:val="21"/>
        </w:rPr>
      </w:pPr>
      <w:r>
        <w:rPr>
          <w:rFonts w:ascii="Times New Roman" w:hAnsi="Times New Roman" w:cs="Times New Roman"/>
        </w:rPr>
        <w:t>项目污水采用“固液分离+180天厌氧发酵”处理模式，项目废水经沼气池处理后，储存于储液池，定期由</w:t>
      </w:r>
      <w:r>
        <w:rPr>
          <w:rFonts w:ascii="Times New Roman" w:hAnsi="Times New Roman" w:cs="Times New Roman"/>
          <w:szCs w:val="21"/>
        </w:rPr>
        <w:t>成都市洁环畜禽粪便收集服务专业合作社收运，用于还田，不直接排入地表水体，故对水环境无影响。</w:t>
      </w:r>
    </w:p>
    <w:p>
      <w:pPr>
        <w:snapToGrid w:val="0"/>
        <w:spacing w:line="460" w:lineRule="exact"/>
        <w:ind w:firstLine="480" w:firstLineChars="200"/>
        <w:rPr>
          <w:rFonts w:ascii="Times New Roman" w:hAnsi="Times New Roman"/>
          <w:sz w:val="24"/>
        </w:rPr>
      </w:pPr>
      <w:r>
        <w:rPr>
          <w:rFonts w:ascii="Times New Roman" w:hAnsi="Times New Roman"/>
          <w:sz w:val="24"/>
        </w:rPr>
        <w:t>根据《畜禽养殖业污染物排放标准》（GB18596-2001），本项目采用处理模式属于其中的模式</w:t>
      </w:r>
      <w:r>
        <w:rPr>
          <w:rFonts w:hint="eastAsia" w:ascii="宋体" w:hAnsi="宋体" w:cs="宋体"/>
          <w:sz w:val="24"/>
        </w:rPr>
        <w:t>Ⅰ</w:t>
      </w:r>
      <w:r>
        <w:rPr>
          <w:rFonts w:ascii="Times New Roman" w:hAnsi="Times New Roman"/>
          <w:sz w:val="24"/>
        </w:rPr>
        <w:t>，适用于能源需求不大，主要以降低有机物浓度、减少沼液和沼渣消纳所需配套的土地面积为目的，且养殖场周围具有足够土地面积全部消纳低浓度沼液，并且有一定的土地轮作面积的情况。</w:t>
      </w:r>
    </w:p>
    <w:p>
      <w:pPr>
        <w:pStyle w:val="118"/>
        <w:widowControl w:val="0"/>
        <w:snapToGrid w:val="0"/>
        <w:spacing w:line="470" w:lineRule="exact"/>
        <w:ind w:firstLine="480" w:firstLineChars="200"/>
        <w:rPr>
          <w:rFonts w:ascii="Times New Roman" w:hAnsi="Times New Roman" w:cs="Times New Roman"/>
        </w:rPr>
      </w:pPr>
      <w:r>
        <w:rPr>
          <w:rFonts w:ascii="Times New Roman" w:hAnsi="Times New Roman" w:cs="Times New Roman"/>
        </w:rPr>
        <w:t>本项目产生的沼液作为农肥使用，只要合理施用农肥，其营养成分可直接被农作物吸收，参与光合作用，从而增加产量，提高品质。是生产无公害产品，绿色产品的天然有机肥料之一。此外，发酵后的粪肥作为有机肥料，还有改良土壤、防治病虫害等作用。</w:t>
      </w:r>
    </w:p>
    <w:p>
      <w:pPr>
        <w:pStyle w:val="118"/>
        <w:widowControl w:val="0"/>
        <w:snapToGrid w:val="0"/>
        <w:spacing w:line="470" w:lineRule="exact"/>
        <w:ind w:firstLine="480" w:firstLineChars="200"/>
        <w:rPr>
          <w:rFonts w:ascii="Times New Roman" w:hAnsi="Times New Roman" w:cs="Times New Roman"/>
        </w:rPr>
      </w:pPr>
      <w:r>
        <w:rPr>
          <w:rFonts w:ascii="Times New Roman" w:hAnsi="Times New Roman" w:cs="Times New Roman"/>
        </w:rPr>
        <w:t>综上分析，本项目废水作为有机农肥使用，不外排。本项目的建设对地表水环境不会造成影响。</w:t>
      </w:r>
    </w:p>
    <w:p>
      <w:pPr>
        <w:pStyle w:val="103"/>
        <w:numPr>
          <w:ilvl w:val="0"/>
          <w:numId w:val="0"/>
        </w:numPr>
        <w:rPr>
          <w:rFonts w:ascii="Times New Roman" w:hAnsi="Times New Roman"/>
          <w:b w:val="0"/>
          <w:bCs/>
          <w:kern w:val="28"/>
          <w:sz w:val="32"/>
          <w:szCs w:val="32"/>
        </w:rPr>
      </w:pPr>
      <w:bookmarkStart w:id="236" w:name="_Toc9873381"/>
      <w:r>
        <w:rPr>
          <w:rFonts w:ascii="Times New Roman" w:hAnsi="Times New Roman"/>
          <w:b w:val="0"/>
          <w:bCs/>
          <w:kern w:val="28"/>
          <w:sz w:val="32"/>
          <w:szCs w:val="32"/>
        </w:rPr>
        <w:t>5.4 地下水影响分析</w:t>
      </w:r>
      <w:bookmarkEnd w:id="230"/>
      <w:bookmarkEnd w:id="236"/>
    </w:p>
    <w:p>
      <w:pPr>
        <w:pStyle w:val="118"/>
        <w:widowControl w:val="0"/>
        <w:snapToGrid w:val="0"/>
        <w:spacing w:line="470" w:lineRule="exact"/>
        <w:ind w:firstLine="482" w:firstLineChars="200"/>
        <w:rPr>
          <w:rFonts w:ascii="Times New Roman" w:hAnsi="Times New Roman" w:cs="Times New Roman"/>
          <w:b/>
        </w:rPr>
      </w:pPr>
      <w:bookmarkStart w:id="237" w:name="_Toc75504116"/>
      <w:bookmarkStart w:id="238" w:name="_Toc76439306"/>
      <w:r>
        <w:rPr>
          <w:rFonts w:ascii="Times New Roman" w:hAnsi="Times New Roman" w:cs="Times New Roman"/>
          <w:b/>
        </w:rPr>
        <w:t>（1）区域水文地质特征</w:t>
      </w:r>
    </w:p>
    <w:p>
      <w:pPr>
        <w:pStyle w:val="118"/>
        <w:widowControl w:val="0"/>
        <w:snapToGrid w:val="0"/>
        <w:spacing w:line="470" w:lineRule="exact"/>
        <w:ind w:firstLine="480" w:firstLineChars="200"/>
        <w:rPr>
          <w:rFonts w:ascii="Times New Roman" w:hAnsi="Times New Roman" w:cs="Times New Roman"/>
        </w:rPr>
      </w:pPr>
      <w:r>
        <w:rPr>
          <w:rFonts w:ascii="Times New Roman" w:hAnsi="Times New Roman" w:cs="Times New Roman"/>
        </w:rPr>
        <w:t>区域地下水主要由大气降水补给，场区内地下水类型主要为松散堆积砂卵石层（Q）孔隙水，水量较丰富，单孔出水量约100-500m</w:t>
      </w:r>
      <w:r>
        <w:rPr>
          <w:rFonts w:ascii="Times New Roman" w:hAnsi="Times New Roman" w:cs="Times New Roman"/>
          <w:vertAlign w:val="superscript"/>
        </w:rPr>
        <w:t>3</w:t>
      </w:r>
      <w:r>
        <w:rPr>
          <w:rFonts w:ascii="Times New Roman" w:hAnsi="Times New Roman" w:cs="Times New Roman"/>
        </w:rPr>
        <w:t>/昼夜。项目场地地下水主要类型为孔隙潜水，孔隙潜水赋存于卵石层中，为大气降水及地下水径流排泄补给，排泄方式也以地下水径流排泄为主。卵石层具有较强的渗透性，其渗透系数可按18m/d选用。根据区域有关资料，场地稳定水位在12.8-15.0m左右，场地水位一般年变幅为1.5-2.0m左右。</w:t>
      </w:r>
    </w:p>
    <w:p>
      <w:pPr>
        <w:pStyle w:val="118"/>
        <w:widowControl w:val="0"/>
        <w:snapToGrid w:val="0"/>
        <w:spacing w:line="470" w:lineRule="exact"/>
        <w:ind w:firstLine="482" w:firstLineChars="200"/>
        <w:rPr>
          <w:rFonts w:ascii="Times New Roman" w:hAnsi="Times New Roman" w:cs="Times New Roman"/>
          <w:b/>
        </w:rPr>
      </w:pPr>
      <w:r>
        <w:rPr>
          <w:rFonts w:ascii="Times New Roman" w:hAnsi="Times New Roman" w:cs="Times New Roman"/>
          <w:b/>
        </w:rPr>
        <w:t>（2）项目主要渗漏污染因素分析如下：</w:t>
      </w:r>
    </w:p>
    <w:p>
      <w:pPr>
        <w:pStyle w:val="118"/>
        <w:widowControl w:val="0"/>
        <w:snapToGrid w:val="0"/>
        <w:spacing w:line="470" w:lineRule="exact"/>
        <w:ind w:firstLine="480" w:firstLineChars="200"/>
        <w:rPr>
          <w:rFonts w:ascii="Times New Roman" w:hAnsi="Times New Roman" w:cs="Times New Roman"/>
        </w:rPr>
      </w:pPr>
      <w:r>
        <w:rPr>
          <w:rFonts w:hint="eastAsia" w:ascii="宋体" w:hAnsi="宋体" w:cs="宋体"/>
        </w:rPr>
        <w:t>①</w:t>
      </w:r>
      <w:r>
        <w:rPr>
          <w:rFonts w:ascii="Times New Roman" w:hAnsi="Times New Roman" w:cs="Times New Roman"/>
        </w:rPr>
        <w:t>圈舍下废水储池及污水管道污水下渗：圈舍每天都有猪粪便产生，若废水储池防渗措施做不好，下雨时，污染物会逐渐下渗影响浅层地下水；圈舍等场地当防渗措施达不到要求时，也会有废水污染物下渗污染地下水。</w:t>
      </w:r>
    </w:p>
    <w:p>
      <w:pPr>
        <w:pStyle w:val="118"/>
        <w:widowControl w:val="0"/>
        <w:snapToGrid w:val="0"/>
        <w:spacing w:line="470" w:lineRule="exact"/>
        <w:ind w:firstLine="480" w:firstLineChars="200"/>
        <w:rPr>
          <w:rFonts w:ascii="Times New Roman" w:hAnsi="Times New Roman" w:cs="Times New Roman"/>
        </w:rPr>
      </w:pPr>
      <w:r>
        <w:rPr>
          <w:rFonts w:hint="eastAsia" w:ascii="宋体" w:hAnsi="宋体" w:cs="宋体"/>
        </w:rPr>
        <w:t>②</w:t>
      </w:r>
      <w:r>
        <w:rPr>
          <w:rFonts w:ascii="Times New Roman" w:hAnsi="Times New Roman" w:cs="Times New Roman"/>
        </w:rPr>
        <w:t>废水排污渠道的渗漏：受污染的渠水通过两侧或底部可渗入含水层。</w:t>
      </w:r>
    </w:p>
    <w:p>
      <w:pPr>
        <w:pStyle w:val="118"/>
        <w:widowControl w:val="0"/>
        <w:snapToGrid w:val="0"/>
        <w:spacing w:line="470" w:lineRule="exact"/>
        <w:ind w:firstLine="480" w:firstLineChars="200"/>
        <w:rPr>
          <w:rFonts w:ascii="Times New Roman" w:hAnsi="Times New Roman" w:cs="Times New Roman"/>
        </w:rPr>
      </w:pPr>
      <w:r>
        <w:rPr>
          <w:rFonts w:hint="eastAsia" w:ascii="宋体" w:hAnsi="宋体" w:cs="宋体"/>
        </w:rPr>
        <w:t>③</w:t>
      </w:r>
      <w:r>
        <w:rPr>
          <w:rFonts w:ascii="Times New Roman" w:hAnsi="Times New Roman" w:cs="Times New Roman"/>
        </w:rPr>
        <w:t>贮存池的渗漏：贮存池防渗措施达不到要求时，污水会通过贮存池底和侧面渗入地下。</w:t>
      </w:r>
    </w:p>
    <w:p>
      <w:pPr>
        <w:pStyle w:val="118"/>
        <w:widowControl w:val="0"/>
        <w:snapToGrid w:val="0"/>
        <w:spacing w:line="470" w:lineRule="exact"/>
        <w:ind w:firstLine="480" w:firstLineChars="200"/>
        <w:rPr>
          <w:rFonts w:ascii="Times New Roman" w:hAnsi="Times New Roman" w:cs="Times New Roman"/>
        </w:rPr>
      </w:pPr>
      <w:r>
        <w:rPr>
          <w:rFonts w:hint="eastAsia" w:ascii="宋体" w:hAnsi="宋体" w:cs="宋体"/>
        </w:rPr>
        <w:t>④</w:t>
      </w:r>
      <w:r>
        <w:rPr>
          <w:rFonts w:ascii="Times New Roman" w:hAnsi="Times New Roman" w:cs="Times New Roman"/>
        </w:rPr>
        <w:t>冲车及喷洒地面等，可能会下渗污染地下水。</w:t>
      </w:r>
    </w:p>
    <w:p>
      <w:pPr>
        <w:pStyle w:val="118"/>
        <w:widowControl w:val="0"/>
        <w:snapToGrid w:val="0"/>
        <w:spacing w:line="470" w:lineRule="exact"/>
        <w:ind w:firstLine="482" w:firstLineChars="200"/>
        <w:rPr>
          <w:rFonts w:ascii="Times New Roman" w:hAnsi="Times New Roman" w:cs="Times New Roman"/>
          <w:b/>
        </w:rPr>
      </w:pPr>
      <w:r>
        <w:rPr>
          <w:rFonts w:ascii="Times New Roman" w:hAnsi="Times New Roman" w:cs="Times New Roman"/>
          <w:b/>
        </w:rPr>
        <w:t>（3）地下水影响分析</w:t>
      </w:r>
    </w:p>
    <w:p>
      <w:pPr>
        <w:pStyle w:val="118"/>
        <w:widowControl w:val="0"/>
        <w:snapToGrid w:val="0"/>
        <w:spacing w:line="470" w:lineRule="exact"/>
        <w:ind w:firstLine="480" w:firstLineChars="200"/>
        <w:rPr>
          <w:rFonts w:ascii="Times New Roman" w:hAnsi="Times New Roman" w:cs="Times New Roman"/>
        </w:rPr>
      </w:pPr>
      <w:r>
        <w:rPr>
          <w:rFonts w:ascii="Times New Roman" w:hAnsi="Times New Roman" w:cs="Times New Roman"/>
        </w:rPr>
        <w:t>由于项目对地下水污染预防采取了以下措施：二期拟建圈舍进行重点防渗，根据《环境影响评价技术导则-地下水》（HJ610-2016），防渗要求达到等效黏土防渗层Mb≥6.0m，K≤1×10</w:t>
      </w:r>
      <w:r>
        <w:rPr>
          <w:rFonts w:ascii="Times New Roman" w:hAnsi="Times New Roman" w:cs="Times New Roman"/>
          <w:vertAlign w:val="superscript"/>
        </w:rPr>
        <w:t>-7</w:t>
      </w:r>
      <w:r>
        <w:rPr>
          <w:rFonts w:ascii="Times New Roman" w:hAnsi="Times New Roman" w:cs="Times New Roman"/>
        </w:rPr>
        <w:t>cm/s。建议采用采用粘土加HDPE膜进行防渗; 一般防渗区地面采取粘土铺底，等效黏土防渗层Mb≥1.5m，K≤1×10</w:t>
      </w:r>
      <w:r>
        <w:rPr>
          <w:rFonts w:ascii="Times New Roman" w:hAnsi="Times New Roman" w:cs="Times New Roman"/>
          <w:vertAlign w:val="superscript"/>
        </w:rPr>
        <w:t>-7</w:t>
      </w:r>
      <w:r>
        <w:rPr>
          <w:rFonts w:ascii="Times New Roman" w:hAnsi="Times New Roman" w:cs="Times New Roman"/>
        </w:rPr>
        <w:t>cm/s，再在上层铺10~15cm的水泥进行硬化。采取上述措施后，大大降低了渗漏发生的可能性。同时项目不使用酸碱等强腐蚀剂和化学危险品，发生地表泄漏的可能性很小。故项目废水不会对影响当地地下水。</w:t>
      </w:r>
    </w:p>
    <w:p>
      <w:pPr>
        <w:spacing w:line="470" w:lineRule="exact"/>
        <w:ind w:firstLine="480" w:firstLineChars="200"/>
        <w:rPr>
          <w:rFonts w:ascii="Times New Roman" w:hAnsi="Times New Roman"/>
          <w:sz w:val="24"/>
          <w:szCs w:val="24"/>
        </w:rPr>
      </w:pPr>
      <w:r>
        <w:rPr>
          <w:rFonts w:ascii="Times New Roman" w:hAnsi="Times New Roman"/>
          <w:sz w:val="24"/>
          <w:szCs w:val="24"/>
        </w:rPr>
        <w:t>本项目废水作为农肥施用主要用于周边的农田，肥料水经植物吸收，表层土壤中细菌和微生物好氧分解、包气带吸附自净、截留及兼氧、厌氧微生物的分解等共同作用下，有机物进入地下水的量很小，根据对场区周围地下水的现状监测表明，地下水质良好，未受到污染。</w:t>
      </w:r>
      <w:bookmarkStart w:id="239" w:name="_Toc161196239"/>
    </w:p>
    <w:p>
      <w:pPr>
        <w:spacing w:line="470" w:lineRule="exact"/>
        <w:ind w:firstLine="480" w:firstLineChars="200"/>
        <w:rPr>
          <w:rFonts w:ascii="Times New Roman" w:hAnsi="Times New Roman"/>
          <w:sz w:val="24"/>
          <w:szCs w:val="24"/>
        </w:rPr>
      </w:pPr>
      <w:r>
        <w:rPr>
          <w:rFonts w:ascii="Times New Roman" w:hAnsi="Times New Roman"/>
          <w:sz w:val="24"/>
          <w:szCs w:val="24"/>
        </w:rPr>
        <w:t>综上分析，二期新建圈舍采取重点防渗后，对区域地下水产生影响的几率较小。</w:t>
      </w:r>
    </w:p>
    <w:p>
      <w:pPr>
        <w:pStyle w:val="103"/>
        <w:numPr>
          <w:ilvl w:val="0"/>
          <w:numId w:val="0"/>
        </w:numPr>
        <w:rPr>
          <w:rFonts w:ascii="Times New Roman" w:hAnsi="Times New Roman"/>
          <w:b w:val="0"/>
          <w:bCs/>
          <w:kern w:val="28"/>
          <w:sz w:val="32"/>
          <w:szCs w:val="32"/>
        </w:rPr>
      </w:pPr>
      <w:bookmarkStart w:id="240" w:name="_Toc9873382"/>
      <w:r>
        <w:rPr>
          <w:rFonts w:ascii="Times New Roman" w:hAnsi="Times New Roman"/>
          <w:b w:val="0"/>
          <w:bCs/>
          <w:kern w:val="28"/>
          <w:sz w:val="32"/>
          <w:szCs w:val="32"/>
        </w:rPr>
        <w:t>5.5 固体废物环境影响分析</w:t>
      </w:r>
      <w:bookmarkEnd w:id="237"/>
      <w:bookmarkEnd w:id="238"/>
      <w:bookmarkEnd w:id="239"/>
      <w:bookmarkEnd w:id="240"/>
    </w:p>
    <w:p>
      <w:pPr>
        <w:spacing w:line="460" w:lineRule="exact"/>
        <w:ind w:firstLine="482"/>
        <w:rPr>
          <w:rFonts w:ascii="Times New Roman" w:hAnsi="Times New Roman"/>
          <w:sz w:val="24"/>
        </w:rPr>
      </w:pPr>
      <w:r>
        <w:rPr>
          <w:rFonts w:ascii="Times New Roman" w:hAnsi="Times New Roman"/>
          <w:sz w:val="24"/>
        </w:rPr>
        <w:t>本项目主要固废物主要是猪粪、生活垃圾。猪只粪便经过干湿分离，达到80%的分离率，干粪外送有机肥厂，职工生活垃圾交环卫部门处置。另外还有少量医疗废物、废活性炭交有资质的单位进行处理。</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本项目可能产生少量病死猪，应及时处理，严禁随意丢弃，严禁出售或作为饲料再利用。根据《畜禽养殖业污染治理工程技术规范》（HJ497-2009）及《畜禽养殖业污染防治技术规范》（HJ/T81-2001），本项目与成都市科农动物无害化处置有限公司签订了协议，本项目内的病死猪只交由其进行无害化处置。</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成都市科农动物无害化处置有限公司位于邛崃市水口镇中山村3组，成立于2008年9月，是全国第一家民营动物无害化处置公司。公司占地40余亩，投资4000余万元，建设运行动物无定化处置设备系统，年处置能力7.4万余吨。</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通过以上措施，本项目固体废物得到了妥善处置和利用，符合《畜禽养殖业污染防治技术政策》（环发[2010]151号，2010年12月30日发布），固体废物的处置措施妥当，去向明确，不会对环境造成污染。</w:t>
      </w:r>
    </w:p>
    <w:p>
      <w:pPr>
        <w:pStyle w:val="103"/>
        <w:numPr>
          <w:ilvl w:val="0"/>
          <w:numId w:val="0"/>
        </w:numPr>
        <w:rPr>
          <w:rFonts w:ascii="Times New Roman" w:hAnsi="Times New Roman"/>
          <w:b w:val="0"/>
          <w:bCs/>
          <w:kern w:val="28"/>
          <w:sz w:val="32"/>
          <w:szCs w:val="32"/>
        </w:rPr>
      </w:pPr>
      <w:bookmarkStart w:id="241" w:name="_Toc9873383"/>
      <w:r>
        <w:rPr>
          <w:rFonts w:ascii="Times New Roman" w:hAnsi="Times New Roman"/>
          <w:b w:val="0"/>
          <w:bCs/>
          <w:kern w:val="28"/>
          <w:sz w:val="32"/>
          <w:szCs w:val="32"/>
        </w:rPr>
        <w:t>5.6 本项目产生废物作为农肥施用对土壤的影响分析</w:t>
      </w:r>
      <w:bookmarkEnd w:id="241"/>
    </w:p>
    <w:p>
      <w:pPr>
        <w:pStyle w:val="108"/>
      </w:pPr>
      <w:bookmarkStart w:id="242" w:name="_Toc9873384"/>
      <w:r>
        <w:t>5.6.1 养殖废物可能对土壤造成的影响</w:t>
      </w:r>
      <w:bookmarkEnd w:id="242"/>
    </w:p>
    <w:p>
      <w:pPr>
        <w:adjustRightInd w:val="0"/>
        <w:snapToGrid w:val="0"/>
        <w:spacing w:line="470" w:lineRule="exact"/>
        <w:ind w:firstLine="480" w:firstLineChars="200"/>
        <w:rPr>
          <w:rFonts w:ascii="Times New Roman" w:hAnsi="Times New Roman"/>
          <w:sz w:val="24"/>
        </w:rPr>
      </w:pPr>
      <w:r>
        <w:rPr>
          <w:rFonts w:ascii="Times New Roman" w:hAnsi="Times New Roman"/>
          <w:sz w:val="24"/>
        </w:rPr>
        <w:t>猪粪和尿液中含有许多未消化吸收的有机物、微量元素和病原微生物。若不妥善处理，随意堆存，不仅滋生大量蚊蝇，污染土壤，还可能引起疫病传播，对人体乃至动植物危害极大。此外，猪场废水若不经处理直接灌溉农田耕地，或水肥过量施用，会导致田地有机质、无机盐积累，土壤中不易移动的磷酸在土壤下层富集，导致土壤孔隙堵塞，造成土壤透气、透水性下降，引起大面积板结，破坏原有功能。</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根据《畜禽养殖业污染防治技术规范》（2001年12月发布）中提出了原则性规定：畜禽养殖场的建设应坚持农牧结合、种养平衡的原则，根据本场区土地（包括与其他法人签约承诺消纳本场区产生粪便污水的土地）对畜禽粪便的消纳能力，确定新建畜禽养殖场的养殖规模。对于无相应消纳土地的养殖场，必须配套建立具有相应加工（处理）能力的粪便污水处理设施或处理（处置）机制。</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根据《2011 年四川省规模化畜禽养殖主要污染物减排核查试点方案（试行）》要求，液肥消纳时所需土地面积的测算应满足以下要求之一：</w:t>
      </w:r>
    </w:p>
    <w:p>
      <w:pPr>
        <w:numPr>
          <w:ilvl w:val="0"/>
          <w:numId w:val="11"/>
        </w:numPr>
        <w:tabs>
          <w:tab w:val="left" w:pos="851"/>
          <w:tab w:val="clear" w:pos="1200"/>
        </w:tabs>
        <w:adjustRightInd w:val="0"/>
        <w:snapToGrid w:val="0"/>
        <w:spacing w:line="470" w:lineRule="exact"/>
        <w:ind w:left="0" w:firstLine="480" w:firstLineChars="200"/>
        <w:rPr>
          <w:rFonts w:ascii="Times New Roman" w:hAnsi="Times New Roman"/>
          <w:sz w:val="24"/>
        </w:rPr>
      </w:pPr>
      <w:r>
        <w:rPr>
          <w:rFonts w:ascii="Times New Roman" w:hAnsi="Times New Roman"/>
          <w:sz w:val="24"/>
        </w:rPr>
        <w:t>肥施用量不得超过作为生产需要的养分量，应按测土配方计算最佳需求计算，应有一倍以上的土地轮流施肥，不得长期施用在一块土地上施肥。</w:t>
      </w:r>
    </w:p>
    <w:p>
      <w:pPr>
        <w:numPr>
          <w:ilvl w:val="0"/>
          <w:numId w:val="11"/>
        </w:numPr>
        <w:tabs>
          <w:tab w:val="left" w:pos="851"/>
          <w:tab w:val="clear" w:pos="1200"/>
        </w:tabs>
        <w:adjustRightInd w:val="0"/>
        <w:snapToGrid w:val="0"/>
        <w:spacing w:line="470" w:lineRule="exact"/>
        <w:ind w:left="0" w:firstLine="480" w:firstLineChars="200"/>
        <w:rPr>
          <w:rFonts w:ascii="Times New Roman" w:hAnsi="Times New Roman"/>
          <w:sz w:val="24"/>
        </w:rPr>
      </w:pPr>
      <w:r>
        <w:rPr>
          <w:rFonts w:ascii="Times New Roman" w:hAnsi="Times New Roman"/>
          <w:sz w:val="24"/>
        </w:rPr>
        <w:t>干湿分离率达到 70%以上（规模化养殖场可以达到 80%干湿分离率）时，废水消纳可按照3头猪1亩地计算；项目存栏量9790头，粪污处理满足“干湿分离率达到 70%以上（规模化养殖场可以达到 80%干湿分离率）时，废水消纳可按照3头猪1亩地计算”的要求，需要6633亩土地消纳本项目废水，考虑按2倍的土地面积进行轮作，则本项目至少需要13266.7亩土地。加上一期所需7102亩，本项目全厂需20368.7亩。冉义镇3.9万亩标准化农田满足本项目需求。</w:t>
      </w:r>
    </w:p>
    <w:p>
      <w:pPr>
        <w:numPr>
          <w:ilvl w:val="0"/>
          <w:numId w:val="11"/>
        </w:numPr>
        <w:tabs>
          <w:tab w:val="left" w:pos="851"/>
          <w:tab w:val="clear" w:pos="1200"/>
        </w:tabs>
        <w:adjustRightInd w:val="0"/>
        <w:snapToGrid w:val="0"/>
        <w:spacing w:line="470" w:lineRule="exact"/>
        <w:ind w:left="0" w:firstLine="480" w:firstLineChars="200"/>
        <w:rPr>
          <w:rFonts w:ascii="Times New Roman" w:hAnsi="Times New Roman"/>
          <w:sz w:val="24"/>
        </w:rPr>
      </w:pPr>
      <w:r>
        <w:rPr>
          <w:rFonts w:ascii="Times New Roman" w:hAnsi="Times New Roman"/>
          <w:sz w:val="24"/>
        </w:rPr>
        <w:t>每亩地年消纳氮总量以不超过16公斤计算。根据《第一次全国污染源普查畜禽养殖业产污系数与排污系数手册》，畜禽养殖场71kg生猪干清粪工艺全氮排污污系数为5.56g/头·d，以本项目猪场育肥猪平均体重核算，则本项目60kg育肥猪全氮排污污系数为4.90g/头·d，则本项目猪场全氮年排放量为35.59t/a。一期项目氮年排放量为14.85t/a。</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本项目猪粪及尿液均用于周边农田施肥，根据“每亩地年消纳氮总量以不超过16公斤计算”，则消纳本项目养殖粪便及废水至少需要2224.4亩土地（一期项目要928.11亩土地）。考虑按2倍的土地面积进行轮作，则本项目二期至少需要4448.9亩土地才能消纳本项目的废水（一期需1857亩土地）。</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本项目一期工程规模需1857亩土地消纳养殖粪污，全厂合计需6305.9亩。</w:t>
      </w:r>
    </w:p>
    <w:p>
      <w:pPr>
        <w:spacing w:line="470" w:lineRule="exact"/>
        <w:ind w:firstLine="475" w:firstLineChars="198"/>
        <w:rPr>
          <w:rFonts w:ascii="Times New Roman" w:hAnsi="Times New Roman"/>
          <w:sz w:val="24"/>
        </w:rPr>
      </w:pPr>
      <w:r>
        <w:rPr>
          <w:rFonts w:ascii="Times New Roman" w:hAnsi="Times New Roman"/>
          <w:sz w:val="24"/>
        </w:rPr>
        <w:t>项目所在地为冉义镇白玉村，冉义镇以高标准农田建设为载体，已建成高标准农田3.9万亩。除本项目外和一个1000头规模养殖场外，暂无集中式养殖场，完全可以消纳本项目沼液。满足上述两项要求。</w:t>
      </w:r>
    </w:p>
    <w:p>
      <w:pPr>
        <w:spacing w:line="470" w:lineRule="exact"/>
        <w:ind w:firstLine="475" w:firstLineChars="198"/>
        <w:rPr>
          <w:rFonts w:ascii="Times New Roman" w:hAnsi="Times New Roman"/>
          <w:sz w:val="24"/>
        </w:rPr>
      </w:pPr>
      <w:r>
        <w:rPr>
          <w:rFonts w:ascii="Times New Roman" w:hAnsi="Times New Roman"/>
          <w:sz w:val="24"/>
        </w:rPr>
        <w:t>根据邛崃市农业和林业局《关于印发2016年PPP模式推进畜禽粪污综合利用试点项目实施指导意见》的通知，在全县实施解决25万立方米沼肥综合利用，推进全市种养循环。本项目建设单位与邛崃巿洁环畜禽粪便收集服务专业合作社签订了《粪肥（污）消纳协议书》。该合作社为邛崃市2016年PPP模式推进畜禽粪污综合利用试点项目合作伙伴，该合作社负责将本项目产生处理达标的粪污抽走并消纳处理，协议约定量为2017年约10000立方米，2018年及以后每年约20000立方；</w:t>
      </w:r>
    </w:p>
    <w:p>
      <w:pPr>
        <w:spacing w:line="470" w:lineRule="exact"/>
        <w:ind w:firstLine="475" w:firstLineChars="198"/>
        <w:rPr>
          <w:rFonts w:ascii="Times New Roman" w:hAnsi="Times New Roman"/>
          <w:sz w:val="24"/>
        </w:rPr>
      </w:pPr>
      <w:r>
        <w:rPr>
          <w:rFonts w:ascii="Times New Roman" w:hAnsi="Times New Roman"/>
          <w:sz w:val="24"/>
        </w:rPr>
        <w:t>另外，从冉义镇特点看5~9月为雨季，农田基本不用灌溉，虽然小春作物需要肥料，但由于排放水浓度低，水量大，不宜施用。最佳施用季节是3-6月，水稻可消纳大部分废水，其它作物也可消纳。7-8月以蔬菜施用为主，水稻施用少。为了实现全利用，养殖废水贮存时间必须达到3个月以上。本项目建储液池6.5万m</w:t>
      </w:r>
      <w:r>
        <w:rPr>
          <w:rFonts w:ascii="Times New Roman" w:hAnsi="Times New Roman"/>
          <w:sz w:val="24"/>
          <w:vertAlign w:val="superscript"/>
        </w:rPr>
        <w:t>3</w:t>
      </w:r>
      <w:r>
        <w:rPr>
          <w:rFonts w:ascii="Times New Roman" w:hAnsi="Times New Roman"/>
          <w:sz w:val="24"/>
        </w:rPr>
        <w:t>。可满足6个月以上的废水储存。</w:t>
      </w:r>
    </w:p>
    <w:p>
      <w:pPr>
        <w:adjustRightInd w:val="0"/>
        <w:snapToGrid w:val="0"/>
        <w:spacing w:line="470" w:lineRule="exact"/>
        <w:ind w:firstLine="480" w:firstLineChars="200"/>
        <w:rPr>
          <w:rFonts w:ascii="Times New Roman" w:hAnsi="Times New Roman"/>
          <w:sz w:val="24"/>
        </w:rPr>
      </w:pPr>
      <w:r>
        <w:rPr>
          <w:rFonts w:ascii="Times New Roman" w:hAnsi="Times New Roman"/>
          <w:sz w:val="24"/>
        </w:rPr>
        <w:t>综合分析，项目的设计规模产生的废水，作为有机肥施用于周边土地，不会超出周边土壤负荷，对周边土地无明显不利影响。</w:t>
      </w:r>
    </w:p>
    <w:p>
      <w:pPr>
        <w:pStyle w:val="103"/>
        <w:numPr>
          <w:ilvl w:val="0"/>
          <w:numId w:val="0"/>
        </w:numPr>
        <w:rPr>
          <w:rFonts w:ascii="Times New Roman" w:hAnsi="Times New Roman"/>
          <w:b w:val="0"/>
          <w:bCs/>
          <w:kern w:val="28"/>
          <w:sz w:val="32"/>
          <w:szCs w:val="32"/>
        </w:rPr>
      </w:pPr>
      <w:bookmarkStart w:id="243" w:name="_Toc9873385"/>
      <w:r>
        <w:rPr>
          <w:rFonts w:ascii="Times New Roman" w:hAnsi="Times New Roman"/>
          <w:b w:val="0"/>
          <w:bCs/>
          <w:kern w:val="28"/>
          <w:sz w:val="32"/>
          <w:szCs w:val="32"/>
        </w:rPr>
        <w:t>5.7  本项目所在地土地承载力分析</w:t>
      </w:r>
      <w:bookmarkEnd w:id="243"/>
    </w:p>
    <w:p>
      <w:pPr>
        <w:pStyle w:val="108"/>
      </w:pPr>
      <w:bookmarkStart w:id="244" w:name="_Toc9873386"/>
      <w:r>
        <w:t>5.7.1 沼液肥力分析</w:t>
      </w:r>
      <w:bookmarkEnd w:id="244"/>
    </w:p>
    <w:p>
      <w:pPr>
        <w:snapToGrid w:val="0"/>
        <w:spacing w:line="470" w:lineRule="exact"/>
        <w:ind w:firstLine="482"/>
        <w:rPr>
          <w:rFonts w:ascii="Times New Roman" w:hAnsi="Times New Roman"/>
          <w:sz w:val="24"/>
        </w:rPr>
      </w:pPr>
      <w:r>
        <w:rPr>
          <w:rFonts w:ascii="Times New Roman" w:hAnsi="Times New Roman"/>
          <w:sz w:val="24"/>
        </w:rPr>
        <w:t>经厌氧发酵后的沼渣和沼液，含有氮、磷、钾以及氨基酸、维生素、蛋白质、赤霉素、生长素、糖类、核酸等营养元素，是作物的生长发育的“生理活性物质”，钙、磷、铁、锌、钼等元素能促进作物发芽和生长。</w:t>
      </w:r>
    </w:p>
    <w:p>
      <w:pPr>
        <w:spacing w:line="470" w:lineRule="exact"/>
        <w:ind w:firstLine="482"/>
        <w:rPr>
          <w:rFonts w:ascii="Times New Roman" w:hAnsi="Times New Roman"/>
          <w:sz w:val="24"/>
        </w:rPr>
      </w:pPr>
      <w:r>
        <w:rPr>
          <w:rFonts w:ascii="Times New Roman" w:hAnsi="Times New Roman"/>
          <w:sz w:val="24"/>
        </w:rPr>
        <w:t>将沼液和沼渣还田作肥料，可利用其中的营养物质，改善土壤的元素结构，提高土壤的肥力，增加农作物的产量。但过度地施用于农田不但养分得不到有效利用，还会污染土壤和地下水。</w:t>
      </w:r>
    </w:p>
    <w:p>
      <w:pPr>
        <w:spacing w:line="470" w:lineRule="exact"/>
        <w:ind w:firstLine="482"/>
        <w:rPr>
          <w:rFonts w:ascii="Times New Roman" w:hAnsi="Times New Roman"/>
        </w:rPr>
      </w:pPr>
      <w:r>
        <w:rPr>
          <w:rFonts w:ascii="Times New Roman" w:hAnsi="Times New Roman"/>
          <w:sz w:val="24"/>
        </w:rPr>
        <w:t>干清粪工艺养猪场废水厌氧发酵沼渣、沼液成分分析情况见表5.7-1。</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spacing w:line="480" w:lineRule="exact"/>
        <w:jc w:val="center"/>
        <w:rPr>
          <w:rFonts w:ascii="Times New Roman" w:hAnsi="Times New Roman" w:eastAsia="黑体"/>
          <w:sz w:val="21"/>
          <w:szCs w:val="21"/>
        </w:rPr>
      </w:pPr>
      <w:r>
        <w:rPr>
          <w:rFonts w:ascii="Times New Roman" w:hAnsi="Times New Roman" w:eastAsia="黑体"/>
          <w:sz w:val="21"/>
          <w:szCs w:val="21"/>
        </w:rPr>
        <w:t>表5.7-1  沼渣、沼液成分分析表</w:t>
      </w:r>
    </w:p>
    <w:tbl>
      <w:tblPr>
        <w:tblStyle w:val="90"/>
        <w:tblW w:w="8468"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393"/>
        <w:gridCol w:w="2996"/>
        <w:gridCol w:w="307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PrEx>
        <w:trPr>
          <w:trHeight w:val="80" w:hRule="atLeast"/>
          <w:jc w:val="center"/>
        </w:trPr>
        <w:tc>
          <w:tcPr>
            <w:tcW w:w="2393" w:type="dxa"/>
            <w:vAlign w:val="center"/>
          </w:tcPr>
          <w:p>
            <w:pPr>
              <w:spacing w:line="260" w:lineRule="exact"/>
              <w:jc w:val="center"/>
              <w:rPr>
                <w:rFonts w:ascii="Times New Roman" w:hAnsi="Times New Roman"/>
                <w:b/>
                <w:sz w:val="21"/>
                <w:szCs w:val="21"/>
              </w:rPr>
            </w:pPr>
            <w:r>
              <w:rPr>
                <w:rFonts w:ascii="Times New Roman" w:hAnsi="Times New Roman"/>
                <w:b/>
                <w:sz w:val="21"/>
                <w:szCs w:val="21"/>
              </w:rPr>
              <w:t>名称</w:t>
            </w:r>
          </w:p>
        </w:tc>
        <w:tc>
          <w:tcPr>
            <w:tcW w:w="2996" w:type="dxa"/>
            <w:vAlign w:val="center"/>
          </w:tcPr>
          <w:p>
            <w:pPr>
              <w:spacing w:line="260" w:lineRule="exact"/>
              <w:jc w:val="center"/>
              <w:rPr>
                <w:rFonts w:ascii="Times New Roman" w:hAnsi="Times New Roman"/>
                <w:b/>
                <w:sz w:val="21"/>
                <w:szCs w:val="21"/>
              </w:rPr>
            </w:pPr>
            <w:r>
              <w:rPr>
                <w:rFonts w:ascii="Times New Roman" w:hAnsi="Times New Roman"/>
                <w:b/>
                <w:sz w:val="21"/>
                <w:szCs w:val="21"/>
              </w:rPr>
              <w:t>沼渣(kg/m</w:t>
            </w:r>
            <w:r>
              <w:rPr>
                <w:rFonts w:ascii="Times New Roman" w:hAnsi="Times New Roman"/>
                <w:b/>
                <w:sz w:val="21"/>
                <w:szCs w:val="21"/>
                <w:vertAlign w:val="superscript"/>
              </w:rPr>
              <w:t>3</w:t>
            </w:r>
            <w:r>
              <w:rPr>
                <w:rFonts w:ascii="Times New Roman" w:hAnsi="Times New Roman"/>
                <w:b/>
                <w:sz w:val="21"/>
                <w:szCs w:val="21"/>
              </w:rPr>
              <w:t>)</w:t>
            </w:r>
          </w:p>
        </w:tc>
        <w:tc>
          <w:tcPr>
            <w:tcW w:w="3079" w:type="dxa"/>
            <w:vAlign w:val="center"/>
          </w:tcPr>
          <w:p>
            <w:pPr>
              <w:spacing w:line="260" w:lineRule="exact"/>
              <w:jc w:val="center"/>
              <w:rPr>
                <w:rFonts w:ascii="Times New Roman" w:hAnsi="Times New Roman"/>
                <w:b/>
                <w:sz w:val="21"/>
                <w:szCs w:val="21"/>
              </w:rPr>
            </w:pPr>
            <w:r>
              <w:rPr>
                <w:rFonts w:ascii="Times New Roman" w:hAnsi="Times New Roman"/>
                <w:b/>
                <w:sz w:val="21"/>
                <w:szCs w:val="21"/>
              </w:rPr>
              <w:t>沼液(kg/m</w:t>
            </w:r>
            <w:r>
              <w:rPr>
                <w:rFonts w:ascii="Times New Roman" w:hAnsi="Times New Roman"/>
                <w:b/>
                <w:sz w:val="21"/>
                <w:szCs w:val="21"/>
                <w:vertAlign w:val="superscript"/>
              </w:rPr>
              <w:t>3</w:t>
            </w:r>
            <w:r>
              <w:rPr>
                <w:rFonts w:ascii="Times New Roman" w:hAnsi="Times New Roman"/>
                <w:b/>
                <w:sz w:val="21"/>
                <w:szCs w:val="21"/>
              </w:rPr>
              <w:t>)</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2393" w:type="dxa"/>
            <w:vAlign w:val="center"/>
          </w:tcPr>
          <w:p>
            <w:pPr>
              <w:spacing w:line="260" w:lineRule="exact"/>
              <w:jc w:val="center"/>
              <w:rPr>
                <w:rFonts w:ascii="Times New Roman" w:hAnsi="Times New Roman"/>
                <w:b/>
                <w:sz w:val="21"/>
                <w:szCs w:val="21"/>
              </w:rPr>
            </w:pPr>
            <w:r>
              <w:rPr>
                <w:rFonts w:ascii="Times New Roman" w:hAnsi="Times New Roman"/>
                <w:b/>
                <w:sz w:val="21"/>
                <w:szCs w:val="21"/>
              </w:rPr>
              <w:t>总养分</w:t>
            </w:r>
          </w:p>
        </w:tc>
        <w:tc>
          <w:tcPr>
            <w:tcW w:w="2996" w:type="dxa"/>
            <w:vAlign w:val="center"/>
          </w:tcPr>
          <w:p>
            <w:pPr>
              <w:spacing w:line="260" w:lineRule="exact"/>
              <w:jc w:val="center"/>
              <w:rPr>
                <w:rFonts w:ascii="Times New Roman" w:hAnsi="Times New Roman"/>
                <w:b/>
                <w:sz w:val="21"/>
                <w:szCs w:val="21"/>
              </w:rPr>
            </w:pPr>
            <w:r>
              <w:rPr>
                <w:rFonts w:ascii="Times New Roman" w:hAnsi="Times New Roman"/>
                <w:b/>
                <w:sz w:val="21"/>
                <w:szCs w:val="21"/>
              </w:rPr>
              <w:t>3.16%</w:t>
            </w:r>
          </w:p>
        </w:tc>
        <w:tc>
          <w:tcPr>
            <w:tcW w:w="3079" w:type="dxa"/>
            <w:vAlign w:val="center"/>
          </w:tcPr>
          <w:p>
            <w:pPr>
              <w:spacing w:line="260" w:lineRule="exact"/>
              <w:jc w:val="center"/>
              <w:rPr>
                <w:rFonts w:ascii="Times New Roman" w:hAnsi="Times New Roman"/>
                <w:b/>
                <w:sz w:val="21"/>
                <w:szCs w:val="21"/>
              </w:rPr>
            </w:pPr>
            <w:r>
              <w:rPr>
                <w:rFonts w:ascii="Times New Roman" w:hAnsi="Times New Roman"/>
                <w:b/>
                <w:sz w:val="21"/>
                <w:szCs w:val="21"/>
              </w:rPr>
              <w:t>0.13%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2393" w:type="dxa"/>
            <w:vAlign w:val="center"/>
          </w:tcPr>
          <w:p>
            <w:pPr>
              <w:spacing w:line="260" w:lineRule="exact"/>
              <w:jc w:val="center"/>
              <w:rPr>
                <w:rFonts w:ascii="Times New Roman" w:hAnsi="Times New Roman"/>
                <w:b/>
                <w:sz w:val="21"/>
                <w:szCs w:val="21"/>
              </w:rPr>
            </w:pPr>
            <w:r>
              <w:rPr>
                <w:rFonts w:ascii="Times New Roman" w:hAnsi="Times New Roman"/>
                <w:b/>
                <w:sz w:val="21"/>
                <w:szCs w:val="21"/>
              </w:rPr>
              <w:t>有机质</w:t>
            </w:r>
          </w:p>
        </w:tc>
        <w:tc>
          <w:tcPr>
            <w:tcW w:w="2996" w:type="dxa"/>
            <w:vAlign w:val="center"/>
          </w:tcPr>
          <w:p>
            <w:pPr>
              <w:spacing w:line="260" w:lineRule="exact"/>
              <w:jc w:val="center"/>
              <w:rPr>
                <w:rFonts w:ascii="Times New Roman" w:hAnsi="Times New Roman"/>
                <w:b/>
                <w:sz w:val="21"/>
                <w:szCs w:val="21"/>
              </w:rPr>
            </w:pPr>
            <w:r>
              <w:rPr>
                <w:rFonts w:ascii="Times New Roman" w:hAnsi="Times New Roman"/>
                <w:b/>
                <w:sz w:val="21"/>
                <w:szCs w:val="21"/>
              </w:rPr>
              <w:t>6.30%</w:t>
            </w:r>
          </w:p>
        </w:tc>
        <w:tc>
          <w:tcPr>
            <w:tcW w:w="3079" w:type="dxa"/>
            <w:vAlign w:val="center"/>
          </w:tcPr>
          <w:p>
            <w:pPr>
              <w:spacing w:line="260" w:lineRule="exact"/>
              <w:jc w:val="center"/>
              <w:rPr>
                <w:rFonts w:ascii="Times New Roman" w:hAnsi="Times New Roman"/>
                <w:b/>
                <w:sz w:val="21"/>
                <w:szCs w:val="21"/>
              </w:rPr>
            </w:pPr>
            <w:r>
              <w:rPr>
                <w:rFonts w:ascii="Times New Roman" w:hAnsi="Times New Roman"/>
                <w:b/>
                <w:sz w:val="21"/>
                <w:szCs w:val="21"/>
              </w:rPr>
              <w:t>0.50%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2393" w:type="dxa"/>
            <w:vAlign w:val="center"/>
          </w:tcPr>
          <w:p>
            <w:pPr>
              <w:spacing w:line="260" w:lineRule="exact"/>
              <w:jc w:val="center"/>
              <w:rPr>
                <w:rFonts w:ascii="Times New Roman" w:hAnsi="Times New Roman"/>
                <w:b/>
                <w:sz w:val="21"/>
                <w:szCs w:val="21"/>
              </w:rPr>
            </w:pPr>
            <w:r>
              <w:rPr>
                <w:rFonts w:ascii="Times New Roman" w:hAnsi="Times New Roman"/>
                <w:b/>
                <w:sz w:val="21"/>
                <w:szCs w:val="21"/>
              </w:rPr>
              <w:t>全N</w:t>
            </w:r>
          </w:p>
        </w:tc>
        <w:tc>
          <w:tcPr>
            <w:tcW w:w="2996" w:type="dxa"/>
            <w:vAlign w:val="center"/>
          </w:tcPr>
          <w:p>
            <w:pPr>
              <w:spacing w:line="260" w:lineRule="exact"/>
              <w:jc w:val="center"/>
              <w:rPr>
                <w:rFonts w:ascii="Times New Roman" w:hAnsi="Times New Roman"/>
                <w:b/>
                <w:sz w:val="21"/>
                <w:szCs w:val="21"/>
              </w:rPr>
            </w:pPr>
            <w:r>
              <w:rPr>
                <w:rFonts w:ascii="Times New Roman" w:hAnsi="Times New Roman"/>
                <w:b/>
                <w:sz w:val="21"/>
                <w:szCs w:val="21"/>
              </w:rPr>
              <w:t>2.63</w:t>
            </w:r>
          </w:p>
        </w:tc>
        <w:tc>
          <w:tcPr>
            <w:tcW w:w="3079" w:type="dxa"/>
            <w:vAlign w:val="center"/>
          </w:tcPr>
          <w:p>
            <w:pPr>
              <w:spacing w:line="260" w:lineRule="exact"/>
              <w:jc w:val="center"/>
              <w:rPr>
                <w:rFonts w:ascii="Times New Roman" w:hAnsi="Times New Roman"/>
                <w:b/>
                <w:sz w:val="21"/>
                <w:szCs w:val="21"/>
              </w:rPr>
            </w:pPr>
            <w:r>
              <w:rPr>
                <w:rFonts w:ascii="Times New Roman" w:hAnsi="Times New Roman"/>
                <w:b/>
                <w:sz w:val="21"/>
                <w:szCs w:val="21"/>
              </w:rPr>
              <w:t>3.71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2393" w:type="dxa"/>
            <w:vAlign w:val="center"/>
          </w:tcPr>
          <w:p>
            <w:pPr>
              <w:spacing w:line="260" w:lineRule="exact"/>
              <w:jc w:val="center"/>
              <w:rPr>
                <w:rFonts w:ascii="Times New Roman" w:hAnsi="Times New Roman"/>
                <w:b/>
                <w:sz w:val="21"/>
                <w:szCs w:val="21"/>
              </w:rPr>
            </w:pPr>
            <w:r>
              <w:rPr>
                <w:rFonts w:ascii="Times New Roman" w:hAnsi="Times New Roman"/>
                <w:b/>
                <w:sz w:val="21"/>
                <w:szCs w:val="21"/>
              </w:rPr>
              <w:t>全P</w:t>
            </w:r>
          </w:p>
        </w:tc>
        <w:tc>
          <w:tcPr>
            <w:tcW w:w="2996" w:type="dxa"/>
            <w:vAlign w:val="center"/>
          </w:tcPr>
          <w:p>
            <w:pPr>
              <w:spacing w:line="260" w:lineRule="exact"/>
              <w:jc w:val="center"/>
              <w:rPr>
                <w:rFonts w:ascii="Times New Roman" w:hAnsi="Times New Roman"/>
                <w:b/>
                <w:sz w:val="21"/>
                <w:szCs w:val="21"/>
              </w:rPr>
            </w:pPr>
            <w:r>
              <w:rPr>
                <w:rFonts w:ascii="Times New Roman" w:hAnsi="Times New Roman"/>
                <w:b/>
                <w:sz w:val="21"/>
                <w:szCs w:val="21"/>
              </w:rPr>
              <w:t>5.87</w:t>
            </w:r>
          </w:p>
        </w:tc>
        <w:tc>
          <w:tcPr>
            <w:tcW w:w="3079" w:type="dxa"/>
            <w:vAlign w:val="center"/>
          </w:tcPr>
          <w:p>
            <w:pPr>
              <w:spacing w:line="260" w:lineRule="exact"/>
              <w:jc w:val="center"/>
              <w:rPr>
                <w:rFonts w:ascii="Times New Roman" w:hAnsi="Times New Roman"/>
                <w:b/>
                <w:sz w:val="21"/>
                <w:szCs w:val="21"/>
              </w:rPr>
            </w:pPr>
            <w:r>
              <w:rPr>
                <w:rFonts w:ascii="Times New Roman" w:hAnsi="Times New Roman"/>
                <w:b/>
                <w:sz w:val="21"/>
                <w:szCs w:val="21"/>
              </w:rPr>
              <w:t>2.63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07" w:hRule="atLeast"/>
          <w:jc w:val="center"/>
        </w:trPr>
        <w:tc>
          <w:tcPr>
            <w:tcW w:w="2393" w:type="dxa"/>
            <w:vAlign w:val="center"/>
          </w:tcPr>
          <w:p>
            <w:pPr>
              <w:spacing w:line="260" w:lineRule="exact"/>
              <w:jc w:val="center"/>
              <w:rPr>
                <w:rFonts w:ascii="Times New Roman" w:hAnsi="Times New Roman"/>
                <w:b/>
                <w:sz w:val="21"/>
                <w:szCs w:val="21"/>
              </w:rPr>
            </w:pPr>
            <w:r>
              <w:rPr>
                <w:rFonts w:ascii="Times New Roman" w:hAnsi="Times New Roman"/>
                <w:b/>
                <w:sz w:val="21"/>
                <w:szCs w:val="21"/>
              </w:rPr>
              <w:t>全K</w:t>
            </w:r>
          </w:p>
        </w:tc>
        <w:tc>
          <w:tcPr>
            <w:tcW w:w="2996" w:type="dxa"/>
            <w:vAlign w:val="center"/>
          </w:tcPr>
          <w:p>
            <w:pPr>
              <w:spacing w:line="260" w:lineRule="exact"/>
              <w:jc w:val="center"/>
              <w:rPr>
                <w:rFonts w:ascii="Times New Roman" w:hAnsi="Times New Roman"/>
                <w:b/>
                <w:sz w:val="21"/>
                <w:szCs w:val="21"/>
              </w:rPr>
            </w:pPr>
            <w:r>
              <w:rPr>
                <w:rFonts w:ascii="Times New Roman" w:hAnsi="Times New Roman"/>
                <w:b/>
                <w:sz w:val="21"/>
                <w:szCs w:val="21"/>
              </w:rPr>
              <w:t>1.279</w:t>
            </w:r>
          </w:p>
        </w:tc>
        <w:tc>
          <w:tcPr>
            <w:tcW w:w="3079" w:type="dxa"/>
            <w:vAlign w:val="center"/>
          </w:tcPr>
          <w:p>
            <w:pPr>
              <w:spacing w:line="260" w:lineRule="exact"/>
              <w:jc w:val="center"/>
              <w:rPr>
                <w:rFonts w:ascii="Times New Roman" w:hAnsi="Times New Roman"/>
                <w:b/>
                <w:sz w:val="21"/>
                <w:szCs w:val="21"/>
              </w:rPr>
            </w:pPr>
            <w:r>
              <w:rPr>
                <w:rFonts w:ascii="Times New Roman" w:hAnsi="Times New Roman"/>
                <w:b/>
                <w:sz w:val="21"/>
                <w:szCs w:val="21"/>
              </w:rPr>
              <w:t>2.04</w:t>
            </w:r>
          </w:p>
        </w:tc>
      </w:tr>
    </w:tbl>
    <w:p>
      <w:pPr>
        <w:pStyle w:val="108"/>
      </w:pPr>
      <w:bookmarkStart w:id="245" w:name="_Toc9873387"/>
      <w:r>
        <w:t>5.7.2 还田肥料施用科学原则</w:t>
      </w:r>
      <w:bookmarkEnd w:id="245"/>
    </w:p>
    <w:p>
      <w:pPr>
        <w:spacing w:line="470" w:lineRule="exact"/>
        <w:ind w:firstLine="480" w:firstLineChars="200"/>
        <w:rPr>
          <w:rFonts w:ascii="Times New Roman" w:hAnsi="Times New Roman"/>
          <w:sz w:val="24"/>
        </w:rPr>
      </w:pPr>
      <w:r>
        <w:rPr>
          <w:rFonts w:ascii="Times New Roman" w:hAnsi="Times New Roman"/>
          <w:sz w:val="24"/>
        </w:rPr>
        <w:t>根据《畜禽粪便还田技术规范》中相关要求，粪便还田使用量见下表。</w:t>
      </w:r>
    </w:p>
    <w:p>
      <w:pPr>
        <w:widowControl/>
        <w:jc w:val="left"/>
        <w:rPr>
          <w:rFonts w:ascii="Times New Roman" w:hAnsi="Times New Roman"/>
          <w:kern w:val="0"/>
          <w:sz w:val="24"/>
        </w:rPr>
      </w:pPr>
      <w:r>
        <w:rPr>
          <w:rFonts w:ascii="Times New Roman" w:hAnsi="Times New Roman"/>
          <w:kern w:val="0"/>
          <w:sz w:val="24"/>
        </w:rPr>
        <w:drawing>
          <wp:inline distT="0" distB="0" distL="0" distR="0">
            <wp:extent cx="5419725" cy="2524125"/>
            <wp:effectExtent l="0" t="0" r="9525" b="9525"/>
            <wp:docPr id="232" name="图片 232" descr="JS@U166K3M}4V))LLUAG5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JS@U166K3M}4V))LLUAG5F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19725" cy="2524125"/>
                    </a:xfrm>
                    <a:prstGeom prst="rect">
                      <a:avLst/>
                    </a:prstGeom>
                    <a:noFill/>
                    <a:ln>
                      <a:noFill/>
                    </a:ln>
                  </pic:spPr>
                </pic:pic>
              </a:graphicData>
            </a:graphic>
          </wp:inline>
        </w:drawing>
      </w:r>
    </w:p>
    <w:p>
      <w:pPr>
        <w:spacing w:line="470" w:lineRule="exact"/>
        <w:ind w:firstLine="482"/>
        <w:rPr>
          <w:rFonts w:ascii="Times New Roman" w:hAnsi="Times New Roman"/>
          <w:sz w:val="24"/>
        </w:rPr>
      </w:pPr>
      <w:r>
        <w:rPr>
          <w:rFonts w:ascii="Times New Roman" w:hAnsi="Times New Roman"/>
          <w:sz w:val="24"/>
        </w:rPr>
        <w:t>根据《畜禽养殖污染防治技术与政策》中土地承载力分析可知：果树所需养份量氮为27.79kg/亩·年，P</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5</w:t>
      </w:r>
      <w:r>
        <w:rPr>
          <w:rFonts w:ascii="Times New Roman" w:hAnsi="Times New Roman"/>
          <w:sz w:val="24"/>
        </w:rPr>
        <w:t>为11.11kg/亩·年；蔬菜所需养份量氮为40kg/亩·季，P</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5</w:t>
      </w:r>
      <w:r>
        <w:rPr>
          <w:rFonts w:ascii="Times New Roman" w:hAnsi="Times New Roman"/>
          <w:sz w:val="24"/>
        </w:rPr>
        <w:t>为9kg/亩·季；水稻所需养份量氮为10kg/亩·季，P</w:t>
      </w:r>
      <w:r>
        <w:rPr>
          <w:rFonts w:ascii="Times New Roman" w:hAnsi="Times New Roman"/>
          <w:sz w:val="24"/>
          <w:vertAlign w:val="subscript"/>
        </w:rPr>
        <w:t>2</w:t>
      </w:r>
      <w:r>
        <w:rPr>
          <w:rFonts w:ascii="Times New Roman" w:hAnsi="Times New Roman"/>
          <w:sz w:val="24"/>
        </w:rPr>
        <w:t>O</w:t>
      </w:r>
      <w:r>
        <w:rPr>
          <w:rFonts w:ascii="Times New Roman" w:hAnsi="Times New Roman"/>
          <w:sz w:val="24"/>
          <w:vertAlign w:val="subscript"/>
        </w:rPr>
        <w:t>5</w:t>
      </w:r>
      <w:r>
        <w:rPr>
          <w:rFonts w:ascii="Times New Roman" w:hAnsi="Times New Roman"/>
          <w:sz w:val="24"/>
        </w:rPr>
        <w:t>为5kg/亩·季。</w:t>
      </w:r>
    </w:p>
    <w:p>
      <w:pPr>
        <w:spacing w:line="470" w:lineRule="exact"/>
        <w:ind w:firstLine="482"/>
        <w:rPr>
          <w:rFonts w:ascii="Times New Roman" w:hAnsi="Times New Roman"/>
          <w:sz w:val="24"/>
        </w:rPr>
      </w:pPr>
      <w:r>
        <w:rPr>
          <w:rFonts w:ascii="Times New Roman" w:hAnsi="Times New Roman"/>
          <w:sz w:val="24"/>
        </w:rPr>
        <w:t>为满足作物生长，以满足作物氮素需求为前提计：果树每年每亩需沼液为7.49m</w:t>
      </w:r>
      <w:r>
        <w:rPr>
          <w:rFonts w:ascii="Times New Roman" w:hAnsi="Times New Roman"/>
          <w:sz w:val="24"/>
          <w:vertAlign w:val="superscript"/>
        </w:rPr>
        <w:t>3</w:t>
      </w:r>
      <w:r>
        <w:rPr>
          <w:rFonts w:ascii="Times New Roman" w:hAnsi="Times New Roman"/>
          <w:sz w:val="24"/>
        </w:rPr>
        <w:t>，其中含磷素为19.7kg；蔬菜每年每亩需沼液为21.56m</w:t>
      </w:r>
      <w:r>
        <w:rPr>
          <w:rFonts w:ascii="Times New Roman" w:hAnsi="Times New Roman"/>
          <w:sz w:val="24"/>
          <w:vertAlign w:val="superscript"/>
        </w:rPr>
        <w:t>3</w:t>
      </w:r>
      <w:r>
        <w:rPr>
          <w:rFonts w:ascii="Times New Roman" w:hAnsi="Times New Roman"/>
          <w:sz w:val="24"/>
        </w:rPr>
        <w:t>，其中含磷素为56.7kg；水稻每年每亩需沼液为5.39m</w:t>
      </w:r>
      <w:r>
        <w:rPr>
          <w:rFonts w:ascii="Times New Roman" w:hAnsi="Times New Roman"/>
          <w:sz w:val="24"/>
          <w:vertAlign w:val="superscript"/>
        </w:rPr>
        <w:t>3</w:t>
      </w:r>
      <w:r>
        <w:rPr>
          <w:rFonts w:ascii="Times New Roman" w:hAnsi="Times New Roman"/>
          <w:sz w:val="24"/>
        </w:rPr>
        <w:t>，其中含磷素为14.18kg。</w:t>
      </w:r>
    </w:p>
    <w:p>
      <w:pPr>
        <w:spacing w:line="450" w:lineRule="exact"/>
        <w:ind w:firstLine="480" w:firstLineChars="200"/>
        <w:rPr>
          <w:rFonts w:ascii="Times New Roman" w:hAnsi="Times New Roman"/>
          <w:sz w:val="24"/>
        </w:rPr>
      </w:pPr>
      <w:r>
        <w:rPr>
          <w:rFonts w:ascii="Times New Roman" w:hAnsi="Times New Roman"/>
          <w:sz w:val="24"/>
        </w:rPr>
        <w:t>以满足作物磷素需求为前提计，果树则每年每亩需沼液4.22m</w:t>
      </w:r>
      <w:r>
        <w:rPr>
          <w:rFonts w:ascii="Times New Roman" w:hAnsi="Times New Roman"/>
          <w:sz w:val="24"/>
          <w:vertAlign w:val="superscript"/>
        </w:rPr>
        <w:t>3</w:t>
      </w:r>
      <w:r>
        <w:rPr>
          <w:rFonts w:ascii="Times New Roman" w:hAnsi="Times New Roman"/>
          <w:sz w:val="24"/>
        </w:rPr>
        <w:t>，其中含氮素15.67kg；蔬菜则每年每亩需沼液6.84m</w:t>
      </w:r>
      <w:r>
        <w:rPr>
          <w:rFonts w:ascii="Times New Roman" w:hAnsi="Times New Roman"/>
          <w:sz w:val="24"/>
          <w:vertAlign w:val="superscript"/>
        </w:rPr>
        <w:t>3</w:t>
      </w:r>
      <w:r>
        <w:rPr>
          <w:rFonts w:ascii="Times New Roman" w:hAnsi="Times New Roman"/>
          <w:sz w:val="24"/>
        </w:rPr>
        <w:t>，其中含氮素25.39kg；水稻则每年每亩需沼液3.8m</w:t>
      </w:r>
      <w:r>
        <w:rPr>
          <w:rFonts w:ascii="Times New Roman" w:hAnsi="Times New Roman"/>
          <w:sz w:val="24"/>
          <w:vertAlign w:val="superscript"/>
        </w:rPr>
        <w:t>3</w:t>
      </w:r>
      <w:r>
        <w:rPr>
          <w:rFonts w:ascii="Times New Roman" w:hAnsi="Times New Roman"/>
          <w:sz w:val="24"/>
        </w:rPr>
        <w:t>，其中含氮素14.11kg。</w:t>
      </w:r>
    </w:p>
    <w:p>
      <w:pPr>
        <w:spacing w:line="450" w:lineRule="exact"/>
        <w:ind w:firstLine="480" w:firstLineChars="200"/>
        <w:rPr>
          <w:rFonts w:ascii="Times New Roman" w:hAnsi="Times New Roman"/>
          <w:sz w:val="24"/>
        </w:rPr>
      </w:pPr>
      <w:r>
        <w:rPr>
          <w:rFonts w:ascii="Times New Roman" w:hAnsi="Times New Roman"/>
          <w:sz w:val="24"/>
        </w:rPr>
        <w:t>按最小元素需求量——磷素需求为前提计，果树每年每亩需沼液4.22m</w:t>
      </w:r>
      <w:r>
        <w:rPr>
          <w:rFonts w:ascii="Times New Roman" w:hAnsi="Times New Roman"/>
          <w:sz w:val="24"/>
          <w:vertAlign w:val="superscript"/>
        </w:rPr>
        <w:t>3</w:t>
      </w:r>
      <w:r>
        <w:rPr>
          <w:rFonts w:ascii="Times New Roman" w:hAnsi="Times New Roman"/>
          <w:sz w:val="24"/>
        </w:rPr>
        <w:t>，蔬菜每年每亩需沼液6.84m</w:t>
      </w:r>
      <w:r>
        <w:rPr>
          <w:rFonts w:ascii="Times New Roman" w:hAnsi="Times New Roman"/>
          <w:sz w:val="24"/>
          <w:vertAlign w:val="superscript"/>
        </w:rPr>
        <w:t>3</w:t>
      </w:r>
      <w:r>
        <w:rPr>
          <w:rFonts w:ascii="Times New Roman" w:hAnsi="Times New Roman"/>
          <w:sz w:val="24"/>
        </w:rPr>
        <w:t>，水稻每年每亩需沼液3.8m</w:t>
      </w:r>
      <w:r>
        <w:rPr>
          <w:rFonts w:ascii="Times New Roman" w:hAnsi="Times New Roman"/>
          <w:sz w:val="24"/>
          <w:vertAlign w:val="superscript"/>
        </w:rPr>
        <w:t>3</w:t>
      </w:r>
      <w:r>
        <w:rPr>
          <w:rFonts w:ascii="Times New Roman" w:hAnsi="Times New Roman"/>
          <w:sz w:val="24"/>
        </w:rPr>
        <w:t>。</w:t>
      </w:r>
    </w:p>
    <w:p>
      <w:pPr>
        <w:pStyle w:val="108"/>
        <w:rPr>
          <w:sz w:val="24"/>
        </w:rPr>
      </w:pPr>
      <w:bookmarkStart w:id="246" w:name="_Toc9873388"/>
      <w:r>
        <w:t>5.7.3本项目所在地土地承载力分析</w:t>
      </w:r>
      <w:bookmarkEnd w:id="246"/>
    </w:p>
    <w:p>
      <w:pPr>
        <w:spacing w:line="450" w:lineRule="exact"/>
        <w:ind w:firstLine="480" w:firstLineChars="200"/>
        <w:rPr>
          <w:rFonts w:ascii="Times New Roman" w:hAnsi="Times New Roman"/>
          <w:sz w:val="24"/>
        </w:rPr>
      </w:pPr>
      <w:r>
        <w:rPr>
          <w:rFonts w:ascii="Times New Roman" w:hAnsi="Times New Roman"/>
          <w:sz w:val="24"/>
        </w:rPr>
        <w:t>一般农作物生长情况为果树每年将施肥三次，水稻和蔬菜每年施肥两次。根据调查，当前农田每年施用化肥约50公斤／亩。使用粪肥还田可有效减少化肥使用量约20公斤／亩。如果全部使用粪肥，则可减少化肥使用量为50公斤/亩。</w:t>
      </w:r>
    </w:p>
    <w:p>
      <w:pPr>
        <w:spacing w:line="450" w:lineRule="exact"/>
        <w:ind w:firstLine="480" w:firstLineChars="200"/>
        <w:rPr>
          <w:rFonts w:ascii="Times New Roman" w:hAnsi="Times New Roman"/>
          <w:sz w:val="24"/>
        </w:rPr>
      </w:pPr>
      <w:r>
        <w:rPr>
          <w:rFonts w:ascii="Times New Roman" w:hAnsi="Times New Roman"/>
          <w:sz w:val="24"/>
        </w:rPr>
        <w:t>根据本章前述分析，果树每年每亩可消纳4.22m</w:t>
      </w:r>
      <w:r>
        <w:rPr>
          <w:rFonts w:ascii="Times New Roman" w:hAnsi="Times New Roman"/>
          <w:sz w:val="24"/>
          <w:vertAlign w:val="superscript"/>
        </w:rPr>
        <w:t>3</w:t>
      </w:r>
      <w:r>
        <w:rPr>
          <w:rFonts w:ascii="Times New Roman" w:hAnsi="Times New Roman"/>
          <w:sz w:val="24"/>
        </w:rPr>
        <w:t>沼液液肥，蔬菜每年每亩可消纳6.84m</w:t>
      </w:r>
      <w:r>
        <w:rPr>
          <w:rFonts w:ascii="Times New Roman" w:hAnsi="Times New Roman"/>
          <w:sz w:val="24"/>
          <w:vertAlign w:val="superscript"/>
        </w:rPr>
        <w:t>3</w:t>
      </w:r>
      <w:r>
        <w:rPr>
          <w:rFonts w:ascii="Times New Roman" w:hAnsi="Times New Roman"/>
          <w:sz w:val="24"/>
        </w:rPr>
        <w:t>沼液液肥，水稻每年每亩可消纳3.8m</w:t>
      </w:r>
      <w:r>
        <w:rPr>
          <w:rFonts w:ascii="Times New Roman" w:hAnsi="Times New Roman"/>
          <w:sz w:val="24"/>
          <w:vertAlign w:val="superscript"/>
        </w:rPr>
        <w:t>3</w:t>
      </w:r>
      <w:r>
        <w:rPr>
          <w:rFonts w:ascii="Times New Roman" w:hAnsi="Times New Roman"/>
          <w:sz w:val="24"/>
        </w:rPr>
        <w:t>沼液液肥。</w:t>
      </w:r>
    </w:p>
    <w:p>
      <w:pPr>
        <w:spacing w:line="470" w:lineRule="exact"/>
        <w:ind w:firstLine="475" w:firstLineChars="198"/>
        <w:rPr>
          <w:rFonts w:ascii="Times New Roman" w:hAnsi="Times New Roman"/>
          <w:sz w:val="24"/>
        </w:rPr>
      </w:pPr>
      <w:r>
        <w:rPr>
          <w:rFonts w:hint="eastAsia" w:ascii="Times New Roman" w:hAnsi="Times New Roman"/>
          <w:sz w:val="24"/>
          <w:lang w:val="en-US" w:eastAsia="zh-CN"/>
        </w:rPr>
        <w:t>现原白玉村、延贡村、园林村合并为园林村，合计有种植农用地10800亩</w:t>
      </w:r>
      <w:r>
        <w:rPr>
          <w:rFonts w:hint="eastAsia" w:ascii="Times New Roman" w:hAnsi="Times New Roman"/>
          <w:sz w:val="24"/>
          <w:lang w:eastAsia="zh-CN"/>
        </w:rPr>
        <w:t>，</w:t>
      </w:r>
      <w:r>
        <w:rPr>
          <w:rFonts w:ascii="Times New Roman" w:hAnsi="Times New Roman"/>
          <w:sz w:val="24"/>
        </w:rPr>
        <w:t>其中水田</w:t>
      </w:r>
      <w:r>
        <w:rPr>
          <w:rFonts w:hint="eastAsia" w:ascii="Times New Roman" w:hAnsi="Times New Roman"/>
          <w:sz w:val="24"/>
          <w:lang w:val="en-US" w:eastAsia="zh-CN"/>
        </w:rPr>
        <w:t>1200</w:t>
      </w:r>
      <w:r>
        <w:rPr>
          <w:rFonts w:ascii="Times New Roman" w:hAnsi="Times New Roman"/>
          <w:sz w:val="24"/>
        </w:rPr>
        <w:t>亩，旱地</w:t>
      </w:r>
      <w:r>
        <w:rPr>
          <w:rFonts w:hint="eastAsia" w:ascii="Times New Roman" w:hAnsi="Times New Roman"/>
          <w:sz w:val="24"/>
          <w:lang w:val="en-US" w:eastAsia="zh-CN"/>
        </w:rPr>
        <w:t>72</w:t>
      </w:r>
      <w:r>
        <w:rPr>
          <w:rFonts w:ascii="Times New Roman" w:hAnsi="Times New Roman"/>
          <w:sz w:val="24"/>
        </w:rPr>
        <w:t>00亩，果园</w:t>
      </w:r>
      <w:r>
        <w:rPr>
          <w:rFonts w:hint="eastAsia" w:ascii="Times New Roman" w:hAnsi="Times New Roman"/>
          <w:sz w:val="24"/>
          <w:lang w:val="en-US" w:eastAsia="zh-CN"/>
        </w:rPr>
        <w:t>2400</w:t>
      </w:r>
      <w:r>
        <w:rPr>
          <w:rFonts w:ascii="Times New Roman" w:hAnsi="Times New Roman"/>
          <w:sz w:val="24"/>
        </w:rPr>
        <w:t>亩。该村耕地是主要产粮区，夏季主要种植水稻，部分坡地种植蔬菜，冬季主要种植油菜。主要构成情况见表5.7-2。</w:t>
      </w:r>
    </w:p>
    <w:p>
      <w:pPr>
        <w:spacing w:line="480" w:lineRule="exact"/>
        <w:ind w:firstLine="415" w:firstLineChars="198"/>
        <w:jc w:val="center"/>
        <w:rPr>
          <w:rFonts w:ascii="Times New Roman" w:hAnsi="Times New Roman" w:eastAsia="黑体"/>
          <w:sz w:val="21"/>
          <w:szCs w:val="21"/>
        </w:rPr>
      </w:pPr>
      <w:r>
        <w:rPr>
          <w:rFonts w:ascii="Times New Roman" w:hAnsi="Times New Roman" w:eastAsia="黑体"/>
          <w:sz w:val="21"/>
          <w:szCs w:val="21"/>
        </w:rPr>
        <w:t>表5.7-2  项目附近村社土地具体构成</w:t>
      </w:r>
    </w:p>
    <w:tbl>
      <w:tblPr>
        <w:tblStyle w:val="90"/>
        <w:tblW w:w="7349"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368"/>
        <w:gridCol w:w="900"/>
        <w:gridCol w:w="1272"/>
        <w:gridCol w:w="2024"/>
        <w:gridCol w:w="178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368" w:type="dxa"/>
            <w:vAlign w:val="center"/>
          </w:tcPr>
          <w:p>
            <w:pPr>
              <w:jc w:val="center"/>
              <w:rPr>
                <w:rFonts w:ascii="Times New Roman" w:hAnsi="Times New Roman"/>
                <w:sz w:val="21"/>
                <w:szCs w:val="21"/>
              </w:rPr>
            </w:pPr>
            <w:r>
              <w:rPr>
                <w:rFonts w:ascii="Times New Roman" w:hAnsi="Times New Roman"/>
                <w:sz w:val="21"/>
                <w:szCs w:val="21"/>
              </w:rPr>
              <w:t>项  目</w:t>
            </w:r>
          </w:p>
        </w:tc>
        <w:tc>
          <w:tcPr>
            <w:tcW w:w="900" w:type="dxa"/>
            <w:vAlign w:val="center"/>
          </w:tcPr>
          <w:p>
            <w:pPr>
              <w:jc w:val="center"/>
              <w:rPr>
                <w:rFonts w:ascii="Times New Roman" w:hAnsi="Times New Roman"/>
                <w:sz w:val="21"/>
                <w:szCs w:val="21"/>
              </w:rPr>
            </w:pPr>
            <w:r>
              <w:rPr>
                <w:rFonts w:ascii="Times New Roman" w:hAnsi="Times New Roman"/>
                <w:sz w:val="21"/>
                <w:szCs w:val="21"/>
              </w:rPr>
              <w:t>总量</w:t>
            </w:r>
          </w:p>
        </w:tc>
        <w:tc>
          <w:tcPr>
            <w:tcW w:w="1272" w:type="dxa"/>
            <w:vAlign w:val="center"/>
          </w:tcPr>
          <w:p>
            <w:pPr>
              <w:jc w:val="center"/>
              <w:rPr>
                <w:rFonts w:ascii="Times New Roman" w:hAnsi="Times New Roman"/>
                <w:sz w:val="21"/>
                <w:szCs w:val="21"/>
              </w:rPr>
            </w:pPr>
            <w:r>
              <w:rPr>
                <w:rFonts w:ascii="Times New Roman" w:hAnsi="Times New Roman"/>
                <w:sz w:val="21"/>
                <w:szCs w:val="21"/>
              </w:rPr>
              <w:t>水田</w:t>
            </w:r>
          </w:p>
        </w:tc>
        <w:tc>
          <w:tcPr>
            <w:tcW w:w="2024" w:type="dxa"/>
            <w:vAlign w:val="center"/>
          </w:tcPr>
          <w:p>
            <w:pPr>
              <w:jc w:val="center"/>
              <w:rPr>
                <w:rFonts w:ascii="Times New Roman" w:hAnsi="Times New Roman"/>
                <w:sz w:val="21"/>
                <w:szCs w:val="21"/>
              </w:rPr>
            </w:pPr>
            <w:r>
              <w:rPr>
                <w:rFonts w:ascii="Times New Roman" w:hAnsi="Times New Roman"/>
                <w:sz w:val="21"/>
                <w:szCs w:val="21"/>
              </w:rPr>
              <w:t>旱地</w:t>
            </w:r>
          </w:p>
        </w:tc>
        <w:tc>
          <w:tcPr>
            <w:tcW w:w="1785" w:type="dxa"/>
            <w:vAlign w:val="center"/>
          </w:tcPr>
          <w:p>
            <w:pPr>
              <w:jc w:val="center"/>
              <w:rPr>
                <w:rFonts w:ascii="Times New Roman" w:hAnsi="Times New Roman"/>
                <w:sz w:val="21"/>
                <w:szCs w:val="21"/>
              </w:rPr>
            </w:pPr>
            <w:r>
              <w:rPr>
                <w:rFonts w:ascii="Times New Roman" w:hAnsi="Times New Roman"/>
                <w:sz w:val="21"/>
                <w:szCs w:val="21"/>
              </w:rPr>
              <w:t>果园</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vAlign w:val="center"/>
          </w:tcPr>
          <w:p>
            <w:pPr>
              <w:jc w:val="center"/>
              <w:rPr>
                <w:rFonts w:ascii="Times New Roman" w:hAnsi="Times New Roman"/>
                <w:sz w:val="21"/>
                <w:szCs w:val="21"/>
              </w:rPr>
            </w:pPr>
            <w:r>
              <w:rPr>
                <w:rFonts w:ascii="Times New Roman" w:hAnsi="Times New Roman"/>
                <w:sz w:val="21"/>
                <w:szCs w:val="21"/>
              </w:rPr>
              <w:t>土地构成</w:t>
            </w:r>
          </w:p>
        </w:tc>
        <w:tc>
          <w:tcPr>
            <w:tcW w:w="900" w:type="dxa"/>
            <w:vMerge w:val="restart"/>
            <w:vAlign w:val="center"/>
          </w:tcPr>
          <w:p>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10800亩</w:t>
            </w:r>
          </w:p>
        </w:tc>
        <w:tc>
          <w:tcPr>
            <w:tcW w:w="1272"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1200</w:t>
            </w:r>
          </w:p>
        </w:tc>
        <w:tc>
          <w:tcPr>
            <w:tcW w:w="2024" w:type="dxa"/>
            <w:vAlign w:val="center"/>
          </w:tcPr>
          <w:p>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7200</w:t>
            </w:r>
          </w:p>
        </w:tc>
        <w:tc>
          <w:tcPr>
            <w:tcW w:w="1785" w:type="dxa"/>
            <w:vAlign w:val="center"/>
          </w:tcPr>
          <w:p>
            <w:pPr>
              <w:jc w:val="center"/>
              <w:rPr>
                <w:rFonts w:ascii="Times New Roman" w:hAnsi="Times New Roman"/>
                <w:sz w:val="21"/>
                <w:szCs w:val="21"/>
              </w:rPr>
            </w:pPr>
            <w:r>
              <w:rPr>
                <w:rFonts w:hint="eastAsia" w:ascii="Times New Roman" w:hAnsi="Times New Roman"/>
                <w:sz w:val="21"/>
                <w:szCs w:val="21"/>
                <w:lang w:val="en-US" w:eastAsia="zh-CN"/>
              </w:rPr>
              <w:t>24</w:t>
            </w:r>
            <w:r>
              <w:rPr>
                <w:rFonts w:ascii="Times New Roman" w:hAnsi="Times New Roman"/>
                <w:sz w:val="21"/>
                <w:szCs w:val="21"/>
              </w:rPr>
              <w:t>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vAlign w:val="center"/>
          </w:tcPr>
          <w:p>
            <w:pPr>
              <w:jc w:val="center"/>
              <w:rPr>
                <w:rFonts w:ascii="Times New Roman" w:hAnsi="Times New Roman"/>
                <w:sz w:val="21"/>
                <w:szCs w:val="21"/>
              </w:rPr>
            </w:pPr>
            <w:r>
              <w:rPr>
                <w:rFonts w:ascii="Times New Roman" w:hAnsi="Times New Roman"/>
                <w:sz w:val="21"/>
                <w:szCs w:val="21"/>
              </w:rPr>
              <w:t>夏季种植</w:t>
            </w:r>
          </w:p>
        </w:tc>
        <w:tc>
          <w:tcPr>
            <w:tcW w:w="900" w:type="dxa"/>
            <w:vMerge w:val="continue"/>
            <w:vAlign w:val="center"/>
          </w:tcPr>
          <w:p>
            <w:pPr>
              <w:jc w:val="center"/>
              <w:rPr>
                <w:rFonts w:ascii="Times New Roman" w:hAnsi="Times New Roman"/>
                <w:sz w:val="21"/>
                <w:szCs w:val="21"/>
              </w:rPr>
            </w:pPr>
          </w:p>
        </w:tc>
        <w:tc>
          <w:tcPr>
            <w:tcW w:w="1272" w:type="dxa"/>
            <w:vAlign w:val="center"/>
          </w:tcPr>
          <w:p>
            <w:pPr>
              <w:jc w:val="center"/>
              <w:rPr>
                <w:rFonts w:ascii="Times New Roman" w:hAnsi="Times New Roman"/>
                <w:sz w:val="21"/>
                <w:szCs w:val="21"/>
              </w:rPr>
            </w:pPr>
            <w:r>
              <w:rPr>
                <w:rFonts w:ascii="Times New Roman" w:hAnsi="Times New Roman"/>
                <w:sz w:val="21"/>
                <w:szCs w:val="21"/>
              </w:rPr>
              <w:t>水稻</w:t>
            </w:r>
          </w:p>
        </w:tc>
        <w:tc>
          <w:tcPr>
            <w:tcW w:w="2024" w:type="dxa"/>
            <w:vAlign w:val="center"/>
          </w:tcPr>
          <w:p>
            <w:pPr>
              <w:jc w:val="center"/>
              <w:rPr>
                <w:rFonts w:ascii="Times New Roman" w:hAnsi="Times New Roman"/>
                <w:sz w:val="21"/>
                <w:szCs w:val="21"/>
              </w:rPr>
            </w:pPr>
            <w:r>
              <w:rPr>
                <w:rFonts w:ascii="Times New Roman" w:hAnsi="Times New Roman"/>
                <w:sz w:val="21"/>
                <w:szCs w:val="21"/>
              </w:rPr>
              <w:t>蔬菜</w:t>
            </w:r>
          </w:p>
        </w:tc>
        <w:tc>
          <w:tcPr>
            <w:tcW w:w="1785" w:type="dxa"/>
            <w:vAlign w:val="center"/>
          </w:tcPr>
          <w:p>
            <w:pPr>
              <w:jc w:val="center"/>
              <w:rPr>
                <w:rFonts w:ascii="Times New Roman" w:hAnsi="Times New Roman"/>
                <w:sz w:val="21"/>
                <w:szCs w:val="21"/>
              </w:rPr>
            </w:pPr>
            <w:r>
              <w:rPr>
                <w:rFonts w:ascii="Times New Roman" w:hAnsi="Times New Roman"/>
                <w:sz w:val="21"/>
                <w:szCs w:val="21"/>
              </w:rPr>
              <w:t>果树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vAlign w:val="center"/>
          </w:tcPr>
          <w:p>
            <w:pPr>
              <w:jc w:val="center"/>
              <w:rPr>
                <w:rFonts w:ascii="Times New Roman" w:hAnsi="Times New Roman"/>
                <w:sz w:val="21"/>
                <w:szCs w:val="21"/>
              </w:rPr>
            </w:pPr>
            <w:r>
              <w:rPr>
                <w:rFonts w:ascii="Times New Roman" w:hAnsi="Times New Roman"/>
                <w:sz w:val="21"/>
                <w:szCs w:val="21"/>
              </w:rPr>
              <w:t>冬季种植</w:t>
            </w:r>
          </w:p>
        </w:tc>
        <w:tc>
          <w:tcPr>
            <w:tcW w:w="900" w:type="dxa"/>
            <w:vMerge w:val="continue"/>
            <w:vAlign w:val="center"/>
          </w:tcPr>
          <w:p>
            <w:pPr>
              <w:jc w:val="center"/>
              <w:rPr>
                <w:rFonts w:ascii="Times New Roman" w:hAnsi="Times New Roman"/>
                <w:sz w:val="21"/>
                <w:szCs w:val="21"/>
              </w:rPr>
            </w:pPr>
          </w:p>
        </w:tc>
        <w:tc>
          <w:tcPr>
            <w:tcW w:w="1272" w:type="dxa"/>
            <w:vAlign w:val="center"/>
          </w:tcPr>
          <w:p>
            <w:pPr>
              <w:jc w:val="center"/>
              <w:rPr>
                <w:rFonts w:ascii="Times New Roman" w:hAnsi="Times New Roman"/>
                <w:sz w:val="21"/>
                <w:szCs w:val="21"/>
              </w:rPr>
            </w:pPr>
            <w:r>
              <w:rPr>
                <w:rFonts w:ascii="Times New Roman" w:hAnsi="Times New Roman"/>
                <w:sz w:val="21"/>
                <w:szCs w:val="21"/>
              </w:rPr>
              <w:t>油菜</w:t>
            </w:r>
          </w:p>
        </w:tc>
        <w:tc>
          <w:tcPr>
            <w:tcW w:w="2024" w:type="dxa"/>
            <w:vAlign w:val="center"/>
          </w:tcPr>
          <w:p>
            <w:pPr>
              <w:jc w:val="center"/>
              <w:rPr>
                <w:rFonts w:ascii="Times New Roman" w:hAnsi="Times New Roman"/>
                <w:sz w:val="21"/>
                <w:szCs w:val="21"/>
              </w:rPr>
            </w:pPr>
            <w:r>
              <w:rPr>
                <w:rFonts w:ascii="Times New Roman" w:hAnsi="Times New Roman"/>
                <w:sz w:val="21"/>
                <w:szCs w:val="21"/>
              </w:rPr>
              <w:t>蔬菜</w:t>
            </w:r>
          </w:p>
        </w:tc>
        <w:tc>
          <w:tcPr>
            <w:tcW w:w="1785" w:type="dxa"/>
            <w:vAlign w:val="center"/>
          </w:tcPr>
          <w:p>
            <w:pPr>
              <w:jc w:val="center"/>
              <w:rPr>
                <w:rFonts w:ascii="Times New Roman" w:hAnsi="Times New Roman"/>
                <w:sz w:val="21"/>
                <w:szCs w:val="21"/>
              </w:rPr>
            </w:pPr>
            <w:r>
              <w:rPr>
                <w:rFonts w:ascii="Times New Roman" w:hAnsi="Times New Roman"/>
                <w:sz w:val="21"/>
                <w:szCs w:val="21"/>
              </w:rPr>
              <w:t>果树</w:t>
            </w:r>
          </w:p>
        </w:tc>
      </w:tr>
    </w:tbl>
    <w:p>
      <w:pPr>
        <w:spacing w:line="450" w:lineRule="exact"/>
        <w:ind w:firstLine="480" w:firstLineChars="200"/>
        <w:rPr>
          <w:rFonts w:ascii="Times New Roman" w:hAnsi="Times New Roman"/>
          <w:sz w:val="24"/>
        </w:rPr>
      </w:pPr>
      <w:r>
        <w:rPr>
          <w:rFonts w:hint="eastAsia" w:ascii="Times New Roman" w:hAnsi="Times New Roman"/>
          <w:sz w:val="24"/>
          <w:lang w:val="en-US" w:eastAsia="zh-CN"/>
        </w:rPr>
        <w:t>根据上述耕地计算，</w:t>
      </w:r>
      <w:r>
        <w:rPr>
          <w:rFonts w:ascii="Times New Roman" w:hAnsi="Times New Roman"/>
          <w:sz w:val="24"/>
        </w:rPr>
        <w:t>共需沼液</w:t>
      </w:r>
      <w:r>
        <w:rPr>
          <w:rFonts w:hint="eastAsia" w:ascii="Times New Roman" w:hAnsi="Times New Roman"/>
          <w:sz w:val="24"/>
          <w:lang w:val="en-US" w:eastAsia="zh-CN"/>
        </w:rPr>
        <w:t>778616</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/a作液肥施用于农田</w:t>
      </w:r>
      <w:r>
        <w:rPr>
          <w:rFonts w:hint="eastAsia" w:ascii="Times New Roman" w:hAnsi="Times New Roman"/>
          <w:sz w:val="24"/>
        </w:rPr>
        <w:t>。</w:t>
      </w:r>
      <w:r>
        <w:rPr>
          <w:rFonts w:ascii="Times New Roman" w:hAnsi="Times New Roman"/>
          <w:sz w:val="24"/>
        </w:rPr>
        <w:t>本项目废水产生量29416m</w:t>
      </w:r>
      <w:r>
        <w:rPr>
          <w:rFonts w:ascii="Times New Roman" w:hAnsi="Times New Roman"/>
          <w:sz w:val="24"/>
          <w:vertAlign w:val="superscript"/>
        </w:rPr>
        <w:t>3</w:t>
      </w:r>
      <w:r>
        <w:rPr>
          <w:rFonts w:ascii="Times New Roman" w:hAnsi="Times New Roman"/>
          <w:sz w:val="24"/>
        </w:rPr>
        <w:t>/a，一期产生量14900m</w:t>
      </w:r>
      <w:r>
        <w:rPr>
          <w:rFonts w:ascii="Times New Roman" w:hAnsi="Times New Roman"/>
          <w:sz w:val="24"/>
          <w:vertAlign w:val="superscript"/>
        </w:rPr>
        <w:t>3</w:t>
      </w:r>
      <w:r>
        <w:rPr>
          <w:rFonts w:ascii="Times New Roman" w:hAnsi="Times New Roman"/>
          <w:sz w:val="24"/>
        </w:rPr>
        <w:t>/a，则全厂44316m</w:t>
      </w:r>
      <w:r>
        <w:rPr>
          <w:rFonts w:ascii="Times New Roman" w:hAnsi="Times New Roman"/>
          <w:sz w:val="24"/>
          <w:vertAlign w:val="superscript"/>
        </w:rPr>
        <w:t>3</w:t>
      </w:r>
      <w:r>
        <w:rPr>
          <w:rFonts w:ascii="Times New Roman" w:hAnsi="Times New Roman"/>
          <w:sz w:val="24"/>
        </w:rPr>
        <w:t>/a。</w:t>
      </w:r>
      <w:r>
        <w:rPr>
          <w:rFonts w:hint="eastAsia" w:ascii="Times New Roman" w:hAnsi="Times New Roman"/>
          <w:sz w:val="24"/>
          <w:lang w:val="en-US" w:eastAsia="zh-CN"/>
        </w:rPr>
        <w:t>液肥</w:t>
      </w:r>
      <w:r>
        <w:rPr>
          <w:rFonts w:ascii="Times New Roman" w:hAnsi="Times New Roman"/>
          <w:sz w:val="24"/>
        </w:rPr>
        <w:t>施于农田，干粪为固体废料外送有机肥厂堆肥。</w:t>
      </w:r>
      <w:bookmarkStart w:id="383" w:name="_GoBack"/>
      <w:bookmarkEnd w:id="383"/>
      <w:r>
        <w:rPr>
          <w:rFonts w:hint="eastAsia" w:ascii="Times New Roman" w:hAnsi="Times New Roman"/>
          <w:sz w:val="24"/>
        </w:rPr>
        <w:t>项目</w:t>
      </w:r>
      <w:r>
        <w:rPr>
          <w:rFonts w:hint="eastAsia" w:ascii="Times New Roman" w:hAnsi="Times New Roman"/>
          <w:sz w:val="24"/>
          <w:lang w:val="en-US" w:eastAsia="zh-CN"/>
        </w:rPr>
        <w:t>所在地附近的园林村</w:t>
      </w:r>
      <w:r>
        <w:rPr>
          <w:rFonts w:ascii="Times New Roman" w:hAnsi="Times New Roman"/>
          <w:sz w:val="24"/>
        </w:rPr>
        <w:t>种植面积</w:t>
      </w:r>
      <w:r>
        <w:rPr>
          <w:rFonts w:hint="eastAsia" w:ascii="Times New Roman" w:hAnsi="Times New Roman"/>
          <w:sz w:val="24"/>
          <w:lang w:val="en-US" w:eastAsia="zh-CN"/>
        </w:rPr>
        <w:t>10800</w:t>
      </w:r>
      <w:r>
        <w:rPr>
          <w:rFonts w:hint="eastAsia" w:ascii="Times New Roman" w:hAnsi="Times New Roman"/>
          <w:sz w:val="24"/>
        </w:rPr>
        <w:t>亩，足够消纳本项目废水。</w:t>
      </w:r>
    </w:p>
    <w:p>
      <w:pPr>
        <w:spacing w:line="450" w:lineRule="exact"/>
        <w:ind w:firstLine="482"/>
        <w:rPr>
          <w:rFonts w:ascii="Times New Roman" w:hAnsi="Times New Roman"/>
          <w:sz w:val="24"/>
        </w:rPr>
      </w:pPr>
      <w:r>
        <w:rPr>
          <w:rFonts w:hint="eastAsia" w:ascii="Times New Roman" w:hAnsi="Times New Roman"/>
          <w:sz w:val="24"/>
        </w:rPr>
        <w:t>可</w:t>
      </w:r>
      <w:r>
        <w:rPr>
          <w:rFonts w:ascii="Times New Roman" w:hAnsi="Times New Roman"/>
          <w:sz w:val="24"/>
        </w:rPr>
        <w:t>实现项目污水的产纳平衡。</w:t>
      </w:r>
    </w:p>
    <w:p>
      <w:pPr>
        <w:pStyle w:val="108"/>
      </w:pPr>
      <w:r>
        <w:t>5.7.4  肥施要求</w:t>
      </w:r>
    </w:p>
    <w:p>
      <w:pPr>
        <w:spacing w:line="470" w:lineRule="exact"/>
        <w:ind w:firstLine="475" w:firstLineChars="198"/>
        <w:rPr>
          <w:rFonts w:ascii="Times New Roman" w:hAnsi="Times New Roman"/>
          <w:sz w:val="24"/>
        </w:rPr>
      </w:pPr>
      <w:r>
        <w:rPr>
          <w:rFonts w:ascii="Times New Roman" w:hAnsi="Times New Roman"/>
          <w:sz w:val="24"/>
        </w:rPr>
        <w:t>经过厌氧处理的废水中污染物质浓度还很高，综合利用是消除污染的良好办法。由于达标废水中很多物质浓度大大高于农灌水指标，该部分废水使用必须进行水肥等多方面平衡，不能当作灌溉用水。在污染防治方面，必须采取控制型施用。主要措施如下：</w:t>
      </w:r>
    </w:p>
    <w:p>
      <w:pPr>
        <w:spacing w:line="470" w:lineRule="exact"/>
        <w:ind w:firstLine="480" w:firstLineChars="200"/>
        <w:rPr>
          <w:rFonts w:ascii="Times New Roman" w:hAnsi="Times New Roman"/>
          <w:sz w:val="24"/>
        </w:rPr>
      </w:pPr>
      <w:r>
        <w:rPr>
          <w:rFonts w:ascii="Times New Roman" w:hAnsi="Times New Roman"/>
          <w:sz w:val="24"/>
        </w:rPr>
        <w:t>1、不允许作为农灌用水，利用开放式天然沟渠灌溉。</w:t>
      </w:r>
    </w:p>
    <w:p>
      <w:pPr>
        <w:spacing w:line="470" w:lineRule="exact"/>
        <w:ind w:left="475"/>
        <w:rPr>
          <w:rFonts w:ascii="Times New Roman" w:hAnsi="Times New Roman"/>
          <w:sz w:val="24"/>
        </w:rPr>
      </w:pPr>
      <w:r>
        <w:rPr>
          <w:rFonts w:ascii="Times New Roman" w:hAnsi="Times New Roman"/>
          <w:sz w:val="24"/>
        </w:rPr>
        <w:t>2、每亩地施用量需要核定，防止过量施肥。</w:t>
      </w:r>
    </w:p>
    <w:p>
      <w:pPr>
        <w:spacing w:line="470" w:lineRule="exact"/>
        <w:ind w:firstLine="480" w:firstLineChars="200"/>
        <w:rPr>
          <w:rFonts w:ascii="Times New Roman" w:hAnsi="Times New Roman"/>
          <w:sz w:val="24"/>
        </w:rPr>
      </w:pPr>
      <w:r>
        <w:rPr>
          <w:rFonts w:ascii="Times New Roman" w:hAnsi="Times New Roman"/>
          <w:sz w:val="24"/>
        </w:rPr>
        <w:t>3、用于水稻施用时需要严格防止肥料过量和污染发生，水田中肥料浓度需要满足作物各阶段正常生长的需求，初期浸施可以起到部分底肥效果，其它阶段按追肥使用效果较好。施用时通常需配农灌水。作物生产后期应该少施用或停止施用。施用的水田必须加高田坎，堵塞排水口，并预留足够的降雨防洪水位。减少水田水体流入天然水体的可能性。</w:t>
      </w:r>
    </w:p>
    <w:p>
      <w:pPr>
        <w:spacing w:line="470" w:lineRule="exact"/>
        <w:ind w:left="475"/>
        <w:rPr>
          <w:rFonts w:ascii="Times New Roman" w:hAnsi="Times New Roman"/>
          <w:sz w:val="24"/>
        </w:rPr>
      </w:pPr>
      <w:r>
        <w:rPr>
          <w:rFonts w:ascii="Times New Roman" w:hAnsi="Times New Roman"/>
          <w:sz w:val="24"/>
        </w:rPr>
        <w:t>4、土地闲置期（不包括耕作前）不允许施用。</w:t>
      </w:r>
    </w:p>
    <w:p>
      <w:pPr>
        <w:spacing w:line="470" w:lineRule="exact"/>
        <w:ind w:left="475"/>
        <w:rPr>
          <w:rFonts w:ascii="Times New Roman" w:hAnsi="Times New Roman"/>
          <w:sz w:val="24"/>
        </w:rPr>
      </w:pPr>
      <w:r>
        <w:rPr>
          <w:rFonts w:ascii="Times New Roman" w:hAnsi="Times New Roman"/>
          <w:sz w:val="24"/>
        </w:rPr>
        <w:t>5、土地含水率较高，高于作物生长适宜含水率时不能施用。</w:t>
      </w:r>
    </w:p>
    <w:p>
      <w:pPr>
        <w:spacing w:line="470" w:lineRule="exact"/>
        <w:ind w:firstLine="480" w:firstLineChars="200"/>
        <w:rPr>
          <w:rFonts w:ascii="Times New Roman" w:hAnsi="Times New Roman"/>
          <w:sz w:val="24"/>
        </w:rPr>
      </w:pPr>
      <w:r>
        <w:rPr>
          <w:rFonts w:ascii="Times New Roman" w:hAnsi="Times New Roman"/>
          <w:sz w:val="24"/>
        </w:rPr>
        <w:t>综上所述，在合理设置施肥方案、科学施肥的前提下，本项目养殖废水可实现在当地现有耕地内完全消纳。</w:t>
      </w:r>
    </w:p>
    <w:p>
      <w:pPr>
        <w:widowControl/>
        <w:spacing w:line="240" w:lineRule="auto"/>
        <w:jc w:val="left"/>
        <w:rPr>
          <w:rFonts w:ascii="Times New Roman" w:hAnsi="Times New Roman" w:eastAsia="黑体"/>
          <w:sz w:val="36"/>
        </w:rPr>
      </w:pPr>
      <w:r>
        <w:rPr>
          <w:rFonts w:ascii="Times New Roman" w:hAnsi="Times New Roman" w:eastAsia="黑体"/>
          <w:sz w:val="36"/>
        </w:rPr>
        <w:br w:type="page"/>
      </w:r>
    </w:p>
    <w:p>
      <w:pPr>
        <w:pStyle w:val="101"/>
        <w:spacing w:before="780" w:after="780"/>
        <w:rPr>
          <w:rFonts w:ascii="Times New Roman" w:hAnsi="Times New Roman"/>
        </w:rPr>
      </w:pPr>
      <w:bookmarkStart w:id="247" w:name="_Toc9873389"/>
      <w:r>
        <w:rPr>
          <w:rFonts w:ascii="Times New Roman" w:hAnsi="Times New Roman"/>
        </w:rPr>
        <w:t>第六章  环境风险评价</w:t>
      </w:r>
      <w:bookmarkEnd w:id="247"/>
    </w:p>
    <w:p>
      <w:pPr>
        <w:pStyle w:val="103"/>
        <w:numPr>
          <w:ilvl w:val="0"/>
          <w:numId w:val="0"/>
        </w:numPr>
        <w:rPr>
          <w:rFonts w:ascii="Times New Roman" w:hAnsi="Times New Roman"/>
          <w:b w:val="0"/>
          <w:bCs/>
          <w:kern w:val="28"/>
          <w:sz w:val="32"/>
          <w:szCs w:val="32"/>
        </w:rPr>
      </w:pPr>
      <w:bookmarkStart w:id="248" w:name="_Toc9873390"/>
      <w:r>
        <w:rPr>
          <w:rFonts w:ascii="Times New Roman" w:hAnsi="Times New Roman"/>
          <w:b w:val="0"/>
          <w:bCs/>
          <w:kern w:val="28"/>
          <w:sz w:val="32"/>
          <w:szCs w:val="32"/>
        </w:rPr>
        <w:t>6.1 风险评价目的</w:t>
      </w:r>
      <w:bookmarkEnd w:id="248"/>
    </w:p>
    <w:p>
      <w:pPr>
        <w:widowControl/>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环境风险是突发性事故对环境造成的危害程度及可能性。本项目为生猪养殖基地，机场运营期涉及的风险物质主要为沼气（甲烷），发酵深坑产生的少量沼气可能存在一定的环境风险。根据《建设项目环境风险评价技术导则》（TJ169-2018）的要求，需要对本项目建设进行环境事故风险评价，通过评价认识本项目的风险程度、危险环节和事故后果影响大小，从中提高风险管理的意识，提出本项目环境风险防范措施和应急预案，杜绝环境污染事故的发生。</w:t>
      </w:r>
    </w:p>
    <w:p>
      <w:pPr>
        <w:keepNext/>
        <w:keepLines/>
        <w:spacing w:before="78" w:beforeLines="25" w:after="78" w:afterLines="25" w:line="480" w:lineRule="exact"/>
        <w:jc w:val="left"/>
        <w:outlineLvl w:val="1"/>
        <w:rPr>
          <w:rFonts w:ascii="Times New Roman" w:hAnsi="Times New Roman"/>
          <w:b/>
          <w:bCs/>
          <w:kern w:val="28"/>
          <w:sz w:val="32"/>
          <w:szCs w:val="32"/>
        </w:rPr>
      </w:pPr>
      <w:bookmarkStart w:id="249" w:name="_Toc9873391"/>
      <w:bookmarkStart w:id="250" w:name="_Toc380772438"/>
      <w:bookmarkStart w:id="251" w:name="_Toc370397554"/>
      <w:bookmarkStart w:id="252" w:name="_Toc411330470"/>
      <w:bookmarkStart w:id="253" w:name="_Toc371189325"/>
      <w:bookmarkStart w:id="254" w:name="_Toc5179645"/>
      <w:r>
        <w:rPr>
          <w:rFonts w:ascii="Times New Roman" w:hAnsi="Times New Roman"/>
          <w:b/>
          <w:bCs/>
          <w:kern w:val="28"/>
          <w:sz w:val="32"/>
          <w:szCs w:val="32"/>
        </w:rPr>
        <w:t>6.2 风险调查</w:t>
      </w:r>
      <w:bookmarkEnd w:id="249"/>
      <w:bookmarkEnd w:id="250"/>
      <w:bookmarkEnd w:id="251"/>
      <w:bookmarkEnd w:id="252"/>
      <w:bookmarkEnd w:id="253"/>
      <w:bookmarkEnd w:id="254"/>
    </w:p>
    <w:p>
      <w:pPr>
        <w:widowControl/>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1、风险物质识别</w:t>
      </w:r>
    </w:p>
    <w:p>
      <w:pPr>
        <w:ind w:firstLine="480" w:firstLineChars="200"/>
        <w:rPr>
          <w:rFonts w:ascii="Times New Roman" w:hAnsi="Times New Roman"/>
          <w:sz w:val="24"/>
        </w:rPr>
      </w:pPr>
      <w:r>
        <w:rPr>
          <w:rFonts w:ascii="Times New Roman" w:hAnsi="Times New Roman"/>
          <w:sz w:val="24"/>
        </w:rPr>
        <w:t>本项目不设沼气池，无沼气产生，</w:t>
      </w:r>
      <w:r>
        <w:rPr>
          <w:rFonts w:ascii="Times New Roman" w:hAnsi="Times New Roman" w:eastAsiaTheme="minorEastAsia"/>
          <w:sz w:val="24"/>
          <w:szCs w:val="24"/>
        </w:rPr>
        <w:t>根据《建设项目环境风险评价技术导则》（TJ169-2018）附录B，本项目不涉及风险物质。</w:t>
      </w:r>
    </w:p>
    <w:p>
      <w:pPr>
        <w:widowControl/>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2、环境敏感区识别</w:t>
      </w:r>
    </w:p>
    <w:p>
      <w:pPr>
        <w:ind w:firstLine="480" w:firstLineChars="200"/>
        <w:rPr>
          <w:rFonts w:ascii="Times New Roman" w:hAnsi="Times New Roman"/>
          <w:sz w:val="24"/>
          <w:szCs w:val="24"/>
        </w:rPr>
      </w:pPr>
      <w:r>
        <w:rPr>
          <w:rFonts w:ascii="Times New Roman" w:hAnsi="Times New Roman" w:eastAsiaTheme="minorEastAsia"/>
          <w:sz w:val="24"/>
          <w:szCs w:val="24"/>
        </w:rPr>
        <w:t>本项目所在的邛崃市冉义镇白玉村属于农用地区域，</w:t>
      </w:r>
      <w:r>
        <w:rPr>
          <w:rFonts w:ascii="Times New Roman" w:hAnsi="Times New Roman"/>
          <w:sz w:val="24"/>
          <w:szCs w:val="24"/>
        </w:rPr>
        <w:t>根据调查，项目周边5km范围内无特殊环境敏感区，环境风险保护目标主要为周边的农户、场镇居民及学校、地表水体及地下水，环境风险敏感目标具体情况详见下表。</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jc w:val="center"/>
        <w:rPr>
          <w:rFonts w:ascii="Times New Roman" w:hAnsi="Times New Roman" w:eastAsia="黑体"/>
          <w:sz w:val="21"/>
          <w:szCs w:val="21"/>
        </w:rPr>
      </w:pPr>
      <w:r>
        <w:rPr>
          <w:rFonts w:ascii="Times New Roman" w:hAnsi="Times New Roman" w:eastAsia="黑体"/>
          <w:sz w:val="21"/>
          <w:szCs w:val="21"/>
        </w:rPr>
        <w:t>表6.2-1　环境风险敏感目标表</w:t>
      </w:r>
    </w:p>
    <w:tbl>
      <w:tblPr>
        <w:tblStyle w:val="90"/>
        <w:tblW w:w="8996"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84"/>
        <w:gridCol w:w="2443"/>
        <w:gridCol w:w="1014"/>
        <w:gridCol w:w="2246"/>
        <w:gridCol w:w="1011"/>
        <w:gridCol w:w="1498"/>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序号</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保护目标</w:t>
            </w:r>
          </w:p>
        </w:tc>
        <w:tc>
          <w:tcPr>
            <w:tcW w:w="1014"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pacing w:val="2"/>
                <w:sz w:val="21"/>
                <w:szCs w:val="21"/>
              </w:rPr>
              <w:t>方位</w:t>
            </w:r>
          </w:p>
        </w:tc>
        <w:tc>
          <w:tcPr>
            <w:tcW w:w="2246"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pacing w:val="2"/>
                <w:sz w:val="21"/>
                <w:szCs w:val="21"/>
              </w:rPr>
              <w:t>距离圈舍</w:t>
            </w:r>
          </w:p>
        </w:tc>
        <w:tc>
          <w:tcPr>
            <w:tcW w:w="1011"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pacing w:val="2"/>
                <w:sz w:val="21"/>
                <w:szCs w:val="21"/>
              </w:rPr>
              <w:t>规模</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性质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w:t>
            </w:r>
          </w:p>
        </w:tc>
        <w:tc>
          <w:tcPr>
            <w:tcW w:w="24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白玉村农户</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南</w:t>
            </w:r>
          </w:p>
        </w:tc>
        <w:tc>
          <w:tcPr>
            <w:tcW w:w="224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10m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rPr>
              <w:t>1户</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w:t>
            </w:r>
          </w:p>
        </w:tc>
        <w:tc>
          <w:tcPr>
            <w:tcW w:w="24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24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150m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10余户</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w:t>
            </w:r>
          </w:p>
        </w:tc>
        <w:tc>
          <w:tcPr>
            <w:tcW w:w="24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w:t>
            </w:r>
          </w:p>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（大邑县安仁镇）</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24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40m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1户</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4</w:t>
            </w:r>
          </w:p>
        </w:tc>
        <w:tc>
          <w:tcPr>
            <w:tcW w:w="24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白鹤村农户</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24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1.6km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5</w:t>
            </w:r>
          </w:p>
        </w:tc>
        <w:tc>
          <w:tcPr>
            <w:tcW w:w="2443"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泉水村农户</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北</w:t>
            </w:r>
          </w:p>
        </w:tc>
        <w:tc>
          <w:tcPr>
            <w:tcW w:w="2246" w:type="dxa"/>
            <w:vAlign w:val="center"/>
          </w:tcPr>
          <w:p>
            <w:pPr>
              <w:spacing w:line="280" w:lineRule="exact"/>
              <w:jc w:val="center"/>
              <w:rPr>
                <w:rFonts w:ascii="Times New Roman" w:hAnsi="Times New Roman" w:eastAsiaTheme="minorEastAsia"/>
                <w:sz w:val="21"/>
                <w:szCs w:val="21"/>
              </w:rPr>
            </w:pPr>
            <w:r>
              <w:rPr>
                <w:rFonts w:ascii="Times New Roman" w:hAnsi="Times New Roman" w:eastAsiaTheme="minorEastAsia"/>
                <w:sz w:val="21"/>
                <w:szCs w:val="21"/>
              </w:rPr>
              <w:t>2.5km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6</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唐场镇居民</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rPr>
              <w:t>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3.0km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17000人</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居民点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7</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青杠安置小区</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rPr>
              <w:t>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3.2km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居民点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8</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官峰村农户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东北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2.6km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9</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上江区</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东北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1.7km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10</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同心村农户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东</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2.2km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11</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英汉村农户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东</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2.6km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12</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兴隆村农户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东</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2.6km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13</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清明村农户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东南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14</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冉义镇初级中学</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东南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3.1km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rPr>
              <w:t>约150人</w:t>
            </w:r>
          </w:p>
        </w:tc>
        <w:tc>
          <w:tcPr>
            <w:tcW w:w="1498"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pacing w:val="2"/>
                <w:sz w:val="21"/>
                <w:szCs w:val="21"/>
              </w:rPr>
              <w:t>学校</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15</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高石村农户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1.6km</w:t>
            </w:r>
          </w:p>
        </w:tc>
        <w:tc>
          <w:tcPr>
            <w:tcW w:w="1011"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16</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妙果村农户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2.6km</w:t>
            </w:r>
          </w:p>
        </w:tc>
        <w:tc>
          <w:tcPr>
            <w:tcW w:w="1011"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17</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红豆村农户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2.7km</w:t>
            </w:r>
          </w:p>
        </w:tc>
        <w:tc>
          <w:tcPr>
            <w:tcW w:w="1011"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18</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联合村农户</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南</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4.5km</w:t>
            </w:r>
          </w:p>
        </w:tc>
        <w:tc>
          <w:tcPr>
            <w:tcW w:w="1011"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19</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昌盛村农户（大邑县）</w:t>
            </w:r>
          </w:p>
        </w:tc>
        <w:tc>
          <w:tcPr>
            <w:tcW w:w="1014" w:type="dxa"/>
            <w:vAlign w:val="center"/>
          </w:tcPr>
          <w:p>
            <w:pPr>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lang w:val="zh-CN"/>
              </w:rPr>
              <w:t>西</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2.2km</w:t>
            </w:r>
          </w:p>
        </w:tc>
        <w:tc>
          <w:tcPr>
            <w:tcW w:w="1011"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z w:val="21"/>
                <w:szCs w:val="21"/>
                <w:lang w:val="zh-CN"/>
              </w:rPr>
              <w:t>散居</w:t>
            </w:r>
          </w:p>
        </w:tc>
        <w:tc>
          <w:tcPr>
            <w:tcW w:w="1498"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农户</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20</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上安初中（大邑县）</w:t>
            </w:r>
          </w:p>
        </w:tc>
        <w:tc>
          <w:tcPr>
            <w:tcW w:w="1014" w:type="dxa"/>
            <w:vAlign w:val="center"/>
          </w:tcPr>
          <w:p>
            <w:pPr>
              <w:autoSpaceDE w:val="0"/>
              <w:autoSpaceDN w:val="0"/>
              <w:adjustRightInd w:val="0"/>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西</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2.6km</w:t>
            </w:r>
          </w:p>
        </w:tc>
        <w:tc>
          <w:tcPr>
            <w:tcW w:w="1011" w:type="dxa"/>
            <w:vAlign w:val="center"/>
          </w:tcPr>
          <w:p>
            <w:pPr>
              <w:autoSpaceDE w:val="0"/>
              <w:autoSpaceDN w:val="0"/>
              <w:adjustRightInd w:val="0"/>
              <w:spacing w:line="340" w:lineRule="exact"/>
              <w:jc w:val="center"/>
              <w:rPr>
                <w:rFonts w:ascii="Times New Roman" w:hAnsi="Times New Roman" w:eastAsiaTheme="minorEastAsia"/>
                <w:sz w:val="21"/>
                <w:szCs w:val="21"/>
                <w:lang w:val="zh-CN"/>
              </w:rPr>
            </w:pPr>
            <w:r>
              <w:rPr>
                <w:rFonts w:ascii="Times New Roman" w:hAnsi="Times New Roman" w:eastAsiaTheme="minorEastAsia"/>
                <w:sz w:val="21"/>
                <w:szCs w:val="21"/>
              </w:rPr>
              <w:t>约150人</w:t>
            </w:r>
          </w:p>
        </w:tc>
        <w:tc>
          <w:tcPr>
            <w:tcW w:w="1498"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pacing w:val="2"/>
                <w:sz w:val="21"/>
                <w:szCs w:val="21"/>
              </w:rPr>
              <w:t>学校</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21</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上安镇政府（大邑县）</w:t>
            </w:r>
          </w:p>
        </w:tc>
        <w:tc>
          <w:tcPr>
            <w:tcW w:w="101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lang w:val="zh-CN"/>
              </w:rPr>
              <w:t>西</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2.9km</w:t>
            </w:r>
          </w:p>
        </w:tc>
        <w:tc>
          <w:tcPr>
            <w:tcW w:w="1011"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约50人</w:t>
            </w:r>
          </w:p>
        </w:tc>
        <w:tc>
          <w:tcPr>
            <w:tcW w:w="1498" w:type="dxa"/>
            <w:vAlign w:val="center"/>
          </w:tcPr>
          <w:p>
            <w:pPr>
              <w:spacing w:line="340" w:lineRule="exact"/>
              <w:jc w:val="center"/>
              <w:rPr>
                <w:rFonts w:ascii="Times New Roman" w:hAnsi="Times New Roman" w:eastAsiaTheme="minorEastAsia"/>
                <w:spacing w:val="2"/>
                <w:sz w:val="21"/>
                <w:szCs w:val="21"/>
              </w:rPr>
            </w:pPr>
            <w:r>
              <w:rPr>
                <w:rFonts w:ascii="Times New Roman" w:hAnsi="Times New Roman" w:eastAsiaTheme="minorEastAsia"/>
                <w:spacing w:val="2"/>
                <w:sz w:val="21"/>
                <w:szCs w:val="21"/>
              </w:rPr>
              <w:t>办公</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78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22</w:t>
            </w:r>
          </w:p>
        </w:tc>
        <w:tc>
          <w:tcPr>
            <w:tcW w:w="2443"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斜江河</w:t>
            </w:r>
          </w:p>
        </w:tc>
        <w:tc>
          <w:tcPr>
            <w:tcW w:w="1014"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东</w:t>
            </w:r>
          </w:p>
        </w:tc>
        <w:tc>
          <w:tcPr>
            <w:tcW w:w="2246" w:type="dxa"/>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400m</w:t>
            </w:r>
          </w:p>
        </w:tc>
        <w:tc>
          <w:tcPr>
            <w:tcW w:w="2509" w:type="dxa"/>
            <w:gridSpan w:val="2"/>
            <w:vAlign w:val="center"/>
          </w:tcPr>
          <w:p>
            <w:pPr>
              <w:spacing w:line="340" w:lineRule="exact"/>
              <w:jc w:val="center"/>
              <w:rPr>
                <w:rFonts w:ascii="Times New Roman" w:hAnsi="Times New Roman" w:eastAsiaTheme="minorEastAsia"/>
                <w:sz w:val="21"/>
                <w:szCs w:val="21"/>
              </w:rPr>
            </w:pPr>
            <w:r>
              <w:rPr>
                <w:rFonts w:ascii="Times New Roman" w:hAnsi="Times New Roman" w:eastAsiaTheme="minorEastAsia"/>
                <w:sz w:val="21"/>
                <w:szCs w:val="21"/>
              </w:rPr>
              <w:t>杜绝废水事故排放对斜江河造成影响</w:t>
            </w:r>
          </w:p>
        </w:tc>
      </w:tr>
    </w:tbl>
    <w:p>
      <w:pPr>
        <w:pStyle w:val="103"/>
        <w:numPr>
          <w:ilvl w:val="0"/>
          <w:numId w:val="0"/>
        </w:numPr>
        <w:rPr>
          <w:rFonts w:ascii="Times New Roman" w:hAnsi="Times New Roman"/>
          <w:b w:val="0"/>
          <w:bCs/>
          <w:kern w:val="28"/>
          <w:sz w:val="32"/>
          <w:szCs w:val="32"/>
        </w:rPr>
      </w:pPr>
      <w:bookmarkStart w:id="255" w:name="_Toc9873392"/>
      <w:r>
        <w:rPr>
          <w:rFonts w:ascii="Times New Roman" w:hAnsi="Times New Roman"/>
          <w:b w:val="0"/>
          <w:bCs/>
          <w:kern w:val="28"/>
          <w:sz w:val="32"/>
          <w:szCs w:val="32"/>
        </w:rPr>
        <w:t>6.3 评价等级</w:t>
      </w:r>
      <w:bookmarkEnd w:id="255"/>
    </w:p>
    <w:p>
      <w:pPr>
        <w:pStyle w:val="108"/>
      </w:pPr>
      <w:bookmarkStart w:id="256" w:name="_Toc9873393"/>
      <w:r>
        <w:t>6.3.1 环境风险潜势判断</w:t>
      </w:r>
      <w:bookmarkEnd w:id="256"/>
    </w:p>
    <w:p>
      <w:pPr>
        <w:ind w:firstLine="360" w:firstLineChars="150"/>
        <w:rPr>
          <w:rFonts w:ascii="Times New Roman" w:hAnsi="Times New Roman" w:eastAsiaTheme="minorEastAsia"/>
          <w:sz w:val="24"/>
          <w:szCs w:val="24"/>
        </w:rPr>
      </w:pPr>
      <w:r>
        <w:rPr>
          <w:rFonts w:ascii="Times New Roman" w:hAnsi="Times New Roman" w:eastAsiaTheme="minorEastAsia"/>
          <w:sz w:val="24"/>
          <w:szCs w:val="24"/>
        </w:rPr>
        <w:t>根据《建设项目环境风险评价技术导则》（TJ169-2018），项目环境风险潜势由环境敏感程度（E）、危险物质及工艺系统危险性（P）决定，具体见表6.3-1。</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jc w:val="center"/>
        <w:rPr>
          <w:rFonts w:ascii="Times New Roman" w:hAnsi="Times New Roman" w:eastAsia="黑体"/>
          <w:sz w:val="21"/>
          <w:szCs w:val="21"/>
        </w:rPr>
      </w:pPr>
      <w:r>
        <w:rPr>
          <w:rFonts w:ascii="Times New Roman" w:hAnsi="Times New Roman" w:eastAsia="黑体"/>
          <w:sz w:val="21"/>
          <w:szCs w:val="21"/>
        </w:rPr>
        <w:t>表6.3-1  建设项目环境风险潜势划分</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1617"/>
        <w:gridCol w:w="1619"/>
        <w:gridCol w:w="1619"/>
        <w:gridCol w:w="1537"/>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Merge w:val="restart"/>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w:t>
            </w:r>
          </w:p>
        </w:tc>
        <w:tc>
          <w:tcPr>
            <w:tcW w:w="6392" w:type="dxa"/>
            <w:gridSpan w:val="4"/>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危险物质及工艺系统危险性（P）</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66" w:hRule="atLeast"/>
        </w:trPr>
        <w:tc>
          <w:tcPr>
            <w:tcW w:w="2130" w:type="dxa"/>
            <w:vMerge w:val="continue"/>
            <w:vAlign w:val="center"/>
          </w:tcPr>
          <w:p>
            <w:pPr>
              <w:jc w:val="center"/>
              <w:rPr>
                <w:rFonts w:ascii="Times New Roman" w:hAnsi="Times New Roman" w:eastAsiaTheme="minorEastAsia"/>
                <w:sz w:val="21"/>
                <w:szCs w:val="21"/>
              </w:rPr>
            </w:pP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极高危害（P1）</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高度危害（P1）</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中度危害（P1）</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轻度危害（P1）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环境敏感程度（E1）</w:t>
            </w: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IV</w:t>
            </w:r>
            <w:r>
              <w:rPr>
                <w:rFonts w:ascii="Times New Roman" w:hAnsi="Times New Roman" w:eastAsiaTheme="minorEastAsia"/>
                <w:sz w:val="21"/>
                <w:szCs w:val="21"/>
                <w:vertAlign w:val="superscript"/>
              </w:rPr>
              <w:t>+</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IV</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环境敏感程度（E2）</w:t>
            </w: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IV</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13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环境敏感程度（E3）</w:t>
            </w:r>
          </w:p>
        </w:tc>
        <w:tc>
          <w:tcPr>
            <w:tcW w:w="161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III</w:t>
            </w:r>
          </w:p>
        </w:tc>
        <w:tc>
          <w:tcPr>
            <w:tcW w:w="1619"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II</w:t>
            </w:r>
          </w:p>
        </w:tc>
        <w:tc>
          <w:tcPr>
            <w:tcW w:w="1537"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8522" w:type="dxa"/>
            <w:gridSpan w:val="5"/>
            <w:vAlign w:val="center"/>
          </w:tcPr>
          <w:p>
            <w:pPr>
              <w:jc w:val="left"/>
              <w:rPr>
                <w:rFonts w:ascii="Times New Roman" w:hAnsi="Times New Roman" w:eastAsiaTheme="minorEastAsia"/>
                <w:sz w:val="21"/>
                <w:szCs w:val="21"/>
              </w:rPr>
            </w:pPr>
            <w:r>
              <w:rPr>
                <w:rFonts w:ascii="Times New Roman" w:hAnsi="Times New Roman" w:eastAsiaTheme="minorEastAsia"/>
                <w:sz w:val="21"/>
                <w:szCs w:val="21"/>
              </w:rPr>
              <w:t>注：IV</w:t>
            </w:r>
            <w:r>
              <w:rPr>
                <w:rFonts w:ascii="Times New Roman" w:hAnsi="Times New Roman" w:eastAsiaTheme="minorEastAsia"/>
                <w:sz w:val="21"/>
                <w:szCs w:val="21"/>
                <w:vertAlign w:val="superscript"/>
              </w:rPr>
              <w:t>+</w:t>
            </w:r>
            <w:r>
              <w:rPr>
                <w:rFonts w:ascii="Times New Roman" w:hAnsi="Times New Roman" w:eastAsiaTheme="minorEastAsia"/>
                <w:sz w:val="21"/>
                <w:szCs w:val="21"/>
              </w:rPr>
              <w:t>为极高环境风险</w:t>
            </w:r>
          </w:p>
        </w:tc>
      </w:tr>
    </w:tbl>
    <w:p>
      <w:pPr>
        <w:spacing w:before="240"/>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（1）P的分级确定</w:t>
      </w:r>
    </w:p>
    <w:p>
      <w:pPr>
        <w:ind w:firstLine="360" w:firstLineChars="150"/>
        <w:rPr>
          <w:rFonts w:ascii="Times New Roman" w:hAnsi="Times New Roman" w:eastAsiaTheme="minorEastAsia"/>
          <w:sz w:val="24"/>
          <w:szCs w:val="24"/>
        </w:rPr>
      </w:pPr>
      <w:r>
        <w:rPr>
          <w:rFonts w:ascii="Times New Roman" w:hAnsi="Times New Roman" w:eastAsiaTheme="minorEastAsia"/>
          <w:sz w:val="24"/>
          <w:szCs w:val="24"/>
        </w:rPr>
        <w:t>根据“导则”附录C，“危险物质及工业系统危险性P的分级”由“危险物质数量与临界量的比值Q”以及“所属行业及生产工艺特点M”的值来判断，见下表6.3-2。</w:t>
      </w:r>
    </w:p>
    <w:p>
      <w:pPr>
        <w:jc w:val="center"/>
        <w:rPr>
          <w:rFonts w:ascii="Times New Roman" w:hAnsi="Times New Roman" w:eastAsia="黑体"/>
          <w:sz w:val="21"/>
          <w:szCs w:val="21"/>
        </w:rPr>
      </w:pPr>
      <w:r>
        <w:rPr>
          <w:rFonts w:ascii="Times New Roman" w:hAnsi="Times New Roman" w:eastAsia="黑体"/>
          <w:sz w:val="21"/>
          <w:szCs w:val="21"/>
        </w:rPr>
        <w:t>表6.3-2  危险物质及工艺系统危险性等级判断（P）</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585"/>
        <w:gridCol w:w="1353"/>
        <w:gridCol w:w="1222"/>
        <w:gridCol w:w="1222"/>
        <w:gridCol w:w="114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Merge w:val="restart"/>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危险物质数量与临界量比值（Q）</w:t>
            </w:r>
          </w:p>
        </w:tc>
        <w:tc>
          <w:tcPr>
            <w:tcW w:w="4937" w:type="dxa"/>
            <w:gridSpan w:val="4"/>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行业及生产工艺（M）</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Merge w:val="continue"/>
            <w:vAlign w:val="center"/>
          </w:tcPr>
          <w:p>
            <w:pPr>
              <w:jc w:val="center"/>
              <w:rPr>
                <w:rFonts w:ascii="Times New Roman" w:hAnsi="Times New Roman" w:eastAsiaTheme="minorEastAsia"/>
                <w:sz w:val="21"/>
                <w:szCs w:val="21"/>
              </w:rPr>
            </w:pP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M2</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M3</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M4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Q≥100</w:t>
            </w: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P2</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10≤Q＜100</w:t>
            </w: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P1</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P2</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P3</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P4</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3585"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1≤Q＜10</w:t>
            </w:r>
          </w:p>
        </w:tc>
        <w:tc>
          <w:tcPr>
            <w:tcW w:w="1353"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P2</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P3</w:t>
            </w:r>
          </w:p>
        </w:tc>
        <w:tc>
          <w:tcPr>
            <w:tcW w:w="1222"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P4</w:t>
            </w:r>
          </w:p>
        </w:tc>
        <w:tc>
          <w:tcPr>
            <w:tcW w:w="1140" w:type="dxa"/>
            <w:vAlign w:val="center"/>
          </w:tcPr>
          <w:p>
            <w:pPr>
              <w:jc w:val="center"/>
              <w:rPr>
                <w:rFonts w:ascii="Times New Roman" w:hAnsi="Times New Roman" w:eastAsiaTheme="minorEastAsia"/>
                <w:sz w:val="21"/>
                <w:szCs w:val="21"/>
              </w:rPr>
            </w:pPr>
            <w:r>
              <w:rPr>
                <w:rFonts w:ascii="Times New Roman" w:hAnsi="Times New Roman" w:eastAsiaTheme="minorEastAsia"/>
                <w:sz w:val="21"/>
                <w:szCs w:val="21"/>
              </w:rPr>
              <w:t>P4</w:t>
            </w:r>
          </w:p>
        </w:tc>
      </w:tr>
    </w:tbl>
    <w:p>
      <w:pPr>
        <w:ind w:firstLine="482" w:firstLineChars="200"/>
        <w:rPr>
          <w:rFonts w:ascii="Times New Roman" w:hAnsi="Times New Roman" w:eastAsiaTheme="minorEastAsia"/>
          <w:b/>
          <w:sz w:val="24"/>
          <w:szCs w:val="24"/>
        </w:rPr>
      </w:pPr>
      <w:r>
        <w:rPr>
          <w:rFonts w:hint="eastAsia" w:ascii="宋体" w:hAnsi="宋体" w:cs="宋体"/>
          <w:b/>
          <w:sz w:val="24"/>
          <w:szCs w:val="24"/>
        </w:rPr>
        <w:t>①</w:t>
      </w:r>
      <w:r>
        <w:rPr>
          <w:rFonts w:ascii="Times New Roman" w:hAnsi="Times New Roman" w:eastAsiaTheme="minorEastAsia"/>
          <w:b/>
          <w:sz w:val="24"/>
          <w:szCs w:val="24"/>
        </w:rPr>
        <w:t>危险物质数量与临界量比值Q的确定</w:t>
      </w:r>
    </w:p>
    <w:p>
      <w:pPr>
        <w:ind w:firstLine="600" w:firstLineChars="250"/>
        <w:rPr>
          <w:rFonts w:ascii="Times New Roman" w:hAnsi="Times New Roman" w:eastAsiaTheme="minorEastAsia"/>
          <w:sz w:val="24"/>
          <w:szCs w:val="24"/>
        </w:rPr>
      </w:pPr>
      <w:r>
        <w:rPr>
          <w:rFonts w:ascii="Times New Roman" w:hAnsi="Times New Roman" w:eastAsiaTheme="minorEastAsia"/>
          <w:sz w:val="24"/>
          <w:szCs w:val="24"/>
        </w:rPr>
        <w:t>根据“导则”附录B以及附录C，Q为厂界内的最大存在总量与其对应临界值的比值。当只涉及一种危险物质时，计算该物质的总量与其临界量比值；当存在多种无限物质时，则按下式计算物质总量与其临界量比值Q：</w:t>
      </w:r>
    </w:p>
    <w:p>
      <w:pPr>
        <w:jc w:val="center"/>
        <w:rPr>
          <w:rFonts w:ascii="Times New Roman" w:hAnsi="Times New Roman" w:eastAsiaTheme="minorEastAsia"/>
          <w:sz w:val="24"/>
          <w:szCs w:val="24"/>
        </w:rPr>
      </w:pPr>
      <w:r>
        <w:rPr>
          <w:rFonts w:ascii="Times New Roman" w:hAnsi="Times New Roman" w:eastAsiaTheme="minorEastAsia"/>
          <w:sz w:val="24"/>
          <w:szCs w:val="24"/>
        </w:rPr>
        <w:t>Q=（q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 ……（q</w:t>
      </w:r>
      <w:r>
        <w:rPr>
          <w:rFonts w:ascii="Times New Roman" w:hAnsi="Times New Roman" w:eastAsiaTheme="minorEastAsia"/>
          <w:sz w:val="24"/>
          <w:szCs w:val="24"/>
          <w:vertAlign w:val="subscript"/>
        </w:rPr>
        <w:t>n</w:t>
      </w:r>
      <w:r>
        <w:rPr>
          <w:rFonts w:ascii="Times New Roman" w:hAnsi="Times New Roman" w:eastAsiaTheme="minorEastAsia"/>
          <w:sz w:val="24"/>
          <w:szCs w:val="24"/>
        </w:rPr>
        <w:t>/Q</w:t>
      </w:r>
      <w:r>
        <w:rPr>
          <w:rFonts w:ascii="Times New Roman" w:hAnsi="Times New Roman" w:eastAsiaTheme="minorEastAsia"/>
          <w:sz w:val="24"/>
          <w:szCs w:val="24"/>
          <w:vertAlign w:val="subscript"/>
        </w:rPr>
        <w:t>n</w:t>
      </w:r>
      <w:r>
        <w:rPr>
          <w:rFonts w:ascii="Times New Roman" w:hAnsi="Times New Roman" w:eastAsiaTheme="minorEastAsia"/>
          <w:sz w:val="24"/>
          <w:szCs w:val="24"/>
        </w:rPr>
        <w:t>）</w:t>
      </w:r>
    </w:p>
    <w:p>
      <w:pPr>
        <w:rPr>
          <w:rFonts w:ascii="Times New Roman" w:hAnsi="Times New Roman" w:eastAsiaTheme="minorEastAsia"/>
          <w:sz w:val="24"/>
          <w:szCs w:val="24"/>
        </w:rPr>
      </w:pPr>
      <w:r>
        <w:rPr>
          <w:rFonts w:ascii="Times New Roman" w:hAnsi="Times New Roman" w:eastAsiaTheme="minorEastAsia"/>
          <w:sz w:val="24"/>
          <w:szCs w:val="24"/>
        </w:rPr>
        <w:t>式中：q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，……，qn——每种危险物质的最大存在总量，t；</w:t>
      </w:r>
    </w:p>
    <w:p>
      <w:pPr>
        <w:ind w:firstLine="1200" w:firstLineChars="500"/>
        <w:rPr>
          <w:rFonts w:ascii="Times New Roman" w:hAnsi="Times New Roman" w:eastAsiaTheme="minorEastAsia"/>
          <w:sz w:val="24"/>
          <w:szCs w:val="24"/>
        </w:rPr>
      </w:pPr>
      <w:r>
        <w:rPr>
          <w:rFonts w:ascii="Times New Roman" w:hAnsi="Times New Roman" w:eastAsiaTheme="minorEastAsia"/>
          <w:sz w:val="24"/>
          <w:szCs w:val="24"/>
        </w:rPr>
        <w:t>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，……，Qn——每种危险物质的临界量，t；</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当Q＜1时，该项目环境风险潜势为I。</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当Q≥1时，将Q值划分为：（1）1≤Q＜10；（2）10≤Q＜100；（3）Q≥100。</w:t>
      </w:r>
    </w:p>
    <w:p>
      <w:pPr>
        <w:ind w:firstLine="480" w:firstLineChars="200"/>
        <w:rPr>
          <w:rFonts w:ascii="Times New Roman" w:hAnsi="Times New Roman" w:eastAsiaTheme="minorEastAsia"/>
          <w:sz w:val="24"/>
          <w:szCs w:val="24"/>
        </w:rPr>
      </w:pPr>
      <w:r>
        <w:rPr>
          <w:rFonts w:ascii="Times New Roman" w:hAnsi="Times New Roman"/>
          <w:sz w:val="24"/>
        </w:rPr>
        <w:t>本项目不设沼气池，深坑沼气产生产量极少，</w:t>
      </w:r>
      <w:r>
        <w:rPr>
          <w:rFonts w:ascii="Times New Roman" w:hAnsi="Times New Roman" w:eastAsiaTheme="minorEastAsia"/>
          <w:sz w:val="24"/>
          <w:szCs w:val="24"/>
        </w:rPr>
        <w:t>根据《建设项目环境风险评价技术导则》（TJ169-2018）附录B，本项目不涉及风险物质。</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因此Q＜1，根据《建设项目环境风险评价技术导则》（HJ/T169－2018），Q＜1时，项目环境风险潜势直接判断为I。</w:t>
      </w:r>
    </w:p>
    <w:p>
      <w:pPr>
        <w:ind w:firstLine="482" w:firstLineChars="200"/>
        <w:rPr>
          <w:rFonts w:ascii="Times New Roman" w:hAnsi="Times New Roman" w:eastAsiaTheme="minorEastAsia"/>
          <w:b/>
          <w:sz w:val="24"/>
          <w:szCs w:val="24"/>
        </w:rPr>
      </w:pPr>
      <w:r>
        <w:rPr>
          <w:rFonts w:hint="eastAsia" w:ascii="宋体" w:hAnsi="宋体" w:cs="宋体"/>
          <w:b/>
          <w:sz w:val="24"/>
          <w:szCs w:val="24"/>
        </w:rPr>
        <w:t>②</w:t>
      </w:r>
      <w:r>
        <w:rPr>
          <w:rFonts w:ascii="Times New Roman" w:hAnsi="Times New Roman" w:eastAsiaTheme="minorEastAsia"/>
          <w:b/>
          <w:sz w:val="24"/>
          <w:szCs w:val="24"/>
        </w:rPr>
        <w:t>行业及生产工艺M分值的确定</w:t>
      </w:r>
    </w:p>
    <w:p>
      <w:pPr>
        <w:ind w:firstLine="360" w:firstLineChars="150"/>
        <w:rPr>
          <w:rFonts w:ascii="Times New Roman" w:hAnsi="Times New Roman" w:eastAsiaTheme="minorEastAsia"/>
          <w:sz w:val="24"/>
          <w:szCs w:val="24"/>
        </w:rPr>
      </w:pPr>
      <w:r>
        <w:rPr>
          <w:rFonts w:ascii="Times New Roman" w:hAnsi="Times New Roman" w:eastAsiaTheme="minorEastAsia"/>
          <w:sz w:val="24"/>
          <w:szCs w:val="24"/>
        </w:rPr>
        <w:t>本项目Q＜1，根据《建设项目环境风险评价技术导则》（HJ/T169－2018），当Q＜时，项目环境风险潜势直接判断为I，无需进行M分值的确定。</w:t>
      </w:r>
    </w:p>
    <w:p>
      <w:pPr>
        <w:ind w:firstLine="482" w:firstLineChars="200"/>
        <w:rPr>
          <w:rFonts w:ascii="Times New Roman" w:hAnsi="Times New Roman"/>
          <w:b/>
          <w:sz w:val="24"/>
          <w:szCs w:val="24"/>
        </w:rPr>
      </w:pPr>
      <w:r>
        <w:rPr>
          <w:rFonts w:hint="eastAsia" w:ascii="宋体" w:hAnsi="宋体" w:cs="宋体"/>
          <w:b/>
          <w:sz w:val="24"/>
          <w:szCs w:val="24"/>
        </w:rPr>
        <w:t>③</w:t>
      </w:r>
      <w:r>
        <w:rPr>
          <w:rFonts w:ascii="Times New Roman" w:hAnsi="Times New Roman"/>
          <w:b/>
          <w:sz w:val="24"/>
          <w:szCs w:val="24"/>
        </w:rPr>
        <w:t>P的分级的确定</w:t>
      </w:r>
    </w:p>
    <w:p>
      <w:pPr>
        <w:ind w:firstLine="480" w:firstLineChars="200"/>
        <w:rPr>
          <w:rFonts w:ascii="Times New Roman" w:hAnsi="Times New Roman"/>
          <w:sz w:val="24"/>
          <w:szCs w:val="24"/>
        </w:rPr>
      </w:pPr>
      <w:r>
        <w:rPr>
          <w:rFonts w:ascii="Times New Roman" w:hAnsi="Times New Roman"/>
          <w:sz w:val="24"/>
          <w:szCs w:val="24"/>
        </w:rPr>
        <w:t>在Q＜1的情况下，不再分析P的等级。</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（2）E的分级确定</w:t>
      </w:r>
    </w:p>
    <w:p>
      <w:pPr>
        <w:ind w:firstLine="480" w:firstLineChars="200"/>
        <w:rPr>
          <w:rFonts w:ascii="Times New Roman" w:hAnsi="Times New Roman"/>
          <w:sz w:val="24"/>
          <w:szCs w:val="24"/>
        </w:rPr>
      </w:pPr>
      <w:r>
        <w:rPr>
          <w:rFonts w:ascii="Times New Roman" w:hAnsi="Times New Roman"/>
          <w:sz w:val="24"/>
          <w:szCs w:val="24"/>
        </w:rPr>
        <w:t>根据《建设项目环境风险评价技术导则》（HJ/T169－2018），Q＜1时，项目环境风险潜势直接判断为I。无需进行E等级的分析。</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（3）建设项目环境风险潜势</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根据以上分析，本项目危险物质存储量量与临界量比值Q=0≤1，根据《建设项目环境风险评价技术导则》（HJ/T169－2018），Q＜1时，项目环境风险潜势直接判断为I。</w:t>
      </w:r>
    </w:p>
    <w:p>
      <w:pPr>
        <w:pStyle w:val="108"/>
      </w:pPr>
      <w:bookmarkStart w:id="257" w:name="_Toc9873394"/>
      <w:r>
        <w:t>6.3.2 风险评价等级确定</w:t>
      </w:r>
      <w:bookmarkEnd w:id="257"/>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建设项目环境风险评价技术导则》（HJ/T169－2018），环境风险评价工作等级划分为一级、二级、三级。根据建设项目涉及的物质及工艺系统危险性和所在地的环境敏感性确定环境风险潜势，按照表6.3-3确定评价工作等级。</w:t>
      </w:r>
    </w:p>
    <w:p>
      <w:pPr>
        <w:jc w:val="center"/>
        <w:rPr>
          <w:rFonts w:ascii="Times New Roman" w:hAnsi="Times New Roman" w:eastAsia="黑体"/>
          <w:sz w:val="21"/>
          <w:szCs w:val="21"/>
        </w:rPr>
      </w:pPr>
      <w:r>
        <w:rPr>
          <w:rFonts w:ascii="Times New Roman" w:hAnsi="Times New Roman" w:eastAsia="黑体"/>
          <w:sz w:val="21"/>
          <w:szCs w:val="21"/>
        </w:rPr>
        <w:t>表6.3-3  评价工作等级划分</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1715"/>
        <w:gridCol w:w="1702"/>
        <w:gridCol w:w="1702"/>
        <w:gridCol w:w="170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trPr>
        <w:tc>
          <w:tcPr>
            <w:tcW w:w="1701"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环境风险潜势</w:t>
            </w:r>
          </w:p>
        </w:tc>
        <w:tc>
          <w:tcPr>
            <w:tcW w:w="1715"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IV、IV+</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III</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II</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I</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评级工作等级</w:t>
            </w:r>
          </w:p>
        </w:tc>
        <w:tc>
          <w:tcPr>
            <w:tcW w:w="1715"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一</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二</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三</w:t>
            </w:r>
          </w:p>
        </w:tc>
        <w:tc>
          <w:tcPr>
            <w:tcW w:w="1702" w:type="dxa"/>
            <w:vAlign w:val="center"/>
          </w:tcPr>
          <w:p>
            <w:pPr>
              <w:jc w:val="center"/>
              <w:rPr>
                <w:rFonts w:ascii="Times New Roman" w:hAnsi="Times New Roman" w:eastAsiaTheme="majorEastAsia"/>
                <w:sz w:val="21"/>
                <w:szCs w:val="21"/>
              </w:rPr>
            </w:pPr>
            <w:r>
              <w:rPr>
                <w:rFonts w:ascii="Times New Roman" w:hAnsi="Times New Roman" w:eastAsiaTheme="majorEastAsia"/>
                <w:sz w:val="21"/>
                <w:szCs w:val="21"/>
              </w:rPr>
              <w:t>简单分析a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8522" w:type="dxa"/>
            <w:gridSpan w:val="5"/>
            <w:vAlign w:val="center"/>
          </w:tcPr>
          <w:p>
            <w:pPr>
              <w:jc w:val="left"/>
              <w:rPr>
                <w:rFonts w:ascii="Times New Roman" w:hAnsi="Times New Roman" w:eastAsiaTheme="majorEastAsia"/>
                <w:sz w:val="21"/>
                <w:szCs w:val="21"/>
              </w:rPr>
            </w:pPr>
            <w:r>
              <w:rPr>
                <w:rFonts w:ascii="Times New Roman" w:hAnsi="Times New Roman" w:eastAsiaTheme="majorEastAsia"/>
                <w:sz w:val="21"/>
                <w:szCs w:val="21"/>
              </w:rPr>
              <w:t>a是相对于详细评价工作内容而言，在描述危险物质、环境影响途径、环境危害后果、风险防范措施等方面给出定性的说明。</w:t>
            </w:r>
          </w:p>
        </w:tc>
      </w:tr>
    </w:tbl>
    <w:p>
      <w:pPr>
        <w:spacing w:before="240"/>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综上分析，本项目的环境风险潜势为I，故界定评价等级为简单分析。</w:t>
      </w:r>
    </w:p>
    <w:p>
      <w:pPr>
        <w:pStyle w:val="103"/>
        <w:numPr>
          <w:ilvl w:val="0"/>
          <w:numId w:val="0"/>
        </w:numPr>
        <w:rPr>
          <w:rFonts w:ascii="Times New Roman" w:hAnsi="Times New Roman"/>
          <w:b w:val="0"/>
          <w:bCs/>
          <w:kern w:val="28"/>
          <w:sz w:val="32"/>
          <w:szCs w:val="32"/>
        </w:rPr>
      </w:pPr>
      <w:bookmarkStart w:id="258" w:name="_Toc490333021"/>
      <w:bookmarkStart w:id="259" w:name="_Toc5179646"/>
      <w:bookmarkStart w:id="260" w:name="_Toc9873395"/>
      <w:r>
        <w:rPr>
          <w:rFonts w:ascii="Times New Roman" w:hAnsi="Times New Roman"/>
          <w:b w:val="0"/>
          <w:bCs/>
          <w:kern w:val="28"/>
          <w:sz w:val="32"/>
          <w:szCs w:val="32"/>
        </w:rPr>
        <w:t>6.4　风险识别</w:t>
      </w:r>
      <w:bookmarkEnd w:id="258"/>
      <w:bookmarkEnd w:id="259"/>
      <w:bookmarkEnd w:id="260"/>
    </w:p>
    <w:p>
      <w:pPr>
        <w:pStyle w:val="108"/>
      </w:pPr>
      <w:bookmarkStart w:id="261" w:name="_Toc9873396"/>
      <w:r>
        <w:t>6.4.1　风险环节识别</w:t>
      </w:r>
      <w:bookmarkEnd w:id="261"/>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本项目存在的主要环境风险因素如下：</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（1）含高浓度有机污染物的粪便废水（或废液）；</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（2）猪舍及深坑产生的恶臭气体；</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（3）患传染病的猪仔、病死猪。</w:t>
      </w:r>
    </w:p>
    <w:p>
      <w:pPr>
        <w:pStyle w:val="108"/>
      </w:pPr>
      <w:bookmarkStart w:id="262" w:name="_Toc9873397"/>
      <w:r>
        <w:t>6.4.2　风险事故类型识别</w:t>
      </w:r>
      <w:bookmarkEnd w:id="262"/>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根据工程分析，同时对照《建设项目环境风险评价技术导则》，本评价从生产过程、废物资源化利用过程中可能存在的污染事故进行风险识别。</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生猪养殖属于农业生产项目，本项目所使用的原料均没有任何毒性、易燃性等危险特性。</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项目生产过程中可能存在的环境风险事故有：</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（1）含高浓度有机污染物质的粪便废水（或废液），在暴雨时、设备破损时、操作不慎时泄漏废水会引发事故性排放环境风险；</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（2）猪舍及深坑恶臭污染物管理不善事故排放，可能造成厂界恶臭气体超标排放，进而影响周边人群的身体健康；</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（3）猪场是集约化、高密度饲养，有利于感染性疾病的传播，如果疫病控制和净化措施不完善，患传染病猪仔、病死猪会引发的疫病传播环境风险事故，进而对养殖业生产和人体健康产生危害。</w:t>
      </w:r>
    </w:p>
    <w:p>
      <w:pPr>
        <w:pStyle w:val="108"/>
      </w:pPr>
      <w:bookmarkStart w:id="263" w:name="_Toc9873398"/>
      <w:r>
        <w:t>6.4.3　最大可信事故</w:t>
      </w:r>
      <w:bookmarkEnd w:id="263"/>
    </w:p>
    <w:p>
      <w:pPr>
        <w:spacing w:line="480" w:lineRule="exact"/>
        <w:ind w:firstLine="435"/>
        <w:rPr>
          <w:rFonts w:ascii="Times New Roman" w:hAnsi="Times New Roman"/>
          <w:sz w:val="24"/>
        </w:rPr>
      </w:pPr>
      <w:r>
        <w:rPr>
          <w:rFonts w:ascii="Times New Roman" w:hAnsi="Times New Roman"/>
          <w:sz w:val="24"/>
        </w:rPr>
        <w:t>根据本项目的特点，确定可能发生的最大环境风险为粪便废水（或废液）事故排放对地表水环境造成的影响和废水事故渗漏对地下水环境造成的严重的影响。</w:t>
      </w:r>
    </w:p>
    <w:p>
      <w:pPr>
        <w:pStyle w:val="103"/>
        <w:numPr>
          <w:ilvl w:val="0"/>
          <w:numId w:val="0"/>
        </w:numPr>
        <w:rPr>
          <w:rFonts w:ascii="Times New Roman" w:hAnsi="Times New Roman"/>
          <w:b w:val="0"/>
          <w:bCs/>
          <w:kern w:val="28"/>
          <w:sz w:val="32"/>
          <w:szCs w:val="32"/>
        </w:rPr>
      </w:pPr>
      <w:bookmarkStart w:id="264" w:name="_Toc490333024"/>
      <w:bookmarkStart w:id="265" w:name="_Toc5179648"/>
      <w:bookmarkStart w:id="266" w:name="_Toc9873399"/>
      <w:r>
        <w:rPr>
          <w:rFonts w:ascii="Times New Roman" w:hAnsi="Times New Roman"/>
          <w:b w:val="0"/>
          <w:bCs/>
          <w:kern w:val="28"/>
          <w:sz w:val="32"/>
          <w:szCs w:val="32"/>
        </w:rPr>
        <w:t>6.5　环境风险事故影响分析</w:t>
      </w:r>
      <w:bookmarkEnd w:id="264"/>
      <w:bookmarkEnd w:id="265"/>
      <w:bookmarkEnd w:id="266"/>
    </w:p>
    <w:p>
      <w:pPr>
        <w:pStyle w:val="108"/>
      </w:pPr>
      <w:bookmarkStart w:id="267" w:name="_Toc9873400"/>
      <w:r>
        <w:t>6.5.1 废水事故排放影响分析</w:t>
      </w:r>
      <w:bookmarkEnd w:id="267"/>
    </w:p>
    <w:p>
      <w:pPr>
        <w:ind w:firstLine="482" w:firstLineChars="200"/>
        <w:rPr>
          <w:rFonts w:ascii="Times New Roman" w:hAnsi="Times New Roman"/>
          <w:b/>
          <w:sz w:val="24"/>
        </w:rPr>
      </w:pPr>
      <w:r>
        <w:rPr>
          <w:rFonts w:ascii="Times New Roman" w:hAnsi="Times New Roman"/>
          <w:b/>
          <w:sz w:val="24"/>
        </w:rPr>
        <w:t>1、废水事故渗漏风险影响分析</w:t>
      </w:r>
    </w:p>
    <w:p>
      <w:pPr>
        <w:ind w:firstLine="435"/>
        <w:rPr>
          <w:rFonts w:ascii="Times New Roman" w:hAnsi="Times New Roman"/>
          <w:sz w:val="24"/>
        </w:rPr>
      </w:pPr>
      <w:r>
        <w:rPr>
          <w:rFonts w:ascii="Times New Roman" w:hAnsi="Times New Roman"/>
          <w:sz w:val="24"/>
        </w:rPr>
        <w:t>项目经处理的粪便废水在非农灌季节将储存在粪便收集池内（一期约2.7万m</w:t>
      </w:r>
      <w:r>
        <w:rPr>
          <w:rFonts w:ascii="Times New Roman" w:hAnsi="Times New Roman"/>
          <w:sz w:val="24"/>
          <w:vertAlign w:val="superscript"/>
        </w:rPr>
        <w:t>3</w:t>
      </w:r>
      <w:r>
        <w:rPr>
          <w:rFonts w:ascii="Times New Roman" w:hAnsi="Times New Roman"/>
          <w:sz w:val="24"/>
        </w:rPr>
        <w:t>、二期6.5万 m</w:t>
      </w:r>
      <w:r>
        <w:rPr>
          <w:rFonts w:ascii="Times New Roman" w:hAnsi="Times New Roman"/>
          <w:sz w:val="24"/>
          <w:vertAlign w:val="superscript"/>
        </w:rPr>
        <w:t>3</w:t>
      </w:r>
      <w:r>
        <w:rPr>
          <w:rFonts w:ascii="Times New Roman" w:hAnsi="Times New Roman"/>
          <w:sz w:val="24"/>
        </w:rPr>
        <w:t>），因事故渗漏进入周围土壤，从而会对地下水水质及土壤造成影响，因此必须杜绝废水事故渗漏。</w:t>
      </w:r>
    </w:p>
    <w:p>
      <w:pPr>
        <w:ind w:firstLine="482" w:firstLineChars="200"/>
        <w:rPr>
          <w:rFonts w:ascii="Times New Roman" w:hAnsi="Times New Roman"/>
          <w:b/>
          <w:sz w:val="24"/>
        </w:rPr>
      </w:pPr>
      <w:r>
        <w:rPr>
          <w:rFonts w:ascii="Times New Roman" w:hAnsi="Times New Roman"/>
          <w:b/>
          <w:sz w:val="24"/>
        </w:rPr>
        <w:t>2、废水事故排放风险影响分析</w:t>
      </w:r>
    </w:p>
    <w:p>
      <w:pPr>
        <w:ind w:firstLine="480"/>
        <w:rPr>
          <w:rFonts w:ascii="Times New Roman" w:hAnsi="Times New Roman"/>
          <w:sz w:val="24"/>
        </w:rPr>
      </w:pPr>
      <w:r>
        <w:rPr>
          <w:rFonts w:ascii="Times New Roman" w:hAnsi="Times New Roman"/>
          <w:sz w:val="24"/>
        </w:rPr>
        <w:t>本项目深坑发生故障或泄露，未经处理的废水事故外排，顺着农灌沟渠进入地表水——斜江河，势必对斜江河的水质造成污染影响，因此必须杜绝废水事故排放。</w:t>
      </w:r>
    </w:p>
    <w:p>
      <w:pPr>
        <w:pStyle w:val="108"/>
      </w:pPr>
      <w:bookmarkStart w:id="268" w:name="_Toc9873401"/>
      <w:r>
        <w:t>6.5.2 猪舍、深坑废气事故排放影响分析</w:t>
      </w:r>
      <w:bookmarkEnd w:id="268"/>
    </w:p>
    <w:p>
      <w:pPr>
        <w:spacing w:line="480" w:lineRule="exact"/>
        <w:ind w:firstLine="480" w:firstLineChars="200"/>
        <w:rPr>
          <w:rFonts w:ascii="Times New Roman" w:hAnsi="Times New Roman"/>
          <w:sz w:val="24"/>
          <w:lang w:val="zh-CN"/>
        </w:rPr>
      </w:pPr>
      <w:r>
        <w:rPr>
          <w:rFonts w:ascii="Times New Roman" w:hAnsi="Times New Roman"/>
          <w:sz w:val="24"/>
          <w:lang w:val="zh-CN"/>
        </w:rPr>
        <w:t>猪舍排气系统、污粪发酵深坑发生故障时，</w:t>
      </w:r>
      <w:r>
        <w:rPr>
          <w:rFonts w:ascii="Times New Roman" w:hAnsi="Times New Roman"/>
          <w:sz w:val="24"/>
        </w:rPr>
        <w:t>猪粪中会挥发出含硫化氢、氨气等有刺激性气味、有毒气体，</w:t>
      </w:r>
      <w:r>
        <w:rPr>
          <w:rFonts w:ascii="Times New Roman" w:hAnsi="Times New Roman"/>
          <w:sz w:val="24"/>
          <w:lang w:val="zh-CN"/>
        </w:rPr>
        <w:t>在猪舍内积累，可能对生猪及工作人员健康产生危害。</w:t>
      </w:r>
    </w:p>
    <w:p>
      <w:pPr>
        <w:spacing w:line="480" w:lineRule="exact"/>
        <w:ind w:firstLine="480" w:firstLineChars="200"/>
        <w:rPr>
          <w:rFonts w:ascii="Times New Roman" w:hAnsi="Times New Roman"/>
          <w:sz w:val="24"/>
        </w:rPr>
      </w:pPr>
      <w:r>
        <w:rPr>
          <w:rFonts w:ascii="Times New Roman" w:hAnsi="Times New Roman"/>
          <w:sz w:val="24"/>
        </w:rPr>
        <w:t>H</w:t>
      </w:r>
      <w:r>
        <w:rPr>
          <w:rFonts w:ascii="Times New Roman" w:hAnsi="Times New Roman"/>
          <w:sz w:val="24"/>
          <w:vertAlign w:val="subscript"/>
        </w:rPr>
        <w:t>2</w:t>
      </w:r>
      <w:r>
        <w:rPr>
          <w:rFonts w:ascii="Times New Roman" w:hAnsi="Times New Roman"/>
          <w:sz w:val="24"/>
        </w:rPr>
        <w:t>S、NH</w:t>
      </w:r>
      <w:r>
        <w:rPr>
          <w:rFonts w:ascii="Times New Roman" w:hAnsi="Times New Roman"/>
          <w:sz w:val="24"/>
          <w:vertAlign w:val="subscript"/>
        </w:rPr>
        <w:t>3</w:t>
      </w:r>
      <w:r>
        <w:rPr>
          <w:rFonts w:ascii="Times New Roman" w:hAnsi="Times New Roman"/>
          <w:sz w:val="24"/>
        </w:rPr>
        <w:t>危险特征见表6.5-1。</w:t>
      </w:r>
    </w:p>
    <w:p>
      <w:pPr>
        <w:spacing w:line="240" w:lineRule="auto"/>
        <w:ind w:firstLine="422"/>
        <w:jc w:val="center"/>
        <w:rPr>
          <w:rFonts w:ascii="Times New Roman" w:hAnsi="Times New Roman" w:eastAsia="黑体"/>
          <w:spacing w:val="-2"/>
          <w:kern w:val="0"/>
          <w:sz w:val="21"/>
          <w:szCs w:val="21"/>
        </w:rPr>
      </w:pPr>
      <w:r>
        <w:rPr>
          <w:rFonts w:ascii="Times New Roman" w:hAnsi="Times New Roman" w:eastAsia="黑体"/>
          <w:sz w:val="21"/>
          <w:szCs w:val="21"/>
        </w:rPr>
        <w:t>表6.5-1</w:t>
      </w:r>
      <w:r>
        <w:rPr>
          <w:rFonts w:ascii="Times New Roman" w:hAnsi="Times New Roman" w:eastAsia="黑体"/>
          <w:spacing w:val="-2"/>
          <w:kern w:val="0"/>
          <w:sz w:val="21"/>
          <w:szCs w:val="21"/>
        </w:rPr>
        <w:t xml:space="preserve">    </w:t>
      </w:r>
      <w:r>
        <w:rPr>
          <w:rFonts w:ascii="Times New Roman" w:hAnsi="Times New Roman" w:eastAsia="黑体"/>
          <w:sz w:val="21"/>
          <w:szCs w:val="21"/>
        </w:rPr>
        <w:t>H</w:t>
      </w:r>
      <w:r>
        <w:rPr>
          <w:rFonts w:ascii="Times New Roman" w:hAnsi="Times New Roman" w:eastAsia="黑体"/>
          <w:sz w:val="21"/>
          <w:szCs w:val="21"/>
          <w:vertAlign w:val="subscript"/>
        </w:rPr>
        <w:t>2</w:t>
      </w:r>
      <w:r>
        <w:rPr>
          <w:rFonts w:ascii="Times New Roman" w:hAnsi="Times New Roman" w:eastAsia="黑体"/>
          <w:sz w:val="21"/>
          <w:szCs w:val="21"/>
        </w:rPr>
        <w:t>S、NH</w:t>
      </w:r>
      <w:r>
        <w:rPr>
          <w:rFonts w:ascii="Times New Roman" w:hAnsi="Times New Roman" w:eastAsia="黑体"/>
          <w:sz w:val="21"/>
          <w:szCs w:val="21"/>
          <w:vertAlign w:val="subscript"/>
        </w:rPr>
        <w:t>3</w:t>
      </w:r>
      <w:r>
        <w:rPr>
          <w:rFonts w:ascii="Times New Roman" w:hAnsi="Times New Roman" w:eastAsia="黑体"/>
          <w:spacing w:val="-2"/>
          <w:kern w:val="0"/>
          <w:sz w:val="21"/>
          <w:szCs w:val="21"/>
        </w:rPr>
        <w:t>危险特性一览表</w:t>
      </w:r>
    </w:p>
    <w:tbl>
      <w:tblPr>
        <w:tblStyle w:val="90"/>
        <w:tblW w:w="852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35"/>
        <w:gridCol w:w="595"/>
        <w:gridCol w:w="776"/>
        <w:gridCol w:w="1277"/>
        <w:gridCol w:w="543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59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名称</w:t>
            </w:r>
          </w:p>
        </w:tc>
        <w:tc>
          <w:tcPr>
            <w:tcW w:w="776"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分子式</w:t>
            </w:r>
          </w:p>
        </w:tc>
        <w:tc>
          <w:tcPr>
            <w:tcW w:w="1277"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主(次)危险性分类</w:t>
            </w:r>
          </w:p>
        </w:tc>
        <w:tc>
          <w:tcPr>
            <w:tcW w:w="543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危险特性</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59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硫化氢</w:t>
            </w:r>
          </w:p>
        </w:tc>
        <w:tc>
          <w:tcPr>
            <w:tcW w:w="776"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277"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易燃气体</w:t>
            </w:r>
            <w:r>
              <w:rPr>
                <w:rFonts w:ascii="Times New Roman" w:hAnsi="Times New Roman"/>
                <w:sz w:val="21"/>
                <w:szCs w:val="21"/>
                <w:lang w:val="en-GB"/>
              </w:rPr>
              <w:t>（</w:t>
            </w:r>
            <w:r>
              <w:rPr>
                <w:rFonts w:ascii="Times New Roman" w:hAnsi="Times New Roman"/>
                <w:sz w:val="21"/>
                <w:szCs w:val="21"/>
              </w:rPr>
              <w:t>有毒</w:t>
            </w:r>
            <w:r>
              <w:rPr>
                <w:rFonts w:ascii="Times New Roman" w:hAnsi="Times New Roman"/>
                <w:sz w:val="21"/>
                <w:szCs w:val="21"/>
                <w:lang w:val="en-GB"/>
              </w:rPr>
              <w:t>）</w:t>
            </w:r>
          </w:p>
        </w:tc>
        <w:tc>
          <w:tcPr>
            <w:tcW w:w="5439" w:type="dxa"/>
            <w:shd w:val="clear" w:color="auto" w:fill="auto"/>
            <w:vAlign w:val="center"/>
          </w:tcPr>
          <w:p>
            <w:pPr>
              <w:spacing w:line="240" w:lineRule="auto"/>
              <w:rPr>
                <w:rFonts w:ascii="Times New Roman" w:hAnsi="Times New Roman"/>
                <w:sz w:val="21"/>
                <w:szCs w:val="21"/>
              </w:rPr>
            </w:pPr>
            <w:bookmarkStart w:id="269" w:name="_Toc191327192"/>
            <w:r>
              <w:rPr>
                <w:rFonts w:ascii="Times New Roman" w:hAnsi="Times New Roman"/>
                <w:sz w:val="21"/>
                <w:szCs w:val="21"/>
              </w:rPr>
              <w:t>具有臭鸡蛋气味，其毒作用的主要靶器是中枢神经系统，亦可伴有心脏等多器官损害，对毒作用最敏感的组织是脑和粘膜接触部位。</w:t>
            </w:r>
            <w:bookmarkEnd w:id="269"/>
          </w:p>
          <w:p>
            <w:pPr>
              <w:spacing w:line="240" w:lineRule="auto"/>
              <w:rPr>
                <w:rFonts w:ascii="Times New Roman" w:hAnsi="Times New Roman"/>
                <w:sz w:val="21"/>
                <w:szCs w:val="21"/>
              </w:rPr>
            </w:pPr>
            <w:r>
              <w:rPr>
                <w:rFonts w:ascii="Times New Roman" w:hAnsi="Times New Roman"/>
                <w:sz w:val="21"/>
                <w:szCs w:val="21"/>
              </w:rPr>
              <w:t>人吸入LC</w:t>
            </w:r>
            <w:r>
              <w:rPr>
                <w:rFonts w:ascii="Times New Roman" w:hAnsi="Times New Roman"/>
                <w:sz w:val="21"/>
                <w:szCs w:val="21"/>
                <w:vertAlign w:val="subscript"/>
              </w:rPr>
              <w:t>10</w:t>
            </w:r>
            <w:r>
              <w:rPr>
                <w:rFonts w:ascii="Times New Roman" w:hAnsi="Times New Roman"/>
                <w:sz w:val="21"/>
                <w:szCs w:val="21"/>
              </w:rPr>
              <w:t>:600ppm/30M，800ppm/5M。人（男性）吸入LC</w:t>
            </w:r>
            <w:r>
              <w:rPr>
                <w:rFonts w:ascii="Times New Roman" w:hAnsi="Times New Roman"/>
                <w:sz w:val="21"/>
                <w:szCs w:val="21"/>
                <w:vertAlign w:val="subscript"/>
              </w:rPr>
              <w:t>50</w:t>
            </w:r>
            <w:r>
              <w:rPr>
                <w:rFonts w:ascii="Times New Roman" w:hAnsi="Times New Roman"/>
                <w:sz w:val="21"/>
                <w:szCs w:val="21"/>
              </w:rPr>
              <w:t>:5700ug/kg。</w:t>
            </w:r>
          </w:p>
          <w:p>
            <w:pPr>
              <w:spacing w:line="240" w:lineRule="auto"/>
              <w:rPr>
                <w:rFonts w:ascii="Times New Roman" w:hAnsi="Times New Roman"/>
                <w:sz w:val="21"/>
                <w:szCs w:val="21"/>
              </w:rPr>
            </w:pPr>
            <w:r>
              <w:rPr>
                <w:rFonts w:ascii="Times New Roman" w:hAnsi="Times New Roman"/>
                <w:sz w:val="21"/>
                <w:szCs w:val="21"/>
              </w:rPr>
              <w:t>大鼠吸入LC</w:t>
            </w:r>
            <w:r>
              <w:rPr>
                <w:rFonts w:ascii="Times New Roman" w:hAnsi="Times New Roman"/>
                <w:sz w:val="21"/>
                <w:szCs w:val="21"/>
                <w:vertAlign w:val="subscript"/>
              </w:rPr>
              <w:t>50</w:t>
            </w:r>
            <w:r>
              <w:rPr>
                <w:rFonts w:ascii="Times New Roman" w:hAnsi="Times New Roman"/>
                <w:sz w:val="21"/>
                <w:szCs w:val="21"/>
              </w:rPr>
              <w:t>:444ppm。小鼠吸入LC</w:t>
            </w:r>
            <w:r>
              <w:rPr>
                <w:rFonts w:ascii="Times New Roman" w:hAnsi="Times New Roman"/>
                <w:sz w:val="21"/>
                <w:szCs w:val="21"/>
                <w:vertAlign w:val="subscript"/>
              </w:rPr>
              <w:t>50</w:t>
            </w:r>
            <w:r>
              <w:rPr>
                <w:rFonts w:ascii="Times New Roman" w:hAnsi="Times New Roman"/>
                <w:sz w:val="21"/>
                <w:szCs w:val="21"/>
              </w:rPr>
              <w:t>:634ppm/1H。</w:t>
            </w:r>
          </w:p>
          <w:p>
            <w:pPr>
              <w:spacing w:line="240" w:lineRule="auto"/>
              <w:rPr>
                <w:rFonts w:ascii="Times New Roman" w:hAnsi="Times New Roman"/>
                <w:sz w:val="21"/>
                <w:szCs w:val="21"/>
              </w:rPr>
            </w:pPr>
            <w:r>
              <w:rPr>
                <w:rFonts w:ascii="Times New Roman" w:hAnsi="Times New Roman"/>
                <w:sz w:val="21"/>
                <w:szCs w:val="21"/>
              </w:rPr>
              <w:t>接触高浓度硫化氢后以脑病表现为显著，出现头疼、头晕、易激动、步态蹒跚、烦躁、意识模糊、谵忘、癫痫样抽搐可呈现全身性强直一阵挛发作等；可突然发生昏迷；眼底检查可见个别病例有视神经乳头水肿。部分病例可同时伴有肺水肿。脑病症状常较呼吸道症状的出现为早。可能因发生粘膜刺激作用需要一定时间。</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3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59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氨气</w:t>
            </w:r>
          </w:p>
        </w:tc>
        <w:tc>
          <w:tcPr>
            <w:tcW w:w="776"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277"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有毒气体</w:t>
            </w:r>
          </w:p>
        </w:tc>
        <w:tc>
          <w:tcPr>
            <w:tcW w:w="5439" w:type="dxa"/>
            <w:shd w:val="clear" w:color="auto" w:fill="auto"/>
            <w:vAlign w:val="center"/>
          </w:tcPr>
          <w:p>
            <w:pPr>
              <w:spacing w:line="240" w:lineRule="auto"/>
              <w:rPr>
                <w:rFonts w:ascii="Times New Roman" w:hAnsi="Times New Roman"/>
                <w:sz w:val="21"/>
                <w:szCs w:val="21"/>
              </w:rPr>
            </w:pPr>
            <w:r>
              <w:rPr>
                <w:rFonts w:ascii="Times New Roman" w:hAnsi="Times New Roman"/>
                <w:sz w:val="21"/>
                <w:szCs w:val="21"/>
              </w:rPr>
              <w:t>对粘膜和皮肤有碱性刺激及腐蚀作用，可造成组织溶解性坏死。高浓度时引起反射性呼吸停止和心脏停搏。</w:t>
            </w:r>
          </w:p>
          <w:p>
            <w:pPr>
              <w:spacing w:line="240" w:lineRule="auto"/>
              <w:rPr>
                <w:rFonts w:ascii="Times New Roman" w:hAnsi="Times New Roman"/>
                <w:sz w:val="21"/>
                <w:szCs w:val="21"/>
              </w:rPr>
            </w:pPr>
            <w:r>
              <w:rPr>
                <w:rFonts w:ascii="Times New Roman" w:hAnsi="Times New Roman"/>
                <w:sz w:val="21"/>
                <w:szCs w:val="21"/>
              </w:rPr>
              <w:t>人吸入LC</w:t>
            </w:r>
            <w:r>
              <w:rPr>
                <w:rFonts w:ascii="Times New Roman" w:hAnsi="Times New Roman"/>
                <w:sz w:val="21"/>
                <w:szCs w:val="21"/>
                <w:vertAlign w:val="subscript"/>
              </w:rPr>
              <w:t>10</w:t>
            </w:r>
            <w:r>
              <w:rPr>
                <w:rFonts w:ascii="Times New Roman" w:hAnsi="Times New Roman"/>
                <w:sz w:val="21"/>
                <w:szCs w:val="21"/>
              </w:rPr>
              <w:t>:5000ppm/5M。</w:t>
            </w:r>
          </w:p>
          <w:p>
            <w:pPr>
              <w:spacing w:line="240" w:lineRule="auto"/>
              <w:rPr>
                <w:rFonts w:ascii="Times New Roman" w:hAnsi="Times New Roman"/>
                <w:sz w:val="21"/>
                <w:szCs w:val="21"/>
              </w:rPr>
            </w:pPr>
            <w:r>
              <w:rPr>
                <w:rFonts w:ascii="Times New Roman" w:hAnsi="Times New Roman"/>
                <w:sz w:val="21"/>
                <w:szCs w:val="21"/>
              </w:rPr>
              <w:t>大鼠吸入LC</w:t>
            </w:r>
            <w:r>
              <w:rPr>
                <w:rFonts w:ascii="Times New Roman" w:hAnsi="Times New Roman"/>
                <w:sz w:val="21"/>
                <w:szCs w:val="21"/>
                <w:vertAlign w:val="subscript"/>
              </w:rPr>
              <w:t>50</w:t>
            </w:r>
            <w:r>
              <w:rPr>
                <w:rFonts w:ascii="Times New Roman" w:hAnsi="Times New Roman"/>
                <w:sz w:val="21"/>
                <w:szCs w:val="21"/>
              </w:rPr>
              <w:t>:2000ppm/4H。小鼠吸入LC</w:t>
            </w:r>
            <w:r>
              <w:rPr>
                <w:rFonts w:ascii="Times New Roman" w:hAnsi="Times New Roman"/>
                <w:sz w:val="21"/>
                <w:szCs w:val="21"/>
                <w:vertAlign w:val="subscript"/>
              </w:rPr>
              <w:t>50</w:t>
            </w:r>
            <w:r>
              <w:rPr>
                <w:rFonts w:ascii="Times New Roman" w:hAnsi="Times New Roman"/>
                <w:sz w:val="21"/>
                <w:szCs w:val="21"/>
              </w:rPr>
              <w:t>:4230ppm/1H。</w:t>
            </w:r>
          </w:p>
          <w:p>
            <w:pPr>
              <w:spacing w:line="240" w:lineRule="auto"/>
              <w:rPr>
                <w:rFonts w:ascii="Times New Roman" w:hAnsi="Times New Roman"/>
                <w:sz w:val="21"/>
                <w:szCs w:val="21"/>
              </w:rPr>
            </w:pPr>
            <w:r>
              <w:rPr>
                <w:rFonts w:ascii="Times New Roman" w:hAnsi="Times New Roman"/>
                <w:sz w:val="21"/>
                <w:szCs w:val="21"/>
              </w:rPr>
              <w:t>人接触553mg/m</w:t>
            </w:r>
            <w:r>
              <w:rPr>
                <w:rFonts w:ascii="Times New Roman" w:hAnsi="Times New Roman"/>
                <w:sz w:val="21"/>
                <w:szCs w:val="21"/>
                <w:vertAlign w:val="superscript"/>
              </w:rPr>
              <w:t>3</w:t>
            </w:r>
            <w:r>
              <w:rPr>
                <w:rFonts w:ascii="Times New Roman" w:hAnsi="Times New Roman"/>
                <w:sz w:val="21"/>
                <w:szCs w:val="21"/>
              </w:rPr>
              <w:t>可发生强烈的刺激症状，可耐受1.25分钟；3500~7000mg/m</w:t>
            </w:r>
            <w:r>
              <w:rPr>
                <w:rFonts w:ascii="Times New Roman" w:hAnsi="Times New Roman"/>
                <w:sz w:val="21"/>
                <w:szCs w:val="21"/>
                <w:vertAlign w:val="superscript"/>
              </w:rPr>
              <w:t>3</w:t>
            </w:r>
            <w:r>
              <w:rPr>
                <w:rFonts w:ascii="Times New Roman" w:hAnsi="Times New Roman"/>
                <w:sz w:val="21"/>
                <w:szCs w:val="21"/>
              </w:rPr>
              <w:t>浓度下可立即死亡。</w:t>
            </w:r>
          </w:p>
          <w:p>
            <w:pPr>
              <w:spacing w:line="240" w:lineRule="auto"/>
              <w:rPr>
                <w:rFonts w:ascii="Times New Roman" w:hAnsi="Times New Roman"/>
                <w:sz w:val="21"/>
                <w:szCs w:val="21"/>
              </w:rPr>
            </w:pPr>
            <w:r>
              <w:rPr>
                <w:rFonts w:ascii="Times New Roman" w:hAnsi="Times New Roman"/>
                <w:sz w:val="21"/>
                <w:szCs w:val="21"/>
              </w:rPr>
              <w:t>短期内吸入大量氨气可出现流泪、咽痛、声音嘶哑、咳嗽、痰可带血丝、胸闷、呼吸困难，可伴有头晕、头痛、恶心、乏力等，可出现眼结膜及咽部充血及水肿、呼吸率快等。严重者可发生肺水肿、急性呼吸窘迫综合症，还可并发气胸、纵膈气肿。</w:t>
            </w:r>
          </w:p>
        </w:tc>
      </w:tr>
    </w:tbl>
    <w:p>
      <w:pPr>
        <w:pStyle w:val="626"/>
        <w:spacing w:beforeLines="0"/>
        <w:ind w:firstLine="480"/>
        <w:rPr>
          <w:sz w:val="24"/>
          <w:lang w:val="zh-CN"/>
        </w:rPr>
      </w:pPr>
      <w:r>
        <w:rPr>
          <w:rFonts w:eastAsiaTheme="minorEastAsia"/>
          <w:sz w:val="24"/>
          <w:szCs w:val="24"/>
        </w:rPr>
        <w:t>本项目圈舍</w:t>
      </w:r>
      <w:r>
        <w:rPr>
          <w:sz w:val="24"/>
        </w:rPr>
        <w:t>采用先进通风系统，废气一般不会溢出圈舍，</w:t>
      </w:r>
      <w:r>
        <w:rPr>
          <w:sz w:val="24"/>
          <w:szCs w:val="24"/>
        </w:rPr>
        <w:t>废气通过抽风系统收集，垂直通风口采用活性炭处理后再通过圈舍耳房排放，</w:t>
      </w:r>
      <w:r>
        <w:rPr>
          <w:spacing w:val="-2"/>
          <w:kern w:val="0"/>
          <w:sz w:val="24"/>
        </w:rPr>
        <w:t>所产生的</w:t>
      </w:r>
      <w:r>
        <w:rPr>
          <w:sz w:val="24"/>
        </w:rPr>
        <w:t>H</w:t>
      </w:r>
      <w:r>
        <w:rPr>
          <w:sz w:val="24"/>
          <w:vertAlign w:val="subscript"/>
        </w:rPr>
        <w:t>2</w:t>
      </w:r>
      <w:r>
        <w:rPr>
          <w:sz w:val="24"/>
        </w:rPr>
        <w:t>S、NH</w:t>
      </w:r>
      <w:r>
        <w:rPr>
          <w:sz w:val="24"/>
          <w:vertAlign w:val="subscript"/>
        </w:rPr>
        <w:t>3</w:t>
      </w:r>
      <w:r>
        <w:rPr>
          <w:sz w:val="24"/>
        </w:rPr>
        <w:t>浓度远低于其LC</w:t>
      </w:r>
      <w:r>
        <w:rPr>
          <w:sz w:val="24"/>
          <w:vertAlign w:val="subscript"/>
        </w:rPr>
        <w:t>50</w:t>
      </w:r>
      <w:r>
        <w:rPr>
          <w:sz w:val="24"/>
        </w:rPr>
        <w:t>444ppm、LC</w:t>
      </w:r>
      <w:r>
        <w:rPr>
          <w:sz w:val="24"/>
          <w:vertAlign w:val="subscript"/>
        </w:rPr>
        <w:t>50</w:t>
      </w:r>
      <w:r>
        <w:rPr>
          <w:sz w:val="24"/>
        </w:rPr>
        <w:t>2000ppm/4h；且配置氨气自动监控系统，一旦</w:t>
      </w:r>
      <w:r>
        <w:rPr>
          <w:sz w:val="24"/>
          <w:lang w:val="zh-CN"/>
        </w:rPr>
        <w:t>排气系统出现故障，信息会及时反馈给工作人员，及时采取措施，防止事故发生</w:t>
      </w:r>
      <w:r>
        <w:rPr>
          <w:sz w:val="24"/>
        </w:rPr>
        <w:t>。</w:t>
      </w:r>
      <w:r>
        <w:rPr>
          <w:sz w:val="24"/>
          <w:lang w:val="zh-CN"/>
        </w:rPr>
        <w:t>污粪发酵深坑位于地下，为密闭空间，可有效防治恶臭废气扩散。</w:t>
      </w:r>
    </w:p>
    <w:p>
      <w:pPr>
        <w:pStyle w:val="108"/>
      </w:pPr>
      <w:bookmarkStart w:id="270" w:name="_Toc9873402"/>
      <w:r>
        <w:t>6.5.3 生猪疫情风险影响分析</w:t>
      </w:r>
      <w:bookmarkEnd w:id="270"/>
    </w:p>
    <w:p>
      <w:pPr>
        <w:pStyle w:val="626"/>
        <w:spacing w:beforeLines="0"/>
        <w:ind w:firstLine="480"/>
        <w:rPr>
          <w:sz w:val="24"/>
          <w:lang w:val="zh-CN"/>
        </w:rPr>
      </w:pPr>
      <w:r>
        <w:rPr>
          <w:sz w:val="24"/>
          <w:lang w:val="zh-CN"/>
        </w:rPr>
        <w:t>在饲养过程中不可避免存在生猪疫情，若不妥善处理，将会对周边社会环境造成一定影响。病死猪的危害主要有以下几点：</w:t>
      </w:r>
    </w:p>
    <w:p>
      <w:pPr>
        <w:pStyle w:val="626"/>
        <w:spacing w:beforeLines="0"/>
        <w:ind w:firstLine="480"/>
        <w:rPr>
          <w:sz w:val="24"/>
          <w:lang w:val="zh-CN"/>
        </w:rPr>
      </w:pPr>
      <w:r>
        <w:rPr>
          <w:rFonts w:hint="eastAsia" w:ascii="宋体" w:hAnsi="宋体" w:cs="宋体"/>
          <w:sz w:val="24"/>
          <w:lang w:val="zh-CN"/>
        </w:rPr>
        <w:t>①</w:t>
      </w:r>
      <w:r>
        <w:rPr>
          <w:sz w:val="24"/>
          <w:lang w:val="zh-CN"/>
        </w:rPr>
        <w:t>病死猪肉潜伏多种病原微生物，特别是人畜共患病原，人接触后易引起发病，甚至死亡。</w:t>
      </w:r>
    </w:p>
    <w:p>
      <w:pPr>
        <w:pStyle w:val="626"/>
        <w:spacing w:beforeLines="0"/>
        <w:ind w:firstLine="480"/>
        <w:rPr>
          <w:sz w:val="24"/>
          <w:lang w:val="zh-CN"/>
        </w:rPr>
      </w:pPr>
      <w:r>
        <w:rPr>
          <w:rFonts w:hint="eastAsia" w:ascii="宋体" w:hAnsi="宋体" w:cs="宋体"/>
          <w:sz w:val="24"/>
          <w:lang w:val="zh-CN"/>
        </w:rPr>
        <w:t>②</w:t>
      </w:r>
      <w:r>
        <w:rPr>
          <w:sz w:val="24"/>
          <w:lang w:val="zh-CN"/>
        </w:rPr>
        <w:t>病原微生物在繁殖过程中产生一些毒素和害物质，即使熟制后也无法破坏，食用后易对身体造成危害。</w:t>
      </w:r>
    </w:p>
    <w:p>
      <w:pPr>
        <w:pStyle w:val="626"/>
        <w:spacing w:beforeLines="0"/>
        <w:ind w:firstLine="480"/>
        <w:rPr>
          <w:sz w:val="24"/>
          <w:lang w:val="zh-CN"/>
        </w:rPr>
      </w:pPr>
      <w:r>
        <w:rPr>
          <w:rFonts w:hint="eastAsia" w:ascii="宋体" w:hAnsi="宋体" w:cs="宋体"/>
          <w:sz w:val="24"/>
          <w:lang w:val="zh-CN"/>
        </w:rPr>
        <w:t>③</w:t>
      </w:r>
      <w:r>
        <w:rPr>
          <w:sz w:val="24"/>
          <w:lang w:val="zh-CN"/>
        </w:rPr>
        <w:t>病死猪在死前一般都使用过大量的药物治疗，病死鸡肉中药物残留十分严重。</w:t>
      </w:r>
    </w:p>
    <w:p>
      <w:pPr>
        <w:pStyle w:val="626"/>
        <w:spacing w:beforeLines="0"/>
        <w:ind w:firstLine="480"/>
        <w:rPr>
          <w:sz w:val="24"/>
          <w:lang w:val="zh-CN"/>
        </w:rPr>
      </w:pPr>
      <w:r>
        <w:rPr>
          <w:rFonts w:hint="eastAsia" w:ascii="宋体" w:hAnsi="宋体" w:cs="宋体"/>
          <w:sz w:val="24"/>
          <w:lang w:val="zh-CN"/>
        </w:rPr>
        <w:t>④</w:t>
      </w:r>
      <w:r>
        <w:rPr>
          <w:sz w:val="24"/>
          <w:lang w:val="zh-CN"/>
        </w:rPr>
        <w:t>病死猪肉的脂肪、蛋白质等易腐败变质转化为对人体不利的物质。</w:t>
      </w:r>
    </w:p>
    <w:p>
      <w:pPr>
        <w:pStyle w:val="626"/>
        <w:spacing w:beforeLines="0"/>
        <w:ind w:firstLine="480"/>
        <w:rPr>
          <w:sz w:val="24"/>
          <w:lang w:val="zh-CN"/>
        </w:rPr>
      </w:pPr>
      <w:r>
        <w:rPr>
          <w:rFonts w:hint="eastAsia" w:ascii="宋体" w:hAnsi="宋体" w:cs="宋体"/>
          <w:sz w:val="24"/>
          <w:lang w:val="zh-CN"/>
        </w:rPr>
        <w:t>⑤</w:t>
      </w:r>
      <w:r>
        <w:rPr>
          <w:sz w:val="24"/>
          <w:lang w:val="zh-CN"/>
        </w:rPr>
        <w:t>为去除病死猪异味，不法商常用违禁化学药品浸泡，而且食用违禁化学药品浸泡过的肉品还会降低人体免疫力，诱发癌症。</w:t>
      </w:r>
    </w:p>
    <w:p>
      <w:pPr>
        <w:pStyle w:val="626"/>
        <w:spacing w:beforeLines="0"/>
        <w:ind w:firstLine="480"/>
        <w:rPr>
          <w:sz w:val="24"/>
          <w:lang w:val="zh-CN"/>
        </w:rPr>
      </w:pPr>
      <w:r>
        <w:rPr>
          <w:rFonts w:hint="eastAsia" w:ascii="宋体" w:hAnsi="宋体" w:cs="宋体"/>
          <w:sz w:val="24"/>
          <w:lang w:val="zh-CN"/>
        </w:rPr>
        <w:t>⑥</w:t>
      </w:r>
      <w:r>
        <w:rPr>
          <w:sz w:val="24"/>
          <w:lang w:val="zh-CN"/>
        </w:rPr>
        <w:t>病死猪肉流通过程中易造成疫病的传播。</w:t>
      </w:r>
    </w:p>
    <w:p>
      <w:pPr>
        <w:pStyle w:val="626"/>
        <w:spacing w:beforeLines="0"/>
        <w:ind w:firstLine="480"/>
        <w:rPr>
          <w:sz w:val="24"/>
          <w:lang w:val="zh-CN"/>
        </w:rPr>
      </w:pPr>
      <w:r>
        <w:rPr>
          <w:rFonts w:hint="eastAsia" w:ascii="宋体" w:hAnsi="宋体" w:cs="宋体"/>
          <w:sz w:val="24"/>
          <w:lang w:val="zh-CN"/>
        </w:rPr>
        <w:t>⑦</w:t>
      </w:r>
      <w:r>
        <w:rPr>
          <w:sz w:val="24"/>
          <w:lang w:val="zh-CN"/>
        </w:rPr>
        <w:t>病死猪拉运过程中对运输路线周边环境的影响。</w:t>
      </w:r>
    </w:p>
    <w:p>
      <w:pPr>
        <w:pStyle w:val="103"/>
        <w:numPr>
          <w:ilvl w:val="0"/>
          <w:numId w:val="0"/>
        </w:numPr>
        <w:rPr>
          <w:rFonts w:ascii="Times New Roman" w:hAnsi="Times New Roman"/>
          <w:b w:val="0"/>
          <w:bCs/>
          <w:kern w:val="28"/>
          <w:sz w:val="32"/>
          <w:szCs w:val="32"/>
        </w:rPr>
      </w:pPr>
      <w:bookmarkStart w:id="271" w:name="_Toc370397557"/>
      <w:bookmarkStart w:id="272" w:name="_Toc371189328"/>
      <w:bookmarkStart w:id="273" w:name="_Toc380772459"/>
      <w:bookmarkStart w:id="274" w:name="_Toc411330489"/>
      <w:bookmarkStart w:id="275" w:name="_Toc5179650"/>
      <w:bookmarkStart w:id="276" w:name="_Toc490333025"/>
      <w:bookmarkStart w:id="277" w:name="_Toc9873403"/>
      <w:r>
        <w:rPr>
          <w:rFonts w:ascii="Times New Roman" w:hAnsi="Times New Roman"/>
          <w:b w:val="0"/>
          <w:bCs/>
          <w:kern w:val="28"/>
          <w:sz w:val="32"/>
          <w:szCs w:val="32"/>
        </w:rPr>
        <w:t>6.6　风险防范措施</w:t>
      </w:r>
      <w:bookmarkEnd w:id="271"/>
      <w:bookmarkEnd w:id="272"/>
      <w:bookmarkEnd w:id="273"/>
      <w:bookmarkEnd w:id="274"/>
      <w:bookmarkEnd w:id="275"/>
      <w:bookmarkEnd w:id="276"/>
      <w:bookmarkEnd w:id="277"/>
    </w:p>
    <w:p>
      <w:pPr>
        <w:pStyle w:val="108"/>
      </w:pPr>
      <w:bookmarkStart w:id="278" w:name="_Toc9873404"/>
      <w:r>
        <w:t>6.6.1 已采取风险防范措施</w:t>
      </w:r>
      <w:bookmarkEnd w:id="278"/>
    </w:p>
    <w:p>
      <w:pPr>
        <w:ind w:firstLine="480" w:firstLineChars="200"/>
        <w:contextualSpacing/>
        <w:rPr>
          <w:rFonts w:ascii="Times New Roman" w:hAnsi="Times New Roman"/>
          <w:sz w:val="24"/>
        </w:rPr>
      </w:pPr>
      <w:r>
        <w:rPr>
          <w:rFonts w:ascii="Times New Roman" w:hAnsi="Times New Roman"/>
          <w:sz w:val="24"/>
        </w:rPr>
        <w:t>为切实加强环保安全监督管理工作，强化落实环境保护的主体责任，进一步提高环境保护管理水平，建设单位按照《环境保护法》、《水污染防治法》和《大气污染防治法》等相关规定，根据一期实际情况，已采取如下环境风险防范：</w:t>
      </w:r>
    </w:p>
    <w:p>
      <w:pPr>
        <w:adjustRightInd w:val="0"/>
        <w:ind w:firstLine="482" w:firstLineChars="200"/>
        <w:contextualSpacing/>
        <w:rPr>
          <w:rFonts w:ascii="Times New Roman" w:hAnsi="Times New Roman"/>
          <w:b/>
          <w:sz w:val="24"/>
        </w:rPr>
      </w:pPr>
      <w:r>
        <w:rPr>
          <w:rFonts w:ascii="Times New Roman" w:hAnsi="Times New Roman"/>
          <w:b/>
          <w:sz w:val="24"/>
        </w:rPr>
        <w:t>1、污粪废水（或废液）风险防范措施</w:t>
      </w:r>
    </w:p>
    <w:p>
      <w:pPr>
        <w:numPr>
          <w:ilvl w:val="0"/>
          <w:numId w:val="12"/>
        </w:numPr>
        <w:ind w:left="0" w:firstLine="525"/>
        <w:contextualSpacing/>
        <w:rPr>
          <w:rFonts w:ascii="Times New Roman" w:hAnsi="Times New Roman" w:eastAsiaTheme="minorEastAsia"/>
          <w:sz w:val="24"/>
        </w:rPr>
      </w:pPr>
      <w:r>
        <w:rPr>
          <w:rFonts w:ascii="Times New Roman" w:hAnsi="Times New Roman" w:eastAsiaTheme="minorEastAsia"/>
          <w:sz w:val="24"/>
        </w:rPr>
        <w:t>污粪发酵深坑、化粪池、废水输送管道等已完成防渗处理。重点防渗区已做好防渗层和地面硬化。重点防渗区等效黏土防渗层Mb≥6.0m，K≤1×10</w:t>
      </w:r>
      <w:r>
        <w:rPr>
          <w:rFonts w:ascii="Times New Roman" w:hAnsi="Times New Roman" w:eastAsiaTheme="minorEastAsia"/>
          <w:sz w:val="24"/>
          <w:vertAlign w:val="superscript"/>
        </w:rPr>
        <w:t>-7</w:t>
      </w:r>
      <w:r>
        <w:rPr>
          <w:rFonts w:ascii="Times New Roman" w:hAnsi="Times New Roman" w:eastAsiaTheme="minorEastAsia"/>
          <w:sz w:val="24"/>
        </w:rPr>
        <w:t>cm/s；一般防渗区地面采取粘土铺底，等效黏土防渗层：Mb≥1.5m，K≤1×10</w:t>
      </w:r>
      <w:r>
        <w:rPr>
          <w:rFonts w:ascii="Times New Roman" w:hAnsi="Times New Roman" w:eastAsiaTheme="minorEastAsia"/>
          <w:sz w:val="24"/>
          <w:vertAlign w:val="superscript"/>
        </w:rPr>
        <w:t>-7</w:t>
      </w:r>
      <w:r>
        <w:rPr>
          <w:rFonts w:ascii="Times New Roman" w:hAnsi="Times New Roman" w:eastAsiaTheme="minorEastAsia"/>
          <w:sz w:val="24"/>
        </w:rPr>
        <w:t>cm/s，再在上层铺10~15cm的水泥进行硬化；</w:t>
      </w:r>
    </w:p>
    <w:p>
      <w:pPr>
        <w:numPr>
          <w:ilvl w:val="0"/>
          <w:numId w:val="12"/>
        </w:numPr>
        <w:ind w:left="0" w:firstLine="525"/>
        <w:contextualSpacing/>
        <w:rPr>
          <w:rFonts w:ascii="Times New Roman" w:hAnsi="Times New Roman" w:eastAsiaTheme="minorEastAsia"/>
          <w:sz w:val="24"/>
        </w:rPr>
      </w:pPr>
      <w:r>
        <w:rPr>
          <w:rFonts w:ascii="Times New Roman" w:hAnsi="Times New Roman" w:eastAsiaTheme="minorEastAsia"/>
          <w:sz w:val="24"/>
        </w:rPr>
        <w:t>污粪发酵深坑必须与项目主体工程同步建设，满足6个月存储量，即2.7万m</w:t>
      </w:r>
      <w:r>
        <w:rPr>
          <w:rFonts w:ascii="Times New Roman" w:hAnsi="Times New Roman" w:eastAsiaTheme="minorEastAsia"/>
          <w:sz w:val="24"/>
          <w:vertAlign w:val="superscript"/>
        </w:rPr>
        <w:t>3</w:t>
      </w:r>
      <w:r>
        <w:rPr>
          <w:rFonts w:ascii="Times New Roman" w:hAnsi="Times New Roman" w:eastAsiaTheme="minorEastAsia"/>
          <w:sz w:val="24"/>
        </w:rPr>
        <w:t>的要求，深坑位于圈舍下方进行密闭，避免废气外溢污染环境；</w:t>
      </w:r>
    </w:p>
    <w:p>
      <w:pPr>
        <w:ind w:firstLine="480" w:firstLineChars="200"/>
        <w:contextualSpacing/>
        <w:rPr>
          <w:rFonts w:ascii="Times New Roman" w:hAnsi="Times New Roman" w:eastAsiaTheme="minorEastAsia"/>
          <w:sz w:val="24"/>
        </w:rPr>
      </w:pPr>
      <w:r>
        <w:rPr>
          <w:rFonts w:ascii="Times New Roman" w:hAnsi="Times New Roman" w:eastAsiaTheme="minorEastAsia"/>
          <w:sz w:val="24"/>
        </w:rPr>
        <w:t>（3）加强污粪发酵深坑、化粪池日常维护防止泄露；</w:t>
      </w:r>
    </w:p>
    <w:p>
      <w:pPr>
        <w:ind w:firstLine="480" w:firstLineChars="200"/>
        <w:contextualSpacing/>
        <w:rPr>
          <w:rFonts w:ascii="Times New Roman" w:hAnsi="Times New Roman" w:eastAsiaTheme="minorEastAsia"/>
          <w:sz w:val="24"/>
        </w:rPr>
      </w:pPr>
      <w:r>
        <w:rPr>
          <w:rFonts w:ascii="Times New Roman" w:hAnsi="Times New Roman" w:eastAsiaTheme="minorEastAsia"/>
          <w:sz w:val="24"/>
        </w:rPr>
        <w:t>（4）定期检修水管，有漏水现象时及时更换。</w:t>
      </w:r>
    </w:p>
    <w:p>
      <w:pPr>
        <w:adjustRightInd w:val="0"/>
        <w:snapToGrid w:val="0"/>
        <w:ind w:firstLine="482" w:firstLineChars="200"/>
        <w:rPr>
          <w:rFonts w:ascii="Times New Roman" w:hAnsi="Times New Roman"/>
          <w:b/>
          <w:sz w:val="24"/>
        </w:rPr>
      </w:pPr>
      <w:r>
        <w:rPr>
          <w:rFonts w:ascii="Times New Roman" w:hAnsi="Times New Roman"/>
          <w:b/>
          <w:sz w:val="24"/>
        </w:rPr>
        <w:t>2、恶臭废气风险防范措施</w:t>
      </w:r>
    </w:p>
    <w:p>
      <w:pPr>
        <w:autoSpaceDE w:val="0"/>
        <w:autoSpaceDN w:val="0"/>
        <w:adjustRightInd w:val="0"/>
        <w:ind w:firstLine="480"/>
        <w:jc w:val="left"/>
        <w:rPr>
          <w:rFonts w:ascii="Times New Roman" w:hAnsi="Times New Roman"/>
          <w:kern w:val="0"/>
          <w:sz w:val="24"/>
        </w:rPr>
      </w:pPr>
      <w:r>
        <w:rPr>
          <w:rFonts w:ascii="Times New Roman" w:hAnsi="Times New Roman" w:eastAsia="新宋体"/>
          <w:kern w:val="0"/>
          <w:sz w:val="24"/>
        </w:rPr>
        <w:t>（1）</w:t>
      </w:r>
      <w:r>
        <w:rPr>
          <w:rFonts w:ascii="Times New Roman" w:hAnsi="Times New Roman"/>
          <w:kern w:val="0"/>
          <w:sz w:val="24"/>
        </w:rPr>
        <w:t>圈舍整体为负压封闭状态，减少了废气溢出。</w:t>
      </w:r>
    </w:p>
    <w:p>
      <w:pPr>
        <w:autoSpaceDE w:val="0"/>
        <w:autoSpaceDN w:val="0"/>
        <w:adjustRightInd w:val="0"/>
        <w:ind w:firstLine="480"/>
        <w:jc w:val="left"/>
        <w:rPr>
          <w:rFonts w:ascii="Times New Roman" w:hAnsi="Times New Roman"/>
          <w:kern w:val="0"/>
          <w:sz w:val="24"/>
        </w:rPr>
      </w:pPr>
      <w:r>
        <w:rPr>
          <w:rFonts w:ascii="Times New Roman" w:hAnsi="Times New Roman" w:eastAsia="新宋体"/>
          <w:kern w:val="0"/>
          <w:sz w:val="24"/>
        </w:rPr>
        <w:t>（2）</w:t>
      </w:r>
      <w:r>
        <w:rPr>
          <w:rFonts w:ascii="Times New Roman" w:hAnsi="Times New Roman"/>
          <w:kern w:val="0"/>
          <w:sz w:val="24"/>
        </w:rPr>
        <w:t>废气通过抽风系统收集，并经活性炭处理后通过圈舍耳房排放。同时圈舍耳房配置水雾喷淋，若废气浓度过高，则采取喷淋措施。</w:t>
      </w:r>
    </w:p>
    <w:p>
      <w:pPr>
        <w:autoSpaceDE w:val="0"/>
        <w:autoSpaceDN w:val="0"/>
        <w:adjustRightInd w:val="0"/>
        <w:ind w:firstLine="480" w:firstLineChars="200"/>
        <w:jc w:val="left"/>
        <w:rPr>
          <w:rFonts w:ascii="Times New Roman" w:hAnsi="Times New Roman"/>
          <w:kern w:val="0"/>
          <w:sz w:val="24"/>
        </w:rPr>
      </w:pPr>
      <w:r>
        <w:rPr>
          <w:rFonts w:ascii="Times New Roman" w:hAnsi="Times New Roman" w:eastAsia="新宋体"/>
          <w:kern w:val="0"/>
          <w:sz w:val="24"/>
        </w:rPr>
        <w:t>（3）</w:t>
      </w:r>
      <w:r>
        <w:rPr>
          <w:rFonts w:ascii="Times New Roman" w:hAnsi="Times New Roman"/>
          <w:kern w:val="0"/>
          <w:sz w:val="24"/>
        </w:rPr>
        <w:t>加强圈舍管理，及时清理圈舍粪便，做到日产日清；通过减少粪便的停留时间和覆盖面积，可大为降低圈舍废气产生。</w:t>
      </w:r>
    </w:p>
    <w:p>
      <w:pPr>
        <w:autoSpaceDE w:val="0"/>
        <w:autoSpaceDN w:val="0"/>
        <w:adjustRightInd w:val="0"/>
        <w:ind w:firstLine="480" w:firstLineChars="200"/>
        <w:jc w:val="left"/>
        <w:rPr>
          <w:rFonts w:ascii="Times New Roman" w:hAnsi="Times New Roman"/>
          <w:kern w:val="0"/>
          <w:sz w:val="24"/>
        </w:rPr>
      </w:pPr>
      <w:r>
        <w:rPr>
          <w:rFonts w:ascii="Times New Roman" w:hAnsi="Times New Roman" w:eastAsia="新宋体"/>
          <w:kern w:val="0"/>
          <w:sz w:val="24"/>
        </w:rPr>
        <w:t>（4）</w:t>
      </w:r>
      <w:r>
        <w:rPr>
          <w:rFonts w:ascii="Times New Roman" w:hAnsi="Times New Roman"/>
          <w:kern w:val="0"/>
          <w:sz w:val="24"/>
        </w:rPr>
        <w:t>通过划定防护距离，减轻和避免恶臭气体对外环境的影响。</w:t>
      </w:r>
    </w:p>
    <w:p>
      <w:pPr>
        <w:autoSpaceDE w:val="0"/>
        <w:autoSpaceDN w:val="0"/>
        <w:adjustRightInd w:val="0"/>
        <w:ind w:firstLine="480" w:firstLineChars="200"/>
        <w:jc w:val="left"/>
        <w:rPr>
          <w:rFonts w:ascii="Times New Roman" w:hAnsi="Times New Roman"/>
          <w:kern w:val="0"/>
          <w:sz w:val="24"/>
        </w:rPr>
      </w:pPr>
      <w:r>
        <w:rPr>
          <w:rFonts w:ascii="Times New Roman" w:hAnsi="Times New Roman" w:eastAsia="新宋体"/>
          <w:kern w:val="0"/>
          <w:sz w:val="24"/>
        </w:rPr>
        <w:t>（5）</w:t>
      </w:r>
      <w:r>
        <w:rPr>
          <w:rFonts w:ascii="Times New Roman" w:hAnsi="Times New Roman"/>
          <w:kern w:val="0"/>
          <w:sz w:val="24"/>
        </w:rPr>
        <w:t>圈舍增加通风次数，向粪便或舍内投放吸附剂减少臭气的散发，可采用沸石、膨润土以及秸秆等含纤维素和木质素较多的材料，使用高锰酸钾等氧化剂及一些杀菌剂，可杀死厌氧发酵的细菌，达到除臭目的；每</w:t>
      </w:r>
      <w:r>
        <w:rPr>
          <w:rFonts w:ascii="Times New Roman" w:hAnsi="Times New Roman" w:eastAsia="TimesNewRoman"/>
          <w:kern w:val="0"/>
          <w:sz w:val="24"/>
        </w:rPr>
        <w:t>5</w:t>
      </w:r>
      <w:r>
        <w:rPr>
          <w:rFonts w:ascii="Times New Roman" w:hAnsi="Times New Roman"/>
          <w:kern w:val="0"/>
          <w:sz w:val="24"/>
        </w:rPr>
        <w:t>天喷雾一次</w:t>
      </w:r>
      <w:r>
        <w:rPr>
          <w:rFonts w:ascii="Times New Roman" w:hAnsi="Times New Roman" w:eastAsia="TimesNewRoman"/>
          <w:kern w:val="0"/>
          <w:sz w:val="24"/>
        </w:rPr>
        <w:t xml:space="preserve">500 </w:t>
      </w:r>
      <w:r>
        <w:rPr>
          <w:rFonts w:ascii="Times New Roman" w:hAnsi="Times New Roman"/>
          <w:kern w:val="0"/>
          <w:sz w:val="24"/>
        </w:rPr>
        <w:t>倍稀释的</w:t>
      </w:r>
      <w:r>
        <w:rPr>
          <w:rFonts w:ascii="Times New Roman" w:hAnsi="Times New Roman" w:eastAsia="TimesNewRoman"/>
          <w:kern w:val="0"/>
          <w:sz w:val="24"/>
        </w:rPr>
        <w:t>EM</w:t>
      </w:r>
      <w:r>
        <w:rPr>
          <w:rFonts w:ascii="Times New Roman" w:hAnsi="Times New Roman"/>
          <w:kern w:val="0"/>
          <w:sz w:val="24"/>
        </w:rPr>
        <w:t>（有效生物菌群）液等措施；</w:t>
      </w:r>
    </w:p>
    <w:p>
      <w:pPr>
        <w:autoSpaceDE w:val="0"/>
        <w:autoSpaceDN w:val="0"/>
        <w:adjustRightInd w:val="0"/>
        <w:ind w:firstLine="480" w:firstLineChars="200"/>
        <w:jc w:val="left"/>
        <w:rPr>
          <w:rFonts w:ascii="Times New Roman" w:hAnsi="Times New Roman"/>
          <w:kern w:val="0"/>
          <w:sz w:val="24"/>
        </w:rPr>
      </w:pPr>
      <w:r>
        <w:rPr>
          <w:rFonts w:ascii="Times New Roman" w:hAnsi="Times New Roman" w:eastAsia="新宋体"/>
          <w:kern w:val="0"/>
          <w:sz w:val="24"/>
        </w:rPr>
        <w:t>（6）</w:t>
      </w:r>
      <w:r>
        <w:rPr>
          <w:rFonts w:ascii="Times New Roman" w:hAnsi="Times New Roman"/>
          <w:kern w:val="0"/>
          <w:sz w:val="24"/>
        </w:rPr>
        <w:t>猪只在饲喂过程中采用本集团公司生产的全价饲料，因摄入蛋白质科学合理，既能保证猪只生长，又能减少粪便恶臭气体产生，从而恶臭气体从源头上得到减少。</w:t>
      </w:r>
    </w:p>
    <w:p>
      <w:pPr>
        <w:snapToGrid w:val="0"/>
        <w:ind w:firstLine="480" w:firstLineChars="200"/>
        <w:rPr>
          <w:rFonts w:ascii="Times New Roman" w:hAnsi="Times New Roman"/>
          <w:kern w:val="0"/>
          <w:sz w:val="24"/>
        </w:rPr>
      </w:pPr>
      <w:r>
        <w:rPr>
          <w:rFonts w:ascii="Times New Roman" w:hAnsi="Times New Roman" w:eastAsia="新宋体"/>
          <w:kern w:val="0"/>
          <w:sz w:val="24"/>
        </w:rPr>
        <w:t>（7）</w:t>
      </w:r>
      <w:r>
        <w:rPr>
          <w:rFonts w:ascii="Times New Roman" w:hAnsi="Times New Roman"/>
          <w:kern w:val="0"/>
          <w:sz w:val="24"/>
        </w:rPr>
        <w:t>加强厂区及厂界周围环境绿化。在项目场区内部及周围进行绿化和种植防护林，特别是加强场区东北面绿化高度和密度，加强绿化林对恶臭的阻隔效果，阻挡圈舍臭气扩散；圈舍周围种植夹竹桃、松柏等，场界边缘地带种植杨槐等高大树种形成多层防护林带，以降低恶臭污染的影响程度。</w:t>
      </w:r>
    </w:p>
    <w:p>
      <w:pPr>
        <w:snapToGrid w:val="0"/>
        <w:ind w:firstLine="482" w:firstLineChars="200"/>
        <w:rPr>
          <w:rFonts w:ascii="Times New Roman" w:hAnsi="Times New Roman"/>
          <w:b/>
          <w:sz w:val="24"/>
        </w:rPr>
      </w:pPr>
      <w:r>
        <w:rPr>
          <w:rFonts w:ascii="Times New Roman" w:hAnsi="Times New Roman"/>
          <w:b/>
          <w:kern w:val="0"/>
          <w:sz w:val="24"/>
        </w:rPr>
        <w:t>3、生猪疫情风险防范措施</w:t>
      </w:r>
    </w:p>
    <w:p>
      <w:pPr>
        <w:ind w:firstLine="480" w:firstLineChars="200"/>
        <w:contextualSpacing/>
        <w:rPr>
          <w:rFonts w:ascii="Times New Roman" w:hAnsi="Times New Roman" w:eastAsia="新宋体"/>
          <w:kern w:val="0"/>
          <w:sz w:val="24"/>
        </w:rPr>
      </w:pPr>
      <w:r>
        <w:rPr>
          <w:rFonts w:ascii="Times New Roman" w:hAnsi="Times New Roman" w:eastAsia="新宋体"/>
          <w:kern w:val="0"/>
          <w:sz w:val="24"/>
        </w:rPr>
        <w:t>针对生猪疫情已采取风险防范措施如下：</w:t>
      </w:r>
    </w:p>
    <w:p>
      <w:pPr>
        <w:tabs>
          <w:tab w:val="left" w:pos="840"/>
        </w:tabs>
        <w:ind w:firstLine="480" w:firstLineChars="200"/>
        <w:contextualSpacing/>
        <w:rPr>
          <w:rFonts w:ascii="Times New Roman" w:hAnsi="Times New Roman"/>
          <w:sz w:val="24"/>
        </w:rPr>
      </w:pPr>
      <w:r>
        <w:rPr>
          <w:rFonts w:ascii="Times New Roman" w:hAnsi="Times New Roman"/>
          <w:sz w:val="24"/>
        </w:rPr>
        <w:t>（1）养猪场将生产区与生活区分开。应设置消毒池和消毒室（内设紫外线灯等消毒设施），消毒池内常年保持2％-4％氢氧化钠溶液等消毒药。</w:t>
      </w:r>
    </w:p>
    <w:p>
      <w:pPr>
        <w:tabs>
          <w:tab w:val="left" w:pos="840"/>
        </w:tabs>
        <w:ind w:firstLine="480" w:firstLineChars="200"/>
        <w:contextualSpacing/>
        <w:rPr>
          <w:rFonts w:ascii="Times New Roman" w:hAnsi="Times New Roman"/>
          <w:sz w:val="24"/>
        </w:rPr>
      </w:pPr>
      <w:r>
        <w:rPr>
          <w:rFonts w:ascii="Times New Roman" w:hAnsi="Times New Roman"/>
          <w:sz w:val="24"/>
        </w:rPr>
        <w:t>（2）严格控制非生产人员进入生产区，必须进入时应更换工作服及鞋帽，经消毒室消毒后才能进入。</w:t>
      </w:r>
    </w:p>
    <w:p>
      <w:pPr>
        <w:tabs>
          <w:tab w:val="left" w:pos="840"/>
        </w:tabs>
        <w:ind w:firstLine="480" w:firstLineChars="200"/>
        <w:contextualSpacing/>
        <w:rPr>
          <w:rFonts w:ascii="Times New Roman" w:hAnsi="Times New Roman"/>
          <w:sz w:val="24"/>
        </w:rPr>
      </w:pPr>
      <w:r>
        <w:rPr>
          <w:rFonts w:ascii="Times New Roman" w:hAnsi="Times New Roman"/>
          <w:sz w:val="24"/>
        </w:rPr>
        <w:t>（3）饲养人员每年应进行一次体格检查，如发现患有危害人、猪的传染病者，应及时调离，以防传染。</w:t>
      </w:r>
    </w:p>
    <w:p>
      <w:pPr>
        <w:tabs>
          <w:tab w:val="left" w:pos="840"/>
        </w:tabs>
        <w:ind w:firstLine="480" w:firstLineChars="200"/>
        <w:contextualSpacing/>
        <w:rPr>
          <w:rFonts w:ascii="Times New Roman" w:hAnsi="Times New Roman"/>
          <w:sz w:val="24"/>
        </w:rPr>
      </w:pPr>
      <w:r>
        <w:rPr>
          <w:rFonts w:ascii="Times New Roman" w:hAnsi="Times New Roman"/>
          <w:sz w:val="24"/>
        </w:rPr>
        <w:t>（4）保持猪舍、猪床、猪体的清洁，猪舍、猪床应保持平整、干燥、无污物（如砖块、石头、炉渣、废弃塑料袋等）。</w:t>
      </w:r>
    </w:p>
    <w:p>
      <w:pPr>
        <w:tabs>
          <w:tab w:val="left" w:pos="840"/>
        </w:tabs>
        <w:ind w:firstLine="480" w:firstLineChars="200"/>
        <w:contextualSpacing/>
        <w:rPr>
          <w:rFonts w:ascii="Times New Roman" w:hAnsi="Times New Roman"/>
          <w:sz w:val="24"/>
        </w:rPr>
      </w:pPr>
      <w:r>
        <w:rPr>
          <w:rFonts w:ascii="Times New Roman" w:hAnsi="Times New Roman"/>
          <w:sz w:val="24"/>
        </w:rPr>
        <w:t>（5）定期检测各类饲料成分，经常检查、调整、平衡日粮的营养，特别是蹄病发生率达15％以上时。</w:t>
      </w:r>
    </w:p>
    <w:p>
      <w:pPr>
        <w:tabs>
          <w:tab w:val="left" w:pos="840"/>
        </w:tabs>
        <w:ind w:firstLine="480" w:firstLineChars="200"/>
        <w:contextualSpacing/>
        <w:rPr>
          <w:rFonts w:ascii="Times New Roman" w:hAnsi="Times New Roman"/>
          <w:sz w:val="24"/>
        </w:rPr>
      </w:pPr>
      <w:r>
        <w:rPr>
          <w:rFonts w:ascii="Times New Roman" w:hAnsi="Times New Roman"/>
          <w:sz w:val="24"/>
        </w:rPr>
        <w:t>（6）设置有隔离室，位于整个厂区东南角，病死猪消毒（戊二醛、苯扎溴铵、月三苄甲氯铵、聚微酮碘等），由成都市科农动物无害化处置有限公司进行处理，运输前对病死猪进行包裹，并对包裹体进行消毒；</w:t>
      </w:r>
    </w:p>
    <w:p>
      <w:pPr>
        <w:tabs>
          <w:tab w:val="left" w:pos="840"/>
        </w:tabs>
        <w:ind w:firstLine="480" w:firstLineChars="200"/>
        <w:contextualSpacing/>
        <w:rPr>
          <w:rFonts w:ascii="Times New Roman" w:hAnsi="Times New Roman"/>
          <w:sz w:val="24"/>
        </w:rPr>
      </w:pPr>
      <w:r>
        <w:rPr>
          <w:rFonts w:ascii="Times New Roman" w:hAnsi="Times New Roman"/>
          <w:sz w:val="24"/>
        </w:rPr>
        <w:t>（7）危险废物单独收集，在厂区南侧危废暂存间暂存，并交成都瀚洋环保实业有限公司处置。</w:t>
      </w:r>
    </w:p>
    <w:p>
      <w:pPr>
        <w:tabs>
          <w:tab w:val="left" w:pos="840"/>
        </w:tabs>
        <w:ind w:firstLine="480" w:firstLineChars="200"/>
        <w:contextualSpacing/>
        <w:rPr>
          <w:rFonts w:ascii="Times New Roman" w:hAnsi="Times New Roman"/>
          <w:sz w:val="24"/>
        </w:rPr>
      </w:pPr>
      <w:r>
        <w:rPr>
          <w:rFonts w:ascii="Times New Roman" w:hAnsi="Times New Roman"/>
          <w:sz w:val="24"/>
        </w:rPr>
        <w:t>本项目医疗废物暂存间独立设置，用于存放企业产生的废弃医疗用品，企业严格按照《危险废物贮存污染控制标准》（GB18597-2001）的要求对医疗废物暂存间进行封闭建设，地面硬化及“三防”处理，并设置有警示标识等。</w:t>
      </w:r>
    </w:p>
    <w:p>
      <w:pPr>
        <w:pStyle w:val="108"/>
      </w:pPr>
      <w:bookmarkStart w:id="279" w:name="_Toc9873405"/>
      <w:r>
        <w:t>6.6.2 进一步采取风险防范措施</w:t>
      </w:r>
      <w:bookmarkEnd w:id="279"/>
    </w:p>
    <w:p>
      <w:pPr>
        <w:tabs>
          <w:tab w:val="left" w:pos="840"/>
        </w:tabs>
        <w:ind w:firstLine="480" w:firstLineChars="200"/>
        <w:contextualSpacing/>
        <w:rPr>
          <w:rFonts w:ascii="Times New Roman" w:hAnsi="Times New Roman"/>
          <w:sz w:val="24"/>
        </w:rPr>
      </w:pPr>
      <w:r>
        <w:rPr>
          <w:rFonts w:ascii="Times New Roman" w:hAnsi="Times New Roman"/>
          <w:sz w:val="24"/>
        </w:rPr>
        <w:t>本项目为养猪基地二期建设工程，除需按照上述已有措施进行风险防范控制外，还需采取如下风险防范措施：</w:t>
      </w:r>
    </w:p>
    <w:p>
      <w:pPr>
        <w:tabs>
          <w:tab w:val="left" w:pos="840"/>
        </w:tabs>
        <w:ind w:firstLine="520" w:firstLineChars="200"/>
        <w:contextualSpacing/>
        <w:rPr>
          <w:rFonts w:ascii="Times New Roman" w:hAnsi="Times New Roman"/>
          <w:sz w:val="24"/>
        </w:rPr>
      </w:pPr>
      <w:r>
        <w:rPr>
          <w:rFonts w:ascii="Times New Roman" w:hAnsi="Times New Roman"/>
          <w:spacing w:val="10"/>
          <w:sz w:val="24"/>
        </w:rPr>
        <w:t>（1）定期维护、检查</w:t>
      </w:r>
      <w:r>
        <w:rPr>
          <w:rFonts w:ascii="Times New Roman" w:hAnsi="Times New Roman"/>
          <w:sz w:val="24"/>
        </w:rPr>
        <w:t>猪舍排气系统及监控系统，保证其运转正常；</w:t>
      </w:r>
    </w:p>
    <w:p>
      <w:pPr>
        <w:tabs>
          <w:tab w:val="left" w:pos="840"/>
        </w:tabs>
        <w:ind w:firstLine="520" w:firstLineChars="200"/>
        <w:contextualSpacing/>
        <w:rPr>
          <w:rFonts w:ascii="Times New Roman" w:hAnsi="Times New Roman"/>
          <w:spacing w:val="10"/>
          <w:sz w:val="24"/>
        </w:rPr>
      </w:pPr>
      <w:r>
        <w:rPr>
          <w:rFonts w:ascii="Times New Roman" w:hAnsi="Times New Roman"/>
          <w:spacing w:val="10"/>
          <w:sz w:val="24"/>
        </w:rPr>
        <w:t>（2）定期维护备用发电机及其自起动装置，以便在停电时发电机能及时启动；</w:t>
      </w:r>
    </w:p>
    <w:p>
      <w:pPr>
        <w:tabs>
          <w:tab w:val="left" w:pos="840"/>
        </w:tabs>
        <w:ind w:firstLine="520" w:firstLineChars="200"/>
        <w:contextualSpacing/>
        <w:rPr>
          <w:rFonts w:ascii="Times New Roman" w:hAnsi="Times New Roman"/>
          <w:spacing w:val="10"/>
          <w:sz w:val="24"/>
        </w:rPr>
      </w:pPr>
      <w:r>
        <w:rPr>
          <w:rFonts w:ascii="Times New Roman" w:hAnsi="Times New Roman"/>
          <w:spacing w:val="10"/>
          <w:sz w:val="24"/>
        </w:rPr>
        <w:t>（3）在猪舍附近设置事故柜和急救器材、救生器、防护面罩、衣、护目镜、胶皮手套、耳塞等防护、急救用具、用品；</w:t>
      </w:r>
    </w:p>
    <w:p>
      <w:pPr>
        <w:widowControl/>
        <w:tabs>
          <w:tab w:val="left" w:pos="7155"/>
        </w:tabs>
        <w:spacing w:line="480" w:lineRule="exact"/>
        <w:ind w:firstLine="520" w:firstLineChars="200"/>
        <w:jc w:val="left"/>
        <w:rPr>
          <w:rFonts w:ascii="Times New Roman" w:hAnsi="Times New Roman"/>
          <w:spacing w:val="10"/>
          <w:sz w:val="24"/>
        </w:rPr>
      </w:pPr>
      <w:r>
        <w:rPr>
          <w:rFonts w:ascii="Times New Roman" w:hAnsi="Times New Roman"/>
          <w:spacing w:val="10"/>
          <w:sz w:val="24"/>
        </w:rPr>
        <w:t>（4）提高安全意识，制定各项环保安全制度。</w:t>
      </w:r>
    </w:p>
    <w:p>
      <w:pPr>
        <w:pStyle w:val="103"/>
        <w:numPr>
          <w:ilvl w:val="0"/>
          <w:numId w:val="0"/>
        </w:numPr>
        <w:rPr>
          <w:rFonts w:ascii="Times New Roman" w:hAnsi="Times New Roman"/>
          <w:b w:val="0"/>
          <w:bCs/>
          <w:kern w:val="28"/>
          <w:sz w:val="32"/>
          <w:szCs w:val="32"/>
        </w:rPr>
      </w:pPr>
      <w:bookmarkStart w:id="280" w:name="_Toc380772463"/>
      <w:bookmarkStart w:id="281" w:name="_Toc5179651"/>
      <w:bookmarkStart w:id="282" w:name="_Toc490333026"/>
      <w:bookmarkStart w:id="283" w:name="_Toc370397558"/>
      <w:bookmarkStart w:id="284" w:name="_Toc371189329"/>
      <w:bookmarkStart w:id="285" w:name="_Toc411330493"/>
      <w:bookmarkStart w:id="286" w:name="_Toc9873406"/>
      <w:r>
        <w:rPr>
          <w:rFonts w:ascii="Times New Roman" w:hAnsi="Times New Roman"/>
          <w:b w:val="0"/>
          <w:bCs/>
          <w:kern w:val="28"/>
          <w:sz w:val="32"/>
          <w:szCs w:val="32"/>
        </w:rPr>
        <w:t>6.7　应急预案</w:t>
      </w:r>
      <w:bookmarkEnd w:id="280"/>
      <w:bookmarkEnd w:id="281"/>
      <w:bookmarkEnd w:id="282"/>
      <w:bookmarkEnd w:id="283"/>
      <w:bookmarkEnd w:id="284"/>
      <w:bookmarkEnd w:id="285"/>
      <w:r>
        <w:rPr>
          <w:rFonts w:ascii="Times New Roman" w:hAnsi="Times New Roman"/>
          <w:b w:val="0"/>
          <w:bCs/>
          <w:kern w:val="28"/>
          <w:sz w:val="32"/>
          <w:szCs w:val="32"/>
        </w:rPr>
        <w:t>及应急措施</w:t>
      </w:r>
      <w:bookmarkEnd w:id="286"/>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项目一期工程已制定了《成都旺江农牧科技有限公司突发环境事件应急预案》，并于2018年12月27日在四川省邛崃市环境保护局备案，备案号：510183-2018-306-L。已完成应急预案内容如下：</w:t>
      </w:r>
    </w:p>
    <w:p>
      <w:pPr>
        <w:pStyle w:val="108"/>
      </w:pPr>
      <w:bookmarkStart w:id="287" w:name="_Toc9873407"/>
      <w:r>
        <w:t>6.7.1 应急组织体系及职责</w:t>
      </w:r>
      <w:bookmarkEnd w:id="287"/>
    </w:p>
    <w:p>
      <w:pPr>
        <w:autoSpaceDE w:val="0"/>
        <w:autoSpaceDN w:val="0"/>
        <w:adjustRightInd w:val="0"/>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1、应急领导小组</w:t>
      </w:r>
    </w:p>
    <w:p>
      <w:pPr>
        <w:pStyle w:val="51"/>
        <w:spacing w:after="0" w:line="360" w:lineRule="auto"/>
        <w:ind w:left="560" w:firstLine="0" w:firstLineChars="0"/>
        <w:rPr>
          <w:rFonts w:cs="Times New Roman"/>
          <w:b/>
          <w:sz w:val="24"/>
          <w:szCs w:val="24"/>
        </w:rPr>
      </w:pPr>
      <w:r>
        <w:rPr>
          <w:rFonts w:cs="Times New Roman"/>
          <w:b/>
          <w:sz w:val="24"/>
          <w:szCs w:val="24"/>
        </w:rPr>
        <w:t>（1）组织体系</w:t>
      </w:r>
    </w:p>
    <w:p>
      <w:pPr>
        <w:pStyle w:val="51"/>
        <w:spacing w:after="0" w:line="360" w:lineRule="auto"/>
        <w:ind w:left="0" w:leftChars="0" w:firstLine="480"/>
        <w:rPr>
          <w:rFonts w:cs="Times New Roman"/>
          <w:sz w:val="24"/>
          <w:szCs w:val="24"/>
        </w:rPr>
      </w:pPr>
      <w:r>
        <w:rPr>
          <w:rFonts w:cs="Times New Roman"/>
          <w:sz w:val="24"/>
          <w:szCs w:val="24"/>
        </w:rPr>
        <w:t>以指挥领导小组为基础，成立应急救援现场指挥部，主要包括综合协调组、疏散警戒组、抢险救援组、污染处理组、后勤保障组、医疗救护组、信息联络组、事故调查组八个行动小组。组织机构见图6.7-1。</w:t>
      </w:r>
    </w:p>
    <w:p>
      <w:pPr>
        <w:pStyle w:val="46"/>
        <w:ind w:firstLine="487"/>
        <w:rPr>
          <w:rFonts w:ascii="Times New Roman" w:hAnsi="Times New Roman" w:cs="Times New Roman"/>
          <w:b/>
          <w:bCs/>
          <w:sz w:val="24"/>
          <w:szCs w:val="24"/>
        </w:rPr>
      </w:pPr>
    </w:p>
    <w:p>
      <w:pPr>
        <w:pStyle w:val="46"/>
        <w:ind w:firstLine="487"/>
        <w:rPr>
          <w:rFonts w:ascii="Times New Roman" w:hAnsi="Times New Roman" w:cs="Times New Roman"/>
          <w:b/>
          <w:bCs/>
          <w:sz w:val="24"/>
          <w:szCs w:val="24"/>
        </w:rPr>
      </w:pPr>
    </w:p>
    <w:p>
      <w:pPr>
        <w:pStyle w:val="46"/>
        <w:ind w:firstLine="487"/>
        <w:rPr>
          <w:rFonts w:ascii="Times New Roman" w:hAnsi="Times New Roman" w:cs="Times New Roman"/>
          <w:b/>
          <w:bCs/>
          <w:sz w:val="24"/>
          <w:szCs w:val="24"/>
        </w:rPr>
      </w:pPr>
    </w:p>
    <w:p>
      <w:pPr>
        <w:pStyle w:val="46"/>
        <w:ind w:firstLine="487"/>
        <w:rPr>
          <w:rFonts w:ascii="Times New Roman" w:hAnsi="Times New Roman" w:cs="Times New Roman"/>
          <w:b/>
          <w:bCs/>
          <w:sz w:val="24"/>
          <w:szCs w:val="24"/>
        </w:rPr>
      </w:pPr>
    </w:p>
    <w:p>
      <w:pPr>
        <w:pStyle w:val="46"/>
        <w:ind w:firstLine="485"/>
        <w:rPr>
          <w:rFonts w:ascii="Times New Roman" w:hAnsi="Times New Roman" w:cs="Times New Roman"/>
          <w:b/>
          <w:bCs/>
          <w:sz w:val="24"/>
          <w:szCs w:val="24"/>
        </w:rPr>
      </w:pPr>
      <w:r>
        <w:rPr>
          <w:rFonts w:ascii="Times New Roman" w:hAnsi="Times New Roman" w:cs="Times New Roman"/>
          <w:sz w:val="24"/>
          <w:szCs w:val="24"/>
        </w:rPr>
        <w:pict>
          <v:shape id="_x0000_s1036" o:spid="_x0000_s1036" o:spt="75" type="#_x0000_t75" style="position:absolute;left:0pt;margin-left:91.9pt;margin-top:75.35pt;height:161.55pt;width:403.7pt;mso-position-horizontal-relative:page;mso-position-vertical-relative:page;z-index:-251648000;mso-width-relative:page;mso-height-relative:page;" filled="f" o:preferrelative="t" stroked="f" coordsize="21600,21600">
            <v:path/>
            <v:fill on="f" focussize="0,0"/>
            <v:stroke on="f" joinstyle="miter"/>
            <v:imagedata r:id="rId45" o:title=""/>
            <o:lock v:ext="edit" aspectratio="f"/>
          </v:shape>
        </w:pict>
      </w:r>
    </w:p>
    <w:p>
      <w:pPr>
        <w:pStyle w:val="46"/>
        <w:ind w:firstLine="487"/>
        <w:rPr>
          <w:rFonts w:ascii="Times New Roman" w:hAnsi="Times New Roman" w:cs="Times New Roman"/>
          <w:b/>
          <w:bCs/>
          <w:sz w:val="24"/>
          <w:szCs w:val="24"/>
        </w:rPr>
      </w:pPr>
    </w:p>
    <w:p>
      <w:pPr>
        <w:pStyle w:val="46"/>
        <w:ind w:firstLine="487"/>
        <w:rPr>
          <w:rFonts w:ascii="Times New Roman" w:hAnsi="Times New Roman" w:cs="Times New Roman"/>
          <w:b/>
          <w:bCs/>
          <w:sz w:val="24"/>
          <w:szCs w:val="24"/>
        </w:rPr>
      </w:pPr>
    </w:p>
    <w:p>
      <w:pPr>
        <w:pStyle w:val="46"/>
        <w:ind w:firstLine="487"/>
        <w:rPr>
          <w:rFonts w:ascii="Times New Roman" w:hAnsi="Times New Roman" w:cs="Times New Roman"/>
          <w:b/>
          <w:bCs/>
          <w:sz w:val="24"/>
          <w:szCs w:val="24"/>
        </w:rPr>
      </w:pPr>
    </w:p>
    <w:p>
      <w:pPr>
        <w:pStyle w:val="46"/>
        <w:ind w:firstLine="487"/>
        <w:rPr>
          <w:rFonts w:ascii="Times New Roman" w:hAnsi="Times New Roman" w:cs="Times New Roman"/>
          <w:b/>
          <w:bCs/>
          <w:sz w:val="24"/>
          <w:szCs w:val="24"/>
        </w:rPr>
      </w:pPr>
    </w:p>
    <w:p>
      <w:pPr>
        <w:pStyle w:val="46"/>
        <w:ind w:firstLine="424"/>
        <w:jc w:val="center"/>
        <w:rPr>
          <w:rFonts w:ascii="Times New Roman" w:hAnsi="Times New Roman" w:eastAsia="黑体" w:cs="Times New Roman"/>
          <w:bCs/>
          <w:sz w:val="21"/>
          <w:szCs w:val="21"/>
        </w:rPr>
      </w:pPr>
    </w:p>
    <w:p>
      <w:pPr>
        <w:pStyle w:val="46"/>
        <w:ind w:firstLine="424"/>
        <w:jc w:val="center"/>
        <w:rPr>
          <w:rFonts w:ascii="Times New Roman" w:hAnsi="Times New Roman" w:eastAsia="黑体" w:cs="Times New Roman"/>
          <w:bCs/>
          <w:sz w:val="21"/>
          <w:szCs w:val="21"/>
        </w:rPr>
      </w:pPr>
      <w:r>
        <w:rPr>
          <w:rFonts w:ascii="Times New Roman" w:hAnsi="Times New Roman" w:eastAsia="黑体" w:cs="Times New Roman"/>
          <w:bCs/>
          <w:sz w:val="21"/>
          <w:szCs w:val="21"/>
        </w:rPr>
        <w:t>图6.7-1  应急组织结构图</w:t>
      </w:r>
    </w:p>
    <w:p>
      <w:pPr>
        <w:pStyle w:val="51"/>
        <w:spacing w:after="0" w:line="360" w:lineRule="auto"/>
        <w:ind w:left="560" w:firstLine="0" w:firstLineChars="0"/>
        <w:rPr>
          <w:rFonts w:cs="Times New Roman"/>
          <w:b/>
          <w:sz w:val="24"/>
          <w:szCs w:val="24"/>
        </w:rPr>
      </w:pPr>
      <w:r>
        <w:rPr>
          <w:rFonts w:cs="Times New Roman"/>
          <w:b/>
          <w:sz w:val="24"/>
          <w:szCs w:val="24"/>
        </w:rPr>
        <w:t>（2）应急救援人员</w:t>
      </w:r>
    </w:p>
    <w:p>
      <w:pPr>
        <w:pStyle w:val="51"/>
        <w:spacing w:after="0" w:line="360" w:lineRule="auto"/>
        <w:ind w:left="0" w:leftChars="0" w:firstLine="480"/>
        <w:rPr>
          <w:rFonts w:cs="Times New Roman"/>
          <w:sz w:val="24"/>
          <w:szCs w:val="24"/>
        </w:rPr>
      </w:pPr>
      <w:bookmarkStart w:id="288" w:name="_Toc491094964"/>
      <w:bookmarkStart w:id="289" w:name="_Toc18957"/>
      <w:bookmarkStart w:id="290" w:name="_Toc491095112"/>
      <w:bookmarkStart w:id="291" w:name="_Toc491095425"/>
      <w:bookmarkStart w:id="292" w:name="_Toc28772"/>
      <w:bookmarkStart w:id="293" w:name="_Toc491095350"/>
      <w:bookmarkStart w:id="294" w:name="_Toc491095229"/>
      <w:r>
        <w:rPr>
          <w:rFonts w:cs="Times New Roman"/>
          <w:sz w:val="24"/>
          <w:szCs w:val="24"/>
        </w:rPr>
        <w:t>总指挥：江腾涛，13982173666；</w:t>
      </w:r>
    </w:p>
    <w:p>
      <w:pPr>
        <w:pStyle w:val="51"/>
        <w:spacing w:after="0" w:line="360" w:lineRule="auto"/>
        <w:ind w:left="0" w:leftChars="0" w:firstLine="480"/>
        <w:rPr>
          <w:rFonts w:cs="Times New Roman"/>
          <w:sz w:val="24"/>
          <w:szCs w:val="24"/>
        </w:rPr>
      </w:pPr>
      <w:r>
        <w:rPr>
          <w:rFonts w:cs="Times New Roman"/>
          <w:sz w:val="24"/>
          <w:szCs w:val="24"/>
        </w:rPr>
        <w:t xml:space="preserve">副总指挥：胡健，18982215586； </w:t>
      </w:r>
    </w:p>
    <w:p>
      <w:pPr>
        <w:pStyle w:val="51"/>
        <w:spacing w:after="0" w:line="360" w:lineRule="auto"/>
        <w:ind w:left="0" w:leftChars="0" w:firstLine="480"/>
        <w:rPr>
          <w:rFonts w:cs="Times New Roman"/>
          <w:sz w:val="24"/>
          <w:szCs w:val="24"/>
        </w:rPr>
      </w:pPr>
      <w:r>
        <w:rPr>
          <w:rFonts w:cs="Times New Roman"/>
          <w:sz w:val="24"/>
          <w:szCs w:val="24"/>
        </w:rPr>
        <w:t>综合协调组成员：王芸，13658043725；</w:t>
      </w:r>
    </w:p>
    <w:p>
      <w:pPr>
        <w:pStyle w:val="51"/>
        <w:spacing w:after="0" w:line="360" w:lineRule="auto"/>
        <w:ind w:left="0" w:leftChars="0" w:firstLine="480"/>
        <w:rPr>
          <w:rFonts w:cs="Times New Roman"/>
          <w:sz w:val="24"/>
          <w:szCs w:val="24"/>
        </w:rPr>
      </w:pPr>
      <w:r>
        <w:rPr>
          <w:rFonts w:cs="Times New Roman"/>
          <w:sz w:val="24"/>
          <w:szCs w:val="24"/>
        </w:rPr>
        <w:t>疏散警戒组成员：李东，13980987333；</w:t>
      </w:r>
    </w:p>
    <w:p>
      <w:pPr>
        <w:pStyle w:val="51"/>
        <w:spacing w:after="0" w:line="360" w:lineRule="auto"/>
        <w:ind w:left="0" w:leftChars="0" w:firstLine="480"/>
        <w:rPr>
          <w:rFonts w:cs="Times New Roman"/>
          <w:sz w:val="24"/>
          <w:szCs w:val="24"/>
        </w:rPr>
      </w:pPr>
      <w:r>
        <w:rPr>
          <w:rFonts w:cs="Times New Roman"/>
          <w:sz w:val="24"/>
          <w:szCs w:val="24"/>
        </w:rPr>
        <w:t xml:space="preserve">抢险救援组成员：李火林，13981792459； </w:t>
      </w:r>
    </w:p>
    <w:p>
      <w:pPr>
        <w:pStyle w:val="51"/>
        <w:spacing w:after="0" w:line="360" w:lineRule="auto"/>
        <w:ind w:left="0" w:leftChars="0" w:firstLine="480"/>
        <w:rPr>
          <w:rFonts w:cs="Times New Roman"/>
          <w:sz w:val="24"/>
          <w:szCs w:val="24"/>
        </w:rPr>
      </w:pPr>
      <w:r>
        <w:rPr>
          <w:rFonts w:cs="Times New Roman"/>
          <w:sz w:val="24"/>
          <w:szCs w:val="24"/>
        </w:rPr>
        <w:t xml:space="preserve">后勤保障组成员：杨志勇，13980502775； </w:t>
      </w:r>
    </w:p>
    <w:p>
      <w:pPr>
        <w:pStyle w:val="51"/>
        <w:spacing w:after="0" w:line="360" w:lineRule="auto"/>
        <w:ind w:left="0" w:leftChars="0" w:firstLine="480"/>
        <w:rPr>
          <w:rFonts w:cs="Times New Roman"/>
          <w:sz w:val="24"/>
          <w:szCs w:val="24"/>
        </w:rPr>
      </w:pPr>
      <w:r>
        <w:rPr>
          <w:rFonts w:cs="Times New Roman"/>
          <w:sz w:val="24"/>
          <w:szCs w:val="24"/>
        </w:rPr>
        <w:t xml:space="preserve">医疗救护组成员：杨杰，13980972357； </w:t>
      </w:r>
    </w:p>
    <w:p>
      <w:pPr>
        <w:pStyle w:val="51"/>
        <w:spacing w:after="0" w:line="360" w:lineRule="auto"/>
        <w:ind w:left="0" w:leftChars="0" w:firstLine="480"/>
        <w:rPr>
          <w:rFonts w:cs="Times New Roman"/>
          <w:sz w:val="24"/>
          <w:szCs w:val="24"/>
        </w:rPr>
      </w:pPr>
      <w:r>
        <w:rPr>
          <w:rFonts w:cs="Times New Roman"/>
          <w:sz w:val="24"/>
          <w:szCs w:val="24"/>
        </w:rPr>
        <w:t xml:space="preserve">信息联络组成员：李武，13808719495； </w:t>
      </w:r>
    </w:p>
    <w:p>
      <w:pPr>
        <w:pStyle w:val="51"/>
        <w:spacing w:after="0" w:line="360" w:lineRule="auto"/>
        <w:ind w:left="0" w:leftChars="0" w:firstLine="480"/>
        <w:rPr>
          <w:rFonts w:cs="Times New Roman"/>
          <w:sz w:val="24"/>
          <w:szCs w:val="24"/>
        </w:rPr>
      </w:pPr>
      <w:r>
        <w:rPr>
          <w:rFonts w:cs="Times New Roman"/>
          <w:sz w:val="24"/>
          <w:szCs w:val="24"/>
        </w:rPr>
        <w:t>事故调查组成员：吴用，13438856993；</w:t>
      </w:r>
    </w:p>
    <w:p>
      <w:pPr>
        <w:pStyle w:val="51"/>
        <w:spacing w:after="0" w:line="360" w:lineRule="auto"/>
        <w:ind w:left="0" w:leftChars="0" w:firstLine="480"/>
        <w:rPr>
          <w:rFonts w:cs="Times New Roman"/>
          <w:sz w:val="24"/>
          <w:szCs w:val="24"/>
        </w:rPr>
      </w:pPr>
      <w:r>
        <w:rPr>
          <w:rFonts w:cs="Times New Roman"/>
          <w:sz w:val="24"/>
          <w:szCs w:val="24"/>
        </w:rPr>
        <w:t>污染处理组成员：詹燕军，15202820606。</w:t>
      </w:r>
    </w:p>
    <w:bookmarkEnd w:id="288"/>
    <w:bookmarkEnd w:id="289"/>
    <w:bookmarkEnd w:id="290"/>
    <w:bookmarkEnd w:id="291"/>
    <w:bookmarkEnd w:id="292"/>
    <w:bookmarkEnd w:id="293"/>
    <w:bookmarkEnd w:id="294"/>
    <w:p>
      <w:pPr>
        <w:pStyle w:val="46"/>
        <w:ind w:firstLine="482" w:firstLineChars="200"/>
        <w:jc w:val="left"/>
        <w:rPr>
          <w:rFonts w:ascii="Times New Roman" w:hAnsi="Times New Roman" w:cs="Times New Roman"/>
          <w:b/>
          <w:sz w:val="24"/>
          <w:szCs w:val="24"/>
        </w:rPr>
      </w:pPr>
      <w:r>
        <w:rPr>
          <w:rFonts w:ascii="Times New Roman" w:hAnsi="Times New Roman" w:cs="Times New Roman"/>
          <w:b/>
          <w:sz w:val="24"/>
          <w:szCs w:val="24"/>
        </w:rPr>
        <w:t>2、现场指挥机构</w:t>
      </w:r>
    </w:p>
    <w:p>
      <w:pPr>
        <w:pStyle w:val="46"/>
        <w:ind w:firstLine="480" w:firstLineChars="200"/>
        <w:jc w:val="left"/>
        <w:rPr>
          <w:rFonts w:ascii="Times New Roman" w:hAnsi="Times New Roman" w:cs="Times New Roman"/>
          <w:sz w:val="24"/>
          <w:szCs w:val="24"/>
        </w:rPr>
      </w:pPr>
      <w:r>
        <w:rPr>
          <w:rFonts w:ascii="Times New Roman" w:hAnsi="Times New Roman" w:cs="Times New Roman"/>
          <w:sz w:val="24"/>
          <w:szCs w:val="24"/>
        </w:rPr>
        <w:t>当项目区域发生突发事故启动应急预案时，应以指挥领导小组为基础，立即成立应急救援现场指挥部，负责全公司应急救援工作的组织和指挥。指挥领导组组长任现场总指挥（以下简称总指挥）。当总指挥不在时，由在场的指挥领导组副组长任副总指挥，全权负责应急救援工作。其次依次由综合协调组、疏散警戒组、抢险救援组、污染处理组、后勤保障组、医疗救护组、信息联络组、事故调查组具体负责应急救援工作，直到上一级人员到达现场后，指挥权自动向上移交，以保证应急救援工作有秩序的顺利进行。</w:t>
      </w:r>
    </w:p>
    <w:p>
      <w:pPr>
        <w:pStyle w:val="108"/>
      </w:pPr>
      <w:bookmarkStart w:id="295" w:name="_Toc9873408"/>
      <w:r>
        <w:t>6.7.2 应急处置及救援</w:t>
      </w:r>
      <w:bookmarkEnd w:id="295"/>
    </w:p>
    <w:p>
      <w:pPr>
        <w:pStyle w:val="46"/>
        <w:ind w:firstLine="487"/>
        <w:rPr>
          <w:rFonts w:ascii="Times New Roman" w:hAnsi="Times New Roman" w:cs="Times New Roman"/>
          <w:b/>
          <w:sz w:val="24"/>
          <w:szCs w:val="24"/>
        </w:rPr>
      </w:pPr>
      <w:r>
        <w:rPr>
          <w:rFonts w:ascii="Times New Roman" w:hAnsi="Times New Roman" w:cs="Times New Roman"/>
          <w:b/>
          <w:sz w:val="24"/>
          <w:szCs w:val="24"/>
        </w:rPr>
        <w:t>1、污染事件现场应急救援措施</w:t>
      </w:r>
    </w:p>
    <w:p>
      <w:pPr>
        <w:pStyle w:val="46"/>
        <w:ind w:firstLine="487"/>
        <w:rPr>
          <w:rFonts w:ascii="Times New Roman" w:hAnsi="Times New Roman" w:cs="Times New Roman"/>
          <w:b/>
          <w:sz w:val="24"/>
          <w:szCs w:val="24"/>
        </w:rPr>
      </w:pPr>
      <w:r>
        <w:rPr>
          <w:rFonts w:ascii="Times New Roman" w:hAnsi="Times New Roman" w:cs="Times New Roman"/>
          <w:b/>
          <w:sz w:val="24"/>
          <w:szCs w:val="24"/>
        </w:rPr>
        <w:t>（1）发生恶臭污染事故应急措施</w:t>
      </w:r>
    </w:p>
    <w:p>
      <w:pPr>
        <w:pStyle w:val="46"/>
        <w:ind w:firstLine="485"/>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查找恶臭源；</w:t>
      </w:r>
    </w:p>
    <w:p>
      <w:pPr>
        <w:pStyle w:val="46"/>
        <w:ind w:firstLine="485"/>
        <w:jc w:val="left"/>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对车间进行彻底清扫；</w:t>
      </w:r>
    </w:p>
    <w:p>
      <w:pPr>
        <w:pStyle w:val="46"/>
        <w:ind w:firstLine="485"/>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喷洒除臭剂、消毒剂。</w:t>
      </w:r>
    </w:p>
    <w:p>
      <w:pPr>
        <w:pStyle w:val="46"/>
        <w:ind w:firstLine="487"/>
        <w:rPr>
          <w:rFonts w:ascii="Times New Roman" w:hAnsi="Times New Roman" w:cs="Times New Roman"/>
          <w:b/>
          <w:sz w:val="24"/>
          <w:szCs w:val="24"/>
        </w:rPr>
      </w:pPr>
      <w:r>
        <w:rPr>
          <w:rFonts w:ascii="Times New Roman" w:hAnsi="Times New Roman" w:cs="Times New Roman"/>
          <w:b/>
          <w:sz w:val="24"/>
          <w:szCs w:val="24"/>
        </w:rPr>
        <w:t>（2）废水</w:t>
      </w:r>
    </w:p>
    <w:p>
      <w:pPr>
        <w:ind w:firstLine="480"/>
        <w:jc w:val="left"/>
        <w:rPr>
          <w:rFonts w:ascii="Times New Roman" w:hAnsi="Times New Roman"/>
          <w:sz w:val="24"/>
        </w:rPr>
      </w:pPr>
      <w:r>
        <w:rPr>
          <w:rFonts w:ascii="Times New Roman" w:hAnsi="Times New Roman"/>
          <w:sz w:val="24"/>
        </w:rPr>
        <w:t>项目由专人对污粪发酵深坑、化粪池进行日常监管，一旦发现污粪发酵深坑、化粪池泄露，立即闸断污水源，防止污水再进入污粪发酵深坑或化粪池，联系运粪队及时将污粪发酵深坑、化粪池内的污水运走，然后查找泄露源，对污粪发酵深坑、化粪池进行维修防渗处理，避免废水进入外部水环境。</w:t>
      </w:r>
    </w:p>
    <w:p>
      <w:pPr>
        <w:ind w:firstLine="480"/>
        <w:jc w:val="left"/>
        <w:rPr>
          <w:rFonts w:ascii="Times New Roman" w:hAnsi="Times New Roman"/>
          <w:b/>
          <w:sz w:val="24"/>
        </w:rPr>
      </w:pPr>
      <w:r>
        <w:rPr>
          <w:rFonts w:ascii="Times New Roman" w:hAnsi="Times New Roman"/>
          <w:b/>
          <w:sz w:val="24"/>
        </w:rPr>
        <w:t>2、现场人员应急救援</w:t>
      </w:r>
    </w:p>
    <w:p>
      <w:pPr>
        <w:ind w:firstLine="480"/>
        <w:jc w:val="left"/>
        <w:rPr>
          <w:rFonts w:ascii="Times New Roman" w:hAnsi="Times New Roman"/>
          <w:b/>
          <w:sz w:val="24"/>
          <w:szCs w:val="24"/>
        </w:rPr>
      </w:pPr>
      <w:r>
        <w:rPr>
          <w:rFonts w:ascii="Times New Roman" w:hAnsi="Times New Roman"/>
          <w:b/>
          <w:sz w:val="24"/>
        </w:rPr>
        <w:t>（1）人员撤离</w:t>
      </w:r>
    </w:p>
    <w:p>
      <w:pPr>
        <w:pStyle w:val="46"/>
        <w:ind w:firstLine="480" w:firstLineChars="200"/>
        <w:rPr>
          <w:rFonts w:ascii="Times New Roman" w:hAnsi="Times New Roman" w:cs="Times New Roman"/>
          <w:sz w:val="24"/>
          <w:szCs w:val="24"/>
        </w:rPr>
      </w:pPr>
      <w:r>
        <w:rPr>
          <w:rFonts w:ascii="Times New Roman" w:hAnsi="Times New Roman" w:cs="Times New Roman"/>
          <w:sz w:val="24"/>
          <w:szCs w:val="24"/>
        </w:rPr>
        <w:t>在项目区内重点区域张贴位置图，标识本地点在紧急状态下可选择的撤离路线以及最近应急装备的位置。对前来联系工作以及参观等的非本单位人员，安排专人在进入本单位危险区域前告知注意事项以及紧急状态下的撤离路线。</w:t>
      </w:r>
    </w:p>
    <w:p>
      <w:pPr>
        <w:pStyle w:val="46"/>
        <w:ind w:firstLine="482" w:firstLineChars="200"/>
        <w:rPr>
          <w:rFonts w:ascii="Times New Roman" w:hAnsi="Times New Roman" w:cs="Times New Roman"/>
          <w:b/>
          <w:sz w:val="24"/>
          <w:szCs w:val="24"/>
        </w:rPr>
      </w:pPr>
      <w:r>
        <w:rPr>
          <w:rFonts w:ascii="Times New Roman" w:hAnsi="Times New Roman" w:cs="Times New Roman"/>
          <w:b/>
          <w:sz w:val="24"/>
          <w:szCs w:val="24"/>
        </w:rPr>
        <w:t>（2）撤离路线</w:t>
      </w:r>
    </w:p>
    <w:p>
      <w:pPr>
        <w:pStyle w:val="46"/>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事故现场人员清点、撤离方式、方法</w:t>
      </w:r>
    </w:p>
    <w:p>
      <w:pPr>
        <w:pStyle w:val="46"/>
        <w:ind w:firstLine="480" w:firstLineChars="200"/>
        <w:rPr>
          <w:rFonts w:ascii="Times New Roman" w:hAnsi="Times New Roman" w:cs="Times New Roman"/>
          <w:sz w:val="24"/>
          <w:szCs w:val="24"/>
        </w:rPr>
      </w:pPr>
      <w:r>
        <w:rPr>
          <w:rFonts w:ascii="Times New Roman" w:hAnsi="Times New Roman" w:cs="Times New Roman"/>
          <w:sz w:val="24"/>
          <w:szCs w:val="24"/>
        </w:rPr>
        <w:t>当发生重大事故时，由应急指挥组实施紧急疏散、撤离计划。事故区域所有员工必须执行紧急疏散、撤离命令。应急指挥组应立即到达事故现场，设立警戒区域，指导警戒区域内的员工有序的离开。警戒区域内的各班班长应清点撤离人员，检查确认区域内确无任何人员滞留后，向指挥组汇报撤离人数，进行最后撤离。当员工接到紧急撤离命令后，应当关闭设备，无危险后，方可撤离岗位到指定地点进行集合。员工在撤离过程中，不能剧烈跑动和碰撞容易产生火花的铁器或石块，应屏住呼吸，用湿毛巾捂住口、鼻部位，缓缓地逆风方位或指定的集中地点走去。</w:t>
      </w:r>
    </w:p>
    <w:p>
      <w:pPr>
        <w:pStyle w:val="46"/>
        <w:ind w:firstLine="480" w:firstLineChars="200"/>
        <w:rPr>
          <w:rFonts w:ascii="Times New Roman" w:hAnsi="Times New Roman" w:cs="Times New Roman"/>
          <w:sz w:val="24"/>
          <w:szCs w:val="24"/>
        </w:rPr>
      </w:pPr>
      <w:r>
        <w:rPr>
          <w:rFonts w:ascii="Times New Roman" w:hAnsi="Times New Roman" w:cs="Times New Roman"/>
          <w:sz w:val="24"/>
          <w:szCs w:val="24"/>
        </w:rPr>
        <w:t>疏散集中点由应急指挥组根据当时气象条件确定，总的原则是撤离安全点处于当时的上风向。</w:t>
      </w:r>
    </w:p>
    <w:p>
      <w:pPr>
        <w:pStyle w:val="46"/>
        <w:ind w:firstLine="485"/>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非事故现场人员紧急疏散的方式、方法</w:t>
      </w:r>
    </w:p>
    <w:p>
      <w:pPr>
        <w:pStyle w:val="46"/>
        <w:ind w:firstLine="485"/>
        <w:rPr>
          <w:rFonts w:ascii="Times New Roman" w:hAnsi="Times New Roman" w:cs="Times New Roman"/>
          <w:sz w:val="24"/>
          <w:szCs w:val="24"/>
        </w:rPr>
      </w:pPr>
      <w:r>
        <w:rPr>
          <w:rFonts w:ascii="Times New Roman" w:hAnsi="Times New Roman" w:cs="Times New Roman"/>
          <w:sz w:val="24"/>
          <w:szCs w:val="24"/>
        </w:rPr>
        <w:t>事故警戒区域外为非事故现场。当发生重大事故时应急指挥组应根据当时气象条件，以烟雾扩散后可能污染的区域、场所内的人员，实施有序疏散。疏散人员应到指定的地点集中，疏散之前做好各生产装置的停止工作。</w:t>
      </w:r>
    </w:p>
    <w:p>
      <w:pPr>
        <w:pStyle w:val="46"/>
        <w:ind w:firstLine="485"/>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周边区域的单位、社区人员紧急疏散的方式、方法</w:t>
      </w:r>
    </w:p>
    <w:p>
      <w:pPr>
        <w:pStyle w:val="46"/>
        <w:ind w:firstLine="485"/>
        <w:rPr>
          <w:rFonts w:ascii="Times New Roman" w:hAnsi="Times New Roman" w:cs="Times New Roman"/>
          <w:sz w:val="24"/>
          <w:szCs w:val="24"/>
        </w:rPr>
      </w:pPr>
      <w:r>
        <w:rPr>
          <w:rFonts w:ascii="Times New Roman" w:hAnsi="Times New Roman" w:cs="Times New Roman"/>
          <w:sz w:val="24"/>
          <w:szCs w:val="24"/>
        </w:rPr>
        <w:t>发生重大事故时，可能危及周边区域的居民安全时，指挥组应与政府有关部门联系，配合政府工作人员引导相关人员迅速疏散至安全地方。</w:t>
      </w:r>
    </w:p>
    <w:p>
      <w:pPr>
        <w:pStyle w:val="46"/>
        <w:ind w:firstLine="487"/>
        <w:rPr>
          <w:rFonts w:ascii="Times New Roman" w:hAnsi="Times New Roman" w:cs="Times New Roman"/>
          <w:b/>
          <w:sz w:val="24"/>
          <w:szCs w:val="24"/>
        </w:rPr>
      </w:pPr>
      <w:r>
        <w:rPr>
          <w:rFonts w:ascii="Times New Roman" w:hAnsi="Times New Roman" w:cs="Times New Roman"/>
          <w:b/>
          <w:sz w:val="24"/>
          <w:szCs w:val="24"/>
        </w:rPr>
        <w:t>（3）现场急救</w:t>
      </w:r>
    </w:p>
    <w:p>
      <w:pPr>
        <w:pStyle w:val="46"/>
        <w:ind w:firstLine="480" w:firstLineChars="200"/>
        <w:rPr>
          <w:rFonts w:ascii="Times New Roman" w:hAnsi="Times New Roman" w:cs="Times New Roman"/>
          <w:sz w:val="24"/>
          <w:szCs w:val="24"/>
        </w:rPr>
      </w:pPr>
      <w:r>
        <w:rPr>
          <w:rFonts w:ascii="Times New Roman" w:hAnsi="Times New Roman" w:cs="Times New Roman"/>
          <w:sz w:val="24"/>
          <w:szCs w:val="24"/>
        </w:rPr>
        <w:t>发生触电和其它意外伤害。当现场有人受到伤害时，当班义务急救队员应按正确的现场急救方法进行抢救。</w:t>
      </w:r>
    </w:p>
    <w:p>
      <w:pPr>
        <w:pStyle w:val="46"/>
        <w:ind w:firstLine="480" w:firstLineChars="200"/>
        <w:rPr>
          <w:rFonts w:ascii="Times New Roman" w:hAnsi="Times New Roman" w:cs="Times New Roman"/>
          <w:sz w:val="24"/>
          <w:szCs w:val="24"/>
        </w:rPr>
      </w:pPr>
      <w:r>
        <w:rPr>
          <w:rFonts w:ascii="Times New Roman" w:hAnsi="Times New Roman" w:cs="Times New Roman"/>
          <w:sz w:val="24"/>
          <w:szCs w:val="24"/>
        </w:rPr>
        <w:t>进行现场急救的人员应遵守下列规定：</w:t>
      </w:r>
    </w:p>
    <w:p>
      <w:pPr>
        <w:pStyle w:val="46"/>
        <w:ind w:firstLine="360" w:firstLineChars="15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参加抢救人员必须听从指挥，抢救时必须分组有序进行，不能慌乱。</w:t>
      </w:r>
    </w:p>
    <w:p>
      <w:pPr>
        <w:pStyle w:val="46"/>
        <w:ind w:firstLine="360" w:firstLineChars="15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救护者应简单了解事故情况及引起伤害的物料，清点现场人数，严防遗漏。</w:t>
      </w:r>
    </w:p>
    <w:p>
      <w:pPr>
        <w:pStyle w:val="46"/>
        <w:ind w:firstLine="360" w:firstLineChars="150"/>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迅速将患者从上风向转移到空气新鲜的安全的地方。转移过程应注意：</w:t>
      </w:r>
    </w:p>
    <w:p>
      <w:pPr>
        <w:pStyle w:val="46"/>
        <w:ind w:firstLine="360" w:firstLineChars="150"/>
        <w:rPr>
          <w:rFonts w:ascii="Times New Roman" w:hAnsi="Times New Roman" w:cs="Times New Roman"/>
          <w:sz w:val="24"/>
          <w:szCs w:val="24"/>
        </w:rPr>
      </w:pPr>
      <w:r>
        <w:rPr>
          <w:rFonts w:ascii="Times New Roman" w:hAnsi="Times New Roman" w:cs="Times New Roman"/>
          <w:sz w:val="24"/>
          <w:szCs w:val="24"/>
        </w:rPr>
        <w:t>1）移动病人时应用双手托移，动作要轻，不可强拖硬拉。</w:t>
      </w:r>
    </w:p>
    <w:p>
      <w:pPr>
        <w:pStyle w:val="46"/>
        <w:ind w:firstLine="360" w:firstLineChars="150"/>
        <w:rPr>
          <w:rFonts w:ascii="Times New Roman" w:hAnsi="Times New Roman" w:cs="Times New Roman"/>
          <w:sz w:val="24"/>
          <w:szCs w:val="24"/>
        </w:rPr>
      </w:pPr>
      <w:r>
        <w:rPr>
          <w:rFonts w:ascii="Times New Roman" w:hAnsi="Times New Roman" w:cs="Times New Roman"/>
          <w:sz w:val="24"/>
          <w:szCs w:val="24"/>
        </w:rPr>
        <w:t>2）应用担架、木板、竹板抬送伤员。</w:t>
      </w:r>
    </w:p>
    <w:p>
      <w:pPr>
        <w:pStyle w:val="46"/>
        <w:ind w:firstLine="360" w:firstLineChars="150"/>
        <w:rPr>
          <w:rFonts w:ascii="Times New Roman" w:hAnsi="Times New Roman" w:cs="Times New Roman"/>
          <w:sz w:val="24"/>
          <w:szCs w:val="24"/>
        </w:rPr>
      </w:pPr>
      <w:r>
        <w:rPr>
          <w:rFonts w:ascii="Times New Roman" w:hAnsi="Times New Roman" w:cs="Times New Roman"/>
          <w:sz w:val="24"/>
          <w:szCs w:val="24"/>
        </w:rPr>
        <w:t>3）转移过程中应保持呼吸道通畅，去除领带、解开领扣和裤带、下颌抬高、头偏向一侧、清除口腔内的污物。</w:t>
      </w:r>
    </w:p>
    <w:p>
      <w:pPr>
        <w:pStyle w:val="46"/>
        <w:ind w:firstLine="360" w:firstLineChars="150"/>
        <w:rPr>
          <w:rFonts w:ascii="Times New Roman" w:hAnsi="Times New Roman" w:cs="Times New Roman"/>
          <w:sz w:val="24"/>
          <w:szCs w:val="24"/>
        </w:rPr>
      </w:pPr>
      <w:r>
        <w:rPr>
          <w:rFonts w:hint="eastAsia" w:ascii="宋体" w:hAnsi="宋体" w:eastAsia="宋体" w:cs="宋体"/>
          <w:sz w:val="24"/>
          <w:szCs w:val="24"/>
        </w:rPr>
        <w:t>④</w:t>
      </w:r>
      <w:r>
        <w:rPr>
          <w:rFonts w:ascii="Times New Roman" w:hAnsi="Times New Roman" w:cs="Times New Roman"/>
          <w:sz w:val="24"/>
          <w:szCs w:val="24"/>
        </w:rPr>
        <w:t>救护人员在工作时，应注意检查个人防护器材的使用情况，如发现异常或感到身体不适时要迅速离开危险区。</w:t>
      </w:r>
    </w:p>
    <w:p>
      <w:pPr>
        <w:pStyle w:val="46"/>
        <w:ind w:firstLine="360" w:firstLineChars="150"/>
        <w:rPr>
          <w:rFonts w:ascii="Times New Roman" w:hAnsi="Times New Roman" w:cs="Times New Roman"/>
          <w:sz w:val="24"/>
          <w:szCs w:val="24"/>
        </w:rPr>
      </w:pPr>
      <w:r>
        <w:rPr>
          <w:rFonts w:hint="eastAsia" w:ascii="宋体" w:hAnsi="宋体" w:eastAsia="宋体" w:cs="宋体"/>
          <w:sz w:val="24"/>
          <w:szCs w:val="24"/>
        </w:rPr>
        <w:t>⑤</w:t>
      </w:r>
      <w:r>
        <w:rPr>
          <w:rFonts w:ascii="Times New Roman" w:hAnsi="Times New Roman" w:cs="Times New Roman"/>
          <w:sz w:val="24"/>
          <w:szCs w:val="24"/>
        </w:rPr>
        <w:t>救护人员在医生到场后，应将患者病情、急救情况向医生交接清楚，经领导同意后方可离开现场。</w:t>
      </w:r>
    </w:p>
    <w:p>
      <w:pPr>
        <w:pStyle w:val="108"/>
      </w:pPr>
      <w:bookmarkStart w:id="296" w:name="_Toc9873409"/>
      <w:r>
        <w:t>6.7.3 应急监测</w:t>
      </w:r>
      <w:bookmarkEnd w:id="296"/>
    </w:p>
    <w:p>
      <w:pPr>
        <w:pStyle w:val="46"/>
        <w:ind w:firstLine="360" w:firstLineChars="150"/>
        <w:rPr>
          <w:rFonts w:ascii="Times New Roman" w:hAnsi="Times New Roman" w:cs="Times New Roman"/>
          <w:sz w:val="24"/>
          <w:szCs w:val="24"/>
        </w:rPr>
      </w:pPr>
      <w:r>
        <w:rPr>
          <w:rFonts w:ascii="Times New Roman" w:hAnsi="Times New Roman" w:cs="Times New Roman"/>
          <w:sz w:val="24"/>
          <w:szCs w:val="24"/>
        </w:rPr>
        <w:t>委托专门监测机构负责对事故现场进行监测，对事故性质、参数与后果进行评估，为指挥部门提供决策依据。应急监测人员进入事故现场警戒区域时，必须根据现场情况和环境污染事件应急救援指挥部的要求进行自身防护，佩带防护用具。</w:t>
      </w:r>
    </w:p>
    <w:p>
      <w:pPr>
        <w:pStyle w:val="108"/>
      </w:pPr>
      <w:bookmarkStart w:id="297" w:name="_Toc9873410"/>
      <w:r>
        <w:t>6.7.4 应急保障</w:t>
      </w:r>
      <w:bookmarkEnd w:id="297"/>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1、应急队伍保障</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公司已建立突发性环境污染事件应急救援队伍，培训一支常备不懈，熟悉环境应急知识，充分掌握各类突发性环境污染事件处置措施的预备应急力量；保证在突发事故发生后，能迅速参与并完成抢救、排险、消毒、监测等现场处置工作。</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2、经费保障</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突发环境污染事件所需的资金有公司统一划拨，根据应急指挥部的指令及时支出响应款项，保证环境应急事件的应急需要。</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3、应急物资装备保障</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各职能部门和生产车间应根据应急预案，配置并完备应急抢险所需的通信工具、设施器材、物料、急救设备等应急资源，并定期检查维护，确保应急行动需要。</w:t>
      </w:r>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为针对突发环境事件，企业已配备的应急物资见表6.7-1。</w:t>
      </w:r>
    </w:p>
    <w:p>
      <w:pPr>
        <w:jc w:val="center"/>
        <w:rPr>
          <w:rFonts w:ascii="Times New Roman" w:hAnsi="Times New Roman" w:eastAsia="黑体"/>
          <w:sz w:val="21"/>
          <w:szCs w:val="21"/>
        </w:rPr>
      </w:pPr>
      <w:r>
        <w:rPr>
          <w:rFonts w:ascii="Times New Roman" w:hAnsi="Times New Roman" w:eastAsia="黑体"/>
          <w:sz w:val="21"/>
          <w:szCs w:val="21"/>
        </w:rPr>
        <w:t>表6.7-1 企业现有应急装备表</w:t>
      </w:r>
    </w:p>
    <w:tbl>
      <w:tblPr>
        <w:tblStyle w:val="90"/>
        <w:tblW w:w="852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679"/>
        <w:gridCol w:w="707"/>
        <w:gridCol w:w="1984"/>
        <w:gridCol w:w="707"/>
        <w:gridCol w:w="709"/>
        <w:gridCol w:w="373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7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序号</w:t>
            </w:r>
          </w:p>
        </w:tc>
        <w:tc>
          <w:tcPr>
            <w:tcW w:w="707"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分类</w:t>
            </w:r>
          </w:p>
        </w:tc>
        <w:tc>
          <w:tcPr>
            <w:tcW w:w="1984"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名称</w:t>
            </w:r>
          </w:p>
        </w:tc>
        <w:tc>
          <w:tcPr>
            <w:tcW w:w="707"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规格</w:t>
            </w:r>
          </w:p>
        </w:tc>
        <w:tc>
          <w:tcPr>
            <w:tcW w:w="70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数量</w:t>
            </w:r>
          </w:p>
        </w:tc>
        <w:tc>
          <w:tcPr>
            <w:tcW w:w="3736"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位置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7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1</w:t>
            </w:r>
          </w:p>
        </w:tc>
        <w:tc>
          <w:tcPr>
            <w:tcW w:w="707"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应急物资</w:t>
            </w:r>
          </w:p>
        </w:tc>
        <w:tc>
          <w:tcPr>
            <w:tcW w:w="1984"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干粉灭火器</w:t>
            </w:r>
          </w:p>
        </w:tc>
        <w:tc>
          <w:tcPr>
            <w:tcW w:w="707"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个</w:t>
            </w:r>
          </w:p>
        </w:tc>
        <w:tc>
          <w:tcPr>
            <w:tcW w:w="70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15</w:t>
            </w:r>
          </w:p>
        </w:tc>
        <w:tc>
          <w:tcPr>
            <w:tcW w:w="3736" w:type="dxa"/>
            <w:vAlign w:val="center"/>
          </w:tcPr>
          <w:p>
            <w:pPr>
              <w:spacing w:line="240" w:lineRule="auto"/>
              <w:jc w:val="left"/>
              <w:rPr>
                <w:rFonts w:ascii="Times New Roman" w:hAnsi="Times New Roman" w:eastAsiaTheme="minorEastAsia"/>
                <w:bCs/>
                <w:sz w:val="21"/>
                <w:szCs w:val="21"/>
              </w:rPr>
            </w:pPr>
            <w:r>
              <w:rPr>
                <w:rFonts w:ascii="Times New Roman" w:hAnsi="Times New Roman" w:eastAsiaTheme="minorEastAsia"/>
                <w:bCs/>
                <w:sz w:val="21"/>
                <w:szCs w:val="21"/>
              </w:rPr>
              <w:t>高压开关室、库房、保育室、门卫、通道、会议室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7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2</w:t>
            </w:r>
          </w:p>
        </w:tc>
        <w:tc>
          <w:tcPr>
            <w:tcW w:w="707" w:type="dxa"/>
            <w:vMerge w:val="restart"/>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应急装备</w:t>
            </w:r>
          </w:p>
        </w:tc>
        <w:tc>
          <w:tcPr>
            <w:tcW w:w="1984"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手电筒</w:t>
            </w:r>
          </w:p>
        </w:tc>
        <w:tc>
          <w:tcPr>
            <w:tcW w:w="707"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个</w:t>
            </w:r>
          </w:p>
        </w:tc>
        <w:tc>
          <w:tcPr>
            <w:tcW w:w="70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1</w:t>
            </w:r>
          </w:p>
        </w:tc>
        <w:tc>
          <w:tcPr>
            <w:tcW w:w="3736"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办公室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7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3</w:t>
            </w:r>
          </w:p>
        </w:tc>
        <w:tc>
          <w:tcPr>
            <w:tcW w:w="707" w:type="dxa"/>
            <w:vMerge w:val="continue"/>
            <w:vAlign w:val="center"/>
          </w:tcPr>
          <w:p>
            <w:pPr>
              <w:spacing w:line="240" w:lineRule="auto"/>
              <w:jc w:val="center"/>
              <w:rPr>
                <w:rFonts w:ascii="Times New Roman" w:hAnsi="Times New Roman" w:eastAsiaTheme="minorEastAsia"/>
                <w:bCs/>
                <w:sz w:val="21"/>
                <w:szCs w:val="21"/>
              </w:rPr>
            </w:pPr>
          </w:p>
        </w:tc>
        <w:tc>
          <w:tcPr>
            <w:tcW w:w="1984"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事故应急车辆</w:t>
            </w:r>
          </w:p>
        </w:tc>
        <w:tc>
          <w:tcPr>
            <w:tcW w:w="70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辆</w:t>
            </w:r>
          </w:p>
        </w:tc>
        <w:tc>
          <w:tcPr>
            <w:tcW w:w="70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2</w:t>
            </w:r>
          </w:p>
        </w:tc>
        <w:tc>
          <w:tcPr>
            <w:tcW w:w="3736"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厂区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7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4</w:t>
            </w:r>
          </w:p>
        </w:tc>
        <w:tc>
          <w:tcPr>
            <w:tcW w:w="707" w:type="dxa"/>
            <w:vMerge w:val="continue"/>
            <w:vAlign w:val="center"/>
          </w:tcPr>
          <w:p>
            <w:pPr>
              <w:spacing w:line="240" w:lineRule="auto"/>
              <w:jc w:val="center"/>
              <w:rPr>
                <w:rFonts w:ascii="Times New Roman" w:hAnsi="Times New Roman" w:eastAsiaTheme="minorEastAsia"/>
                <w:bCs/>
                <w:sz w:val="21"/>
                <w:szCs w:val="21"/>
              </w:rPr>
            </w:pPr>
          </w:p>
        </w:tc>
        <w:tc>
          <w:tcPr>
            <w:tcW w:w="1984"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sz w:val="21"/>
                <w:szCs w:val="21"/>
              </w:rPr>
              <w:t>雨鞋</w:t>
            </w:r>
          </w:p>
        </w:tc>
        <w:tc>
          <w:tcPr>
            <w:tcW w:w="707" w:type="dxa"/>
            <w:vAlign w:val="center"/>
          </w:tcPr>
          <w:p>
            <w:pPr>
              <w:spacing w:line="240" w:lineRule="auto"/>
              <w:jc w:val="center"/>
              <w:rPr>
                <w:rFonts w:ascii="Times New Roman" w:hAnsi="Times New Roman" w:eastAsiaTheme="minorEastAsia"/>
                <w:sz w:val="21"/>
                <w:szCs w:val="21"/>
              </w:rPr>
            </w:pPr>
            <w:r>
              <w:rPr>
                <w:rFonts w:ascii="Times New Roman" w:hAnsi="Times New Roman" w:eastAsiaTheme="minorEastAsia"/>
                <w:sz w:val="21"/>
                <w:szCs w:val="21"/>
              </w:rPr>
              <w:t>双</w:t>
            </w:r>
          </w:p>
        </w:tc>
        <w:tc>
          <w:tcPr>
            <w:tcW w:w="709"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12</w:t>
            </w:r>
          </w:p>
        </w:tc>
        <w:tc>
          <w:tcPr>
            <w:tcW w:w="3736" w:type="dxa"/>
            <w:vAlign w:val="center"/>
          </w:tcPr>
          <w:p>
            <w:pPr>
              <w:spacing w:line="240" w:lineRule="auto"/>
              <w:jc w:val="center"/>
              <w:rPr>
                <w:rFonts w:ascii="Times New Roman" w:hAnsi="Times New Roman" w:eastAsiaTheme="minorEastAsia"/>
                <w:bCs/>
                <w:sz w:val="21"/>
                <w:szCs w:val="21"/>
              </w:rPr>
            </w:pPr>
            <w:r>
              <w:rPr>
                <w:rFonts w:ascii="Times New Roman" w:hAnsi="Times New Roman" w:eastAsiaTheme="minorEastAsia"/>
                <w:bCs/>
                <w:sz w:val="21"/>
                <w:szCs w:val="21"/>
              </w:rPr>
              <w:t>库房</w:t>
            </w:r>
          </w:p>
        </w:tc>
      </w:tr>
    </w:tbl>
    <w:p>
      <w:pPr>
        <w:pStyle w:val="103"/>
        <w:numPr>
          <w:ilvl w:val="0"/>
          <w:numId w:val="0"/>
        </w:numPr>
        <w:rPr>
          <w:rFonts w:ascii="Times New Roman" w:hAnsi="Times New Roman"/>
          <w:b w:val="0"/>
          <w:bCs/>
          <w:kern w:val="28"/>
          <w:sz w:val="32"/>
          <w:szCs w:val="32"/>
        </w:rPr>
      </w:pPr>
      <w:bookmarkStart w:id="298" w:name="_Toc380772468"/>
      <w:bookmarkStart w:id="299" w:name="_Toc9873411"/>
      <w:bookmarkStart w:id="300" w:name="_Toc371189330"/>
      <w:bookmarkStart w:id="301" w:name="_Toc490333027"/>
      <w:bookmarkStart w:id="302" w:name="_Toc370397559"/>
      <w:bookmarkStart w:id="303" w:name="_Toc411330497"/>
      <w:bookmarkStart w:id="304" w:name="_Toc5179652"/>
      <w:r>
        <w:rPr>
          <w:rFonts w:ascii="Times New Roman" w:hAnsi="Times New Roman"/>
          <w:b w:val="0"/>
          <w:bCs/>
          <w:kern w:val="28"/>
          <w:sz w:val="32"/>
          <w:szCs w:val="32"/>
        </w:rPr>
        <w:t>6.8　环境风险评价结论</w:t>
      </w:r>
      <w:bookmarkEnd w:id="298"/>
      <w:bookmarkEnd w:id="299"/>
      <w:bookmarkEnd w:id="300"/>
      <w:bookmarkEnd w:id="301"/>
      <w:bookmarkEnd w:id="302"/>
      <w:bookmarkEnd w:id="303"/>
      <w:bookmarkEnd w:id="304"/>
    </w:p>
    <w:p>
      <w:pPr>
        <w:autoSpaceDE w:val="0"/>
        <w:autoSpaceDN w:val="0"/>
        <w:adjustRightInd w:val="0"/>
        <w:ind w:firstLine="480" w:firstLineChars="200"/>
        <w:jc w:val="left"/>
        <w:rPr>
          <w:rFonts w:ascii="Times New Roman" w:hAnsi="Times New Roman" w:eastAsia="新宋体"/>
          <w:kern w:val="0"/>
          <w:sz w:val="24"/>
          <w:szCs w:val="24"/>
        </w:rPr>
      </w:pPr>
      <w:r>
        <w:rPr>
          <w:rFonts w:ascii="Times New Roman" w:hAnsi="Times New Roman" w:eastAsia="新宋体"/>
          <w:kern w:val="0"/>
          <w:sz w:val="24"/>
          <w:szCs w:val="24"/>
        </w:rPr>
        <w:t>本项目不构成重大危险源，项目营运过程中严格执行“三同时”制度，落实本报告提出的风险事故防范、疫病防范措施，建立和落实各项风险预警、环境风险削减措施和事故应急计划，杜绝重大安全事故和重大环境污染事故的发生，可使项目建成后风险水平处于可接受程度，因此从风险角度而言，本项目建设是可行的。</w:t>
      </w:r>
    </w:p>
    <w:p>
      <w:pPr>
        <w:tabs>
          <w:tab w:val="left" w:pos="284"/>
        </w:tabs>
        <w:spacing w:line="240" w:lineRule="auto"/>
        <w:jc w:val="center"/>
        <w:rPr>
          <w:rFonts w:ascii="Times New Roman" w:hAnsi="Times New Roman" w:eastAsia="黑体"/>
          <w:sz w:val="21"/>
          <w:szCs w:val="24"/>
        </w:rPr>
      </w:pPr>
      <w:r>
        <w:rPr>
          <w:rFonts w:ascii="Times New Roman" w:hAnsi="Times New Roman" w:eastAsia="黑体"/>
          <w:sz w:val="21"/>
          <w:szCs w:val="24"/>
        </w:rPr>
        <w:t>表6.8-1　本项目环境风险简单分析内容表</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211"/>
        <w:gridCol w:w="1263"/>
        <w:gridCol w:w="1342"/>
        <w:gridCol w:w="1264"/>
        <w:gridCol w:w="1267"/>
        <w:gridCol w:w="1175"/>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211"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建设项目名称</w:t>
            </w:r>
          </w:p>
        </w:tc>
        <w:tc>
          <w:tcPr>
            <w:tcW w:w="6311" w:type="dxa"/>
            <w:gridSpan w:val="5"/>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旺江农牧冉义现代化生猪养殖基地二期建设项目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06" w:hRule="atLeast"/>
        </w:trPr>
        <w:tc>
          <w:tcPr>
            <w:tcW w:w="2211"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建设地点</w:t>
            </w:r>
          </w:p>
        </w:tc>
        <w:tc>
          <w:tcPr>
            <w:tcW w:w="126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四川省</w:t>
            </w:r>
          </w:p>
        </w:tc>
        <w:tc>
          <w:tcPr>
            <w:tcW w:w="134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成都市</w:t>
            </w:r>
          </w:p>
        </w:tc>
        <w:tc>
          <w:tcPr>
            <w:tcW w:w="1264"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邛崃市</w:t>
            </w:r>
          </w:p>
        </w:tc>
        <w:tc>
          <w:tcPr>
            <w:tcW w:w="1267"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冉义镇</w:t>
            </w:r>
          </w:p>
        </w:tc>
        <w:tc>
          <w:tcPr>
            <w:tcW w:w="1175" w:type="dxa"/>
            <w:shd w:val="clear" w:color="auto" w:fill="auto"/>
            <w:vAlign w:val="center"/>
          </w:tcPr>
          <w:p>
            <w:pPr>
              <w:spacing w:line="276" w:lineRule="auto"/>
              <w:jc w:val="left"/>
              <w:rPr>
                <w:rFonts w:ascii="Times New Roman" w:hAnsi="Times New Roman" w:eastAsiaTheme="minorEastAsia"/>
                <w:sz w:val="21"/>
                <w:szCs w:val="21"/>
              </w:rPr>
            </w:pPr>
            <w:r>
              <w:rPr>
                <w:rFonts w:ascii="Times New Roman" w:hAnsi="Times New Roman" w:eastAsiaTheme="minorEastAsia"/>
                <w:sz w:val="21"/>
                <w:szCs w:val="21"/>
              </w:rPr>
              <w:t>园林村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56" w:hRule="atLeast"/>
        </w:trPr>
        <w:tc>
          <w:tcPr>
            <w:tcW w:w="2211"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地理坐标</w:t>
            </w:r>
          </w:p>
        </w:tc>
        <w:tc>
          <w:tcPr>
            <w:tcW w:w="1263"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经度</w:t>
            </w:r>
          </w:p>
        </w:tc>
        <w:tc>
          <w:tcPr>
            <w:tcW w:w="1342"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E103.634591</w:t>
            </w:r>
          </w:p>
        </w:tc>
        <w:tc>
          <w:tcPr>
            <w:tcW w:w="1264"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纬度</w:t>
            </w:r>
          </w:p>
        </w:tc>
        <w:tc>
          <w:tcPr>
            <w:tcW w:w="2442" w:type="dxa"/>
            <w:gridSpan w:val="2"/>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N30.456221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trPr>
        <w:tc>
          <w:tcPr>
            <w:tcW w:w="2211"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主要危险物质及分布</w:t>
            </w:r>
          </w:p>
        </w:tc>
        <w:tc>
          <w:tcPr>
            <w:tcW w:w="6311" w:type="dxa"/>
            <w:gridSpan w:val="5"/>
            <w:shd w:val="clear" w:color="auto" w:fill="auto"/>
            <w:vAlign w:val="center"/>
          </w:tcPr>
          <w:p>
            <w:pPr>
              <w:spacing w:line="276" w:lineRule="auto"/>
              <w:jc w:val="left"/>
              <w:rPr>
                <w:rFonts w:ascii="Times New Roman" w:hAnsi="Times New Roman" w:eastAsiaTheme="minorEastAsia"/>
                <w:sz w:val="21"/>
                <w:szCs w:val="21"/>
              </w:rPr>
            </w:pPr>
            <w:r>
              <w:rPr>
                <w:rFonts w:ascii="Times New Roman" w:hAnsi="Times New Roman" w:eastAsiaTheme="minorEastAsia"/>
                <w:sz w:val="21"/>
                <w:szCs w:val="21"/>
              </w:rPr>
              <w:t>本项目不涉及风险物质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219" w:hRule="atLeast"/>
        </w:trPr>
        <w:tc>
          <w:tcPr>
            <w:tcW w:w="2211"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主要环境影响途径及危害后果（大气、地表水、地下水等）</w:t>
            </w:r>
          </w:p>
        </w:tc>
        <w:tc>
          <w:tcPr>
            <w:tcW w:w="6311" w:type="dxa"/>
            <w:gridSpan w:val="5"/>
            <w:shd w:val="clear" w:color="auto" w:fill="auto"/>
            <w:vAlign w:val="center"/>
          </w:tcPr>
          <w:p>
            <w:pPr>
              <w:spacing w:line="276" w:lineRule="auto"/>
              <w:rPr>
                <w:rFonts w:ascii="Times New Roman" w:hAnsi="Times New Roman" w:eastAsiaTheme="minorEastAsia"/>
                <w:sz w:val="21"/>
                <w:szCs w:val="21"/>
              </w:rPr>
            </w:pPr>
            <w:r>
              <w:rPr>
                <w:rFonts w:ascii="Times New Roman" w:hAnsi="Times New Roman" w:eastAsiaTheme="minorEastAsia"/>
                <w:sz w:val="21"/>
                <w:szCs w:val="21"/>
              </w:rPr>
              <w:t>粪便废水（或废液）事故排放对地表水环境造成的影响和废水事故渗漏对地下水环境造成的严重的影响。</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816" w:hRule="atLeast"/>
        </w:trPr>
        <w:tc>
          <w:tcPr>
            <w:tcW w:w="2211" w:type="dxa"/>
            <w:shd w:val="clear" w:color="auto" w:fill="auto"/>
            <w:vAlign w:val="center"/>
          </w:tcPr>
          <w:p>
            <w:pPr>
              <w:spacing w:line="276" w:lineRule="auto"/>
              <w:jc w:val="center"/>
              <w:rPr>
                <w:rFonts w:ascii="Times New Roman" w:hAnsi="Times New Roman" w:eastAsiaTheme="minorEastAsia"/>
                <w:sz w:val="21"/>
                <w:szCs w:val="21"/>
              </w:rPr>
            </w:pPr>
            <w:r>
              <w:rPr>
                <w:rFonts w:ascii="Times New Roman" w:hAnsi="Times New Roman" w:eastAsiaTheme="minorEastAsia"/>
                <w:sz w:val="21"/>
                <w:szCs w:val="21"/>
              </w:rPr>
              <w:t>风险防范措施要求</w:t>
            </w:r>
          </w:p>
        </w:tc>
        <w:tc>
          <w:tcPr>
            <w:tcW w:w="6311" w:type="dxa"/>
            <w:gridSpan w:val="5"/>
            <w:shd w:val="clear" w:color="auto" w:fill="auto"/>
            <w:vAlign w:val="center"/>
          </w:tcPr>
          <w:p>
            <w:pPr>
              <w:spacing w:line="276" w:lineRule="auto"/>
              <w:rPr>
                <w:rFonts w:ascii="Times New Roman" w:hAnsi="Times New Roman" w:eastAsiaTheme="minorEastAsia"/>
                <w:sz w:val="21"/>
                <w:szCs w:val="21"/>
              </w:rPr>
            </w:pPr>
            <w:r>
              <w:rPr>
                <w:rFonts w:ascii="Times New Roman" w:hAnsi="Times New Roman" w:eastAsiaTheme="minorEastAsia"/>
                <w:sz w:val="21"/>
                <w:szCs w:val="21"/>
              </w:rPr>
              <w:t>（1）污粪发酵深坑、化粪池、废水输送管道等进行重点防渗，等效黏土防渗层Mb≥6.0m，K≤1×10</w:t>
            </w:r>
            <w:r>
              <w:rPr>
                <w:rFonts w:ascii="Times New Roman" w:hAnsi="Times New Roman" w:eastAsiaTheme="minorEastAsia"/>
                <w:sz w:val="21"/>
                <w:szCs w:val="21"/>
                <w:vertAlign w:val="superscript"/>
              </w:rPr>
              <w:t>-7</w:t>
            </w:r>
            <w:r>
              <w:rPr>
                <w:rFonts w:ascii="Times New Roman" w:hAnsi="Times New Roman" w:eastAsiaTheme="minorEastAsia"/>
                <w:sz w:val="21"/>
                <w:szCs w:val="21"/>
              </w:rPr>
              <w:t>cm/s；</w:t>
            </w:r>
          </w:p>
          <w:p>
            <w:pPr>
              <w:spacing w:line="276" w:lineRule="auto"/>
              <w:rPr>
                <w:rFonts w:ascii="Times New Roman" w:hAnsi="Times New Roman" w:eastAsiaTheme="minorEastAsia"/>
                <w:sz w:val="21"/>
                <w:szCs w:val="21"/>
              </w:rPr>
            </w:pPr>
            <w:r>
              <w:rPr>
                <w:rFonts w:ascii="Times New Roman" w:hAnsi="Times New Roman" w:eastAsiaTheme="minorEastAsia"/>
                <w:sz w:val="21"/>
                <w:szCs w:val="21"/>
              </w:rPr>
              <w:t>（2）污粪发酵深坑必须与项目主体工程同步建设，满足6个月存储量；</w:t>
            </w:r>
          </w:p>
          <w:p>
            <w:pPr>
              <w:spacing w:line="276" w:lineRule="auto"/>
              <w:rPr>
                <w:rFonts w:ascii="Times New Roman" w:hAnsi="Times New Roman" w:eastAsiaTheme="minorEastAsia"/>
                <w:sz w:val="21"/>
                <w:szCs w:val="21"/>
              </w:rPr>
            </w:pPr>
            <w:r>
              <w:rPr>
                <w:rFonts w:ascii="Times New Roman" w:hAnsi="Times New Roman" w:eastAsiaTheme="minorEastAsia"/>
                <w:sz w:val="21"/>
                <w:szCs w:val="21"/>
              </w:rPr>
              <w:t>（3）加强污粪发酵深坑、化粪池日常维护防止泄露；</w:t>
            </w:r>
          </w:p>
          <w:p>
            <w:pPr>
              <w:spacing w:line="276" w:lineRule="auto"/>
              <w:rPr>
                <w:rFonts w:ascii="Times New Roman" w:hAnsi="Times New Roman" w:eastAsiaTheme="minorEastAsia"/>
                <w:sz w:val="21"/>
                <w:szCs w:val="21"/>
              </w:rPr>
            </w:pPr>
            <w:r>
              <w:rPr>
                <w:rFonts w:ascii="Times New Roman" w:hAnsi="Times New Roman" w:eastAsiaTheme="minorEastAsia"/>
                <w:sz w:val="21"/>
                <w:szCs w:val="21"/>
              </w:rPr>
              <w:t>（4）定期检修水管，有漏水现象时及时更换。</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159" w:hRule="atLeast"/>
        </w:trPr>
        <w:tc>
          <w:tcPr>
            <w:tcW w:w="8522" w:type="dxa"/>
            <w:gridSpan w:val="6"/>
            <w:shd w:val="clear" w:color="auto" w:fill="auto"/>
            <w:vAlign w:val="center"/>
          </w:tcPr>
          <w:p>
            <w:pPr>
              <w:spacing w:line="276" w:lineRule="auto"/>
              <w:jc w:val="left"/>
              <w:rPr>
                <w:rFonts w:ascii="Times New Roman" w:hAnsi="Times New Roman" w:eastAsiaTheme="minorEastAsia"/>
                <w:sz w:val="21"/>
                <w:szCs w:val="21"/>
              </w:rPr>
            </w:pPr>
            <w:r>
              <w:rPr>
                <w:rFonts w:ascii="Times New Roman" w:hAnsi="Times New Roman" w:eastAsiaTheme="minorEastAsia"/>
                <w:sz w:val="21"/>
                <w:szCs w:val="21"/>
              </w:rPr>
              <w:t>填表说明（列出项目相关信息及评价说明）：</w:t>
            </w:r>
          </w:p>
          <w:p>
            <w:pPr>
              <w:spacing w:line="276" w:lineRule="auto"/>
              <w:ind w:firstLine="315" w:firstLineChars="150"/>
              <w:jc w:val="left"/>
              <w:rPr>
                <w:rFonts w:ascii="Times New Roman" w:hAnsi="Times New Roman" w:eastAsiaTheme="minorEastAsia"/>
                <w:sz w:val="21"/>
                <w:szCs w:val="21"/>
              </w:rPr>
            </w:pPr>
            <w:r>
              <w:rPr>
                <w:rFonts w:ascii="Times New Roman" w:hAnsi="Times New Roman" w:eastAsiaTheme="minorEastAsia"/>
                <w:sz w:val="21"/>
                <w:szCs w:val="21"/>
              </w:rPr>
              <w:t>本项目不涉及风险物质，风险潜势为I，风险评价等级为简单分析。本项目便废水（或废液）事故排放或泄露是事故预防的重点。在落实风险防范措施和应急预案的基础上，严格按照相关规章制度进行管理和操作，机场的环境风险水平可接受。</w:t>
            </w:r>
          </w:p>
        </w:tc>
      </w:tr>
    </w:tbl>
    <w:p>
      <w:pPr>
        <w:autoSpaceDE w:val="0"/>
        <w:autoSpaceDN w:val="0"/>
        <w:adjustRightInd w:val="0"/>
        <w:jc w:val="left"/>
        <w:rPr>
          <w:rFonts w:ascii="Times New Roman" w:hAnsi="Times New Roman" w:eastAsia="新宋体"/>
          <w:kern w:val="0"/>
          <w:sz w:val="24"/>
          <w:szCs w:val="24"/>
        </w:rPr>
      </w:pPr>
    </w:p>
    <w:p>
      <w:pPr>
        <w:pStyle w:val="103"/>
        <w:numPr>
          <w:ilvl w:val="0"/>
          <w:numId w:val="0"/>
        </w:numPr>
        <w:rPr>
          <w:rFonts w:ascii="Times New Roman" w:hAnsi="Times New Roman"/>
          <w:b w:val="0"/>
          <w:bCs/>
          <w:kern w:val="28"/>
          <w:sz w:val="32"/>
          <w:szCs w:val="32"/>
        </w:rPr>
        <w:sectPr>
          <w:pgSz w:w="11906" w:h="16838"/>
          <w:pgMar w:top="1440" w:right="1800" w:bottom="1440" w:left="1800" w:header="851" w:footer="992" w:gutter="0"/>
          <w:cols w:space="425" w:num="1"/>
          <w:docGrid w:type="lines" w:linePitch="312" w:charSpace="0"/>
        </w:sectPr>
      </w:pPr>
    </w:p>
    <w:p>
      <w:pPr>
        <w:pStyle w:val="101"/>
        <w:spacing w:before="780" w:after="780"/>
        <w:rPr>
          <w:rFonts w:ascii="Times New Roman" w:hAnsi="Times New Roman"/>
        </w:rPr>
      </w:pPr>
      <w:bookmarkStart w:id="305" w:name="_Toc9873412"/>
      <w:r>
        <w:rPr>
          <w:rFonts w:ascii="Times New Roman" w:hAnsi="Times New Roman"/>
        </w:rPr>
        <w:t>第七章  清洁生产与总量控制</w:t>
      </w:r>
      <w:bookmarkEnd w:id="305"/>
    </w:p>
    <w:p>
      <w:pPr>
        <w:pStyle w:val="103"/>
        <w:numPr>
          <w:ilvl w:val="0"/>
          <w:numId w:val="0"/>
        </w:numPr>
        <w:rPr>
          <w:rFonts w:ascii="Times New Roman" w:hAnsi="Times New Roman"/>
          <w:b w:val="0"/>
          <w:bCs/>
          <w:kern w:val="28"/>
          <w:sz w:val="32"/>
          <w:szCs w:val="32"/>
        </w:rPr>
      </w:pPr>
      <w:bookmarkStart w:id="306" w:name="_Toc9873413"/>
      <w:r>
        <w:rPr>
          <w:rFonts w:ascii="Times New Roman" w:hAnsi="Times New Roman"/>
          <w:b w:val="0"/>
          <w:bCs/>
          <w:kern w:val="28"/>
          <w:sz w:val="32"/>
          <w:szCs w:val="32"/>
        </w:rPr>
        <w:t>7.1　清洁生产</w:t>
      </w:r>
      <w:bookmarkEnd w:id="306"/>
    </w:p>
    <w:p>
      <w:pPr>
        <w:ind w:firstLine="480"/>
        <w:rPr>
          <w:rFonts w:ascii="Times New Roman" w:hAnsi="Times New Roman"/>
          <w:sz w:val="24"/>
          <w:szCs w:val="24"/>
        </w:rPr>
      </w:pPr>
      <w:r>
        <w:rPr>
          <w:rFonts w:ascii="Times New Roman" w:hAnsi="Times New Roman"/>
          <w:sz w:val="24"/>
          <w:szCs w:val="24"/>
        </w:rPr>
        <w:t>本项目为畜禽养殖项目，根据我国建设项目环境影响评价中清洁生产分析指标体系的一般要求，拟从生产设备及工艺先进性、原辅材料指标、产品指标、资源能耗指标、污染物产生指标等方面进行清洁生产评述。</w:t>
      </w:r>
    </w:p>
    <w:p>
      <w:pPr>
        <w:pStyle w:val="108"/>
      </w:pPr>
      <w:bookmarkStart w:id="307" w:name="_Toc9873414"/>
      <w:r>
        <w:t>7.1.1  清洁生产水平分析</w:t>
      </w:r>
      <w:bookmarkEnd w:id="307"/>
      <w:r>
        <w:t xml:space="preserve"> </w:t>
      </w:r>
    </w:p>
    <w:p>
      <w:pPr>
        <w:spacing w:line="480" w:lineRule="exact"/>
        <w:outlineLvl w:val="3"/>
        <w:rPr>
          <w:rFonts w:ascii="Times New Roman" w:hAnsi="Times New Roman" w:eastAsiaTheme="minorEastAsia"/>
          <w:b/>
          <w:sz w:val="24"/>
          <w:szCs w:val="24"/>
        </w:rPr>
      </w:pPr>
      <w:r>
        <w:rPr>
          <w:rFonts w:ascii="Times New Roman" w:hAnsi="Times New Roman" w:eastAsiaTheme="minorEastAsia"/>
          <w:b/>
          <w:sz w:val="24"/>
          <w:szCs w:val="24"/>
        </w:rPr>
        <w:t>7.1.1.1  生产设备及工艺先进性指标</w:t>
      </w:r>
    </w:p>
    <w:p>
      <w:pPr>
        <w:ind w:firstLine="482"/>
        <w:rPr>
          <w:rFonts w:ascii="Times New Roman" w:hAnsi="Times New Roman"/>
          <w:b/>
          <w:sz w:val="24"/>
          <w:szCs w:val="24"/>
        </w:rPr>
      </w:pPr>
      <w:r>
        <w:rPr>
          <w:rFonts w:ascii="Times New Roman" w:hAnsi="Times New Roman"/>
          <w:b/>
          <w:sz w:val="24"/>
          <w:szCs w:val="24"/>
        </w:rPr>
        <w:t>1、生产设备</w:t>
      </w:r>
    </w:p>
    <w:p>
      <w:pPr>
        <w:ind w:firstLine="480"/>
        <w:rPr>
          <w:rFonts w:ascii="Times New Roman" w:hAnsi="Times New Roman" w:eastAsiaTheme="minorEastAsia"/>
          <w:sz w:val="24"/>
          <w:szCs w:val="24"/>
        </w:rPr>
      </w:pPr>
      <w:r>
        <w:rPr>
          <w:rFonts w:ascii="Times New Roman" w:hAnsi="Times New Roman" w:eastAsiaTheme="minorEastAsia"/>
          <w:sz w:val="24"/>
          <w:szCs w:val="24"/>
        </w:rPr>
        <w:t>圈舍设备全部采用先进的垂直通风系统工艺，猪舍采用全封密闭式、全漏缝地板、全自动化喂料系统及全自动化恒温负压向下通风系统实现了猪舍内空气的温度、湿度和有害气体的控制，从而创造了适宜种猪生产、生活的环境，全自动喂料系统和全漏粪工艺将最大限度的减少劳动力成本，实现高效率生产。</w:t>
      </w:r>
    </w:p>
    <w:p>
      <w:pPr>
        <w:ind w:firstLine="480"/>
        <w:rPr>
          <w:rFonts w:ascii="Times New Roman" w:hAnsi="Times New Roman" w:eastAsiaTheme="minorEastAsia"/>
          <w:sz w:val="24"/>
          <w:szCs w:val="24"/>
        </w:rPr>
      </w:pPr>
      <w:r>
        <w:rPr>
          <w:rFonts w:ascii="Times New Roman" w:hAnsi="Times New Roman" w:eastAsiaTheme="minorEastAsia"/>
          <w:sz w:val="24"/>
          <w:szCs w:val="24"/>
        </w:rPr>
        <w:t>该工艺能够在很大程度上减少猪饮用中水的跑、冒、滴、漏和其他原因造成的水浪费；全自动喂料系统能够在最大程度上减少原材料的浪费；在先进的垂直通风 猪舍内废气排出口，增加了热量回收的波纹管，用来回收猪舍里排出的带有热量的废气，用来加热进入到猪舍里面的新鲜空气，达到节能的目的。</w:t>
      </w:r>
    </w:p>
    <w:p>
      <w:pPr>
        <w:ind w:firstLine="482"/>
        <w:rPr>
          <w:rFonts w:ascii="Times New Roman" w:hAnsi="Times New Roman" w:eastAsiaTheme="minorEastAsia"/>
          <w:b/>
          <w:sz w:val="24"/>
          <w:szCs w:val="24"/>
        </w:rPr>
      </w:pPr>
      <w:r>
        <w:rPr>
          <w:rFonts w:ascii="Times New Roman" w:hAnsi="Times New Roman" w:eastAsiaTheme="minorEastAsia"/>
          <w:b/>
          <w:sz w:val="24"/>
          <w:szCs w:val="24"/>
        </w:rPr>
        <w:t>2、清粪工艺</w:t>
      </w:r>
    </w:p>
    <w:p>
      <w:pPr>
        <w:ind w:firstLine="480"/>
        <w:rPr>
          <w:rFonts w:ascii="Times New Roman" w:hAnsi="Times New Roman" w:eastAsiaTheme="minorEastAsia"/>
          <w:sz w:val="24"/>
          <w:szCs w:val="24"/>
        </w:rPr>
      </w:pPr>
      <w:r>
        <w:rPr>
          <w:rFonts w:ascii="Times New Roman" w:hAnsi="Times New Roman" w:eastAsiaTheme="minorEastAsia"/>
          <w:sz w:val="24"/>
          <w:szCs w:val="24"/>
        </w:rPr>
        <w:t>我国规模化养殖场目前主要清粪工艺有水冲粪、水泡粪和干清粪三种。</w:t>
      </w:r>
    </w:p>
    <w:p>
      <w:pPr>
        <w:ind w:firstLine="480"/>
        <w:rPr>
          <w:rFonts w:ascii="Times New Roman" w:hAnsi="Times New Roman" w:eastAsiaTheme="minorEastAsia"/>
          <w:sz w:val="24"/>
          <w:szCs w:val="24"/>
        </w:rPr>
      </w:pPr>
      <w:r>
        <w:rPr>
          <w:rFonts w:ascii="Times New Roman" w:hAnsi="Times New Roman" w:eastAsiaTheme="minorEastAsia"/>
          <w:sz w:val="24"/>
          <w:szCs w:val="24"/>
        </w:rPr>
        <w:t>水冲粪工艺是猪粪便猪尿污水混合后进入缝隙地板下的粪沟，每天数次冲沟端的自翻水装置放水冲洗。</w:t>
      </w:r>
    </w:p>
    <w:p>
      <w:pPr>
        <w:ind w:firstLine="480"/>
        <w:rPr>
          <w:rFonts w:ascii="Times New Roman" w:hAnsi="Times New Roman" w:eastAsiaTheme="minorEastAsia"/>
          <w:sz w:val="24"/>
          <w:szCs w:val="24"/>
        </w:rPr>
      </w:pPr>
      <w:r>
        <w:rPr>
          <w:rFonts w:ascii="Times New Roman" w:hAnsi="Times New Roman" w:eastAsiaTheme="minorEastAsia"/>
          <w:sz w:val="24"/>
          <w:szCs w:val="24"/>
        </w:rPr>
        <w:t>水泡粪清粪工艺是在水冲粪工艺的基础上改造而来的。工艺流程是在猪舍内的排粪沟中注入一定量的水，粪便、冲洗用水一并排放缝隙地板下的粪沟中，贮存一定时间后（一般1-2个月），待粪沟流入主干沟，进入地下贮粪池或用泵抽吸到地面贮粪池。</w:t>
      </w:r>
    </w:p>
    <w:p>
      <w:pPr>
        <w:ind w:firstLine="480"/>
        <w:rPr>
          <w:rFonts w:ascii="Times New Roman" w:hAnsi="Times New Roman" w:eastAsiaTheme="minorEastAsia"/>
          <w:sz w:val="24"/>
          <w:szCs w:val="24"/>
        </w:rPr>
      </w:pPr>
      <w:r>
        <w:rPr>
          <w:rFonts w:ascii="Times New Roman" w:hAnsi="Times New Roman" w:eastAsiaTheme="minorEastAsia"/>
          <w:sz w:val="24"/>
          <w:szCs w:val="24"/>
        </w:rPr>
        <w:t xml:space="preserve">干法清粪工艺是将猪粪及时、单独清出，尿及其冲洗水则从下水道流出，再分别进行处理。由于机械清粪噪声大，不利于猪的生长，因此目前一般多用人工清粪。   </w:t>
      </w:r>
    </w:p>
    <w:p>
      <w:pPr>
        <w:ind w:firstLine="480"/>
        <w:rPr>
          <w:rFonts w:ascii="Times New Roman" w:hAnsi="Times New Roman" w:eastAsiaTheme="minorEastAsia"/>
          <w:sz w:val="24"/>
          <w:szCs w:val="24"/>
        </w:rPr>
      </w:pPr>
      <w:r>
        <w:rPr>
          <w:rFonts w:ascii="Times New Roman" w:hAnsi="Times New Roman" w:eastAsiaTheme="minorEastAsia"/>
          <w:sz w:val="24"/>
          <w:szCs w:val="24"/>
        </w:rPr>
        <w:t>三种工艺对比情况详见下表。</w:t>
      </w:r>
    </w:p>
    <w:p>
      <w:pPr>
        <w:jc w:val="center"/>
        <w:rPr>
          <w:rFonts w:ascii="Times New Roman" w:hAnsi="Times New Roman" w:eastAsia="黑体"/>
          <w:sz w:val="21"/>
          <w:szCs w:val="21"/>
        </w:rPr>
      </w:pPr>
      <w:r>
        <w:rPr>
          <w:rFonts w:ascii="Times New Roman" w:hAnsi="Times New Roman" w:eastAsia="黑体"/>
          <w:sz w:val="21"/>
          <w:szCs w:val="21"/>
        </w:rPr>
        <w:t>表7.1-1  清粪工艺对比</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08"/>
        <w:gridCol w:w="2201"/>
        <w:gridCol w:w="1705"/>
        <w:gridCol w:w="1704"/>
        <w:gridCol w:w="1704"/>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208"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序号</w:t>
            </w:r>
          </w:p>
        </w:tc>
        <w:tc>
          <w:tcPr>
            <w:tcW w:w="2201"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项目</w:t>
            </w:r>
          </w:p>
        </w:tc>
        <w:tc>
          <w:tcPr>
            <w:tcW w:w="1705"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水冲粪工艺</w:t>
            </w:r>
          </w:p>
        </w:tc>
        <w:tc>
          <w:tcPr>
            <w:tcW w:w="1704"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水泡粪工艺</w:t>
            </w:r>
          </w:p>
        </w:tc>
        <w:tc>
          <w:tcPr>
            <w:tcW w:w="1704" w:type="dxa"/>
            <w:shd w:val="clear" w:color="auto" w:fill="auto"/>
            <w:vAlign w:val="center"/>
          </w:tcPr>
          <w:p>
            <w:pPr>
              <w:spacing w:line="240" w:lineRule="auto"/>
              <w:ind w:firstLine="199" w:firstLineChars="90"/>
              <w:jc w:val="center"/>
              <w:rPr>
                <w:rFonts w:ascii="Times New Roman" w:hAnsi="Times New Roman"/>
                <w:b/>
                <w:sz w:val="22"/>
              </w:rPr>
            </w:pPr>
            <w:r>
              <w:rPr>
                <w:rFonts w:ascii="Times New Roman" w:hAnsi="Times New Roman"/>
                <w:b/>
                <w:sz w:val="22"/>
              </w:rPr>
              <w:t>干清粪工艺</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208"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1</w:t>
            </w:r>
          </w:p>
        </w:tc>
        <w:tc>
          <w:tcPr>
            <w:tcW w:w="2201"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用水量</w:t>
            </w:r>
          </w:p>
        </w:tc>
        <w:tc>
          <w:tcPr>
            <w:tcW w:w="1705"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多</w:t>
            </w:r>
          </w:p>
        </w:tc>
        <w:tc>
          <w:tcPr>
            <w:tcW w:w="1704"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较多</w:t>
            </w:r>
          </w:p>
        </w:tc>
        <w:tc>
          <w:tcPr>
            <w:tcW w:w="1704" w:type="dxa"/>
            <w:shd w:val="clear" w:color="auto" w:fill="auto"/>
            <w:vAlign w:val="center"/>
          </w:tcPr>
          <w:p>
            <w:pPr>
              <w:spacing w:line="240" w:lineRule="auto"/>
              <w:ind w:firstLine="199" w:firstLineChars="90"/>
              <w:jc w:val="center"/>
              <w:rPr>
                <w:rFonts w:ascii="Times New Roman" w:hAnsi="Times New Roman"/>
                <w:b/>
                <w:sz w:val="22"/>
              </w:rPr>
            </w:pPr>
            <w:r>
              <w:rPr>
                <w:rFonts w:ascii="Times New Roman" w:hAnsi="Times New Roman"/>
                <w:b/>
                <w:sz w:val="22"/>
              </w:rPr>
              <w:t>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208"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2</w:t>
            </w:r>
          </w:p>
        </w:tc>
        <w:tc>
          <w:tcPr>
            <w:tcW w:w="2201"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污水浓度</w:t>
            </w:r>
          </w:p>
        </w:tc>
        <w:tc>
          <w:tcPr>
            <w:tcW w:w="1705"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高</w:t>
            </w:r>
          </w:p>
        </w:tc>
        <w:tc>
          <w:tcPr>
            <w:tcW w:w="1704"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高</w:t>
            </w:r>
          </w:p>
        </w:tc>
        <w:tc>
          <w:tcPr>
            <w:tcW w:w="1704" w:type="dxa"/>
            <w:shd w:val="clear" w:color="auto" w:fill="auto"/>
            <w:vAlign w:val="center"/>
          </w:tcPr>
          <w:p>
            <w:pPr>
              <w:spacing w:line="240" w:lineRule="auto"/>
              <w:ind w:firstLine="199" w:firstLineChars="90"/>
              <w:jc w:val="center"/>
              <w:rPr>
                <w:rFonts w:ascii="Times New Roman" w:hAnsi="Times New Roman"/>
                <w:b/>
                <w:sz w:val="22"/>
              </w:rPr>
            </w:pPr>
            <w:r>
              <w:rPr>
                <w:rFonts w:ascii="Times New Roman" w:hAnsi="Times New Roman"/>
                <w:b/>
                <w:sz w:val="22"/>
              </w:rPr>
              <w:t>低</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208"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3</w:t>
            </w:r>
          </w:p>
        </w:tc>
        <w:tc>
          <w:tcPr>
            <w:tcW w:w="2201"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污水处理难度</w:t>
            </w:r>
          </w:p>
        </w:tc>
        <w:tc>
          <w:tcPr>
            <w:tcW w:w="1705"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高</w:t>
            </w:r>
          </w:p>
        </w:tc>
        <w:tc>
          <w:tcPr>
            <w:tcW w:w="1704"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高</w:t>
            </w:r>
          </w:p>
        </w:tc>
        <w:tc>
          <w:tcPr>
            <w:tcW w:w="1704" w:type="dxa"/>
            <w:shd w:val="clear" w:color="auto" w:fill="auto"/>
            <w:vAlign w:val="center"/>
          </w:tcPr>
          <w:p>
            <w:pPr>
              <w:spacing w:line="240" w:lineRule="auto"/>
              <w:ind w:firstLine="199" w:firstLineChars="90"/>
              <w:jc w:val="center"/>
              <w:rPr>
                <w:rFonts w:ascii="Times New Roman" w:hAnsi="Times New Roman"/>
                <w:b/>
                <w:sz w:val="22"/>
              </w:rPr>
            </w:pPr>
            <w:r>
              <w:rPr>
                <w:rFonts w:ascii="Times New Roman" w:hAnsi="Times New Roman"/>
                <w:b/>
                <w:sz w:val="22"/>
              </w:rPr>
              <w:t>低</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208"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4</w:t>
            </w:r>
          </w:p>
        </w:tc>
        <w:tc>
          <w:tcPr>
            <w:tcW w:w="2201"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肥料价值</w:t>
            </w:r>
          </w:p>
        </w:tc>
        <w:tc>
          <w:tcPr>
            <w:tcW w:w="1705"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低</w:t>
            </w:r>
          </w:p>
        </w:tc>
        <w:tc>
          <w:tcPr>
            <w:tcW w:w="1704" w:type="dxa"/>
            <w:shd w:val="clear" w:color="auto" w:fill="auto"/>
            <w:vAlign w:val="center"/>
          </w:tcPr>
          <w:p>
            <w:pPr>
              <w:spacing w:line="240" w:lineRule="auto"/>
              <w:ind w:firstLine="198" w:firstLineChars="90"/>
              <w:jc w:val="center"/>
              <w:rPr>
                <w:rFonts w:ascii="Times New Roman" w:hAnsi="Times New Roman"/>
                <w:sz w:val="22"/>
              </w:rPr>
            </w:pPr>
            <w:r>
              <w:rPr>
                <w:rFonts w:ascii="Times New Roman" w:hAnsi="Times New Roman"/>
                <w:sz w:val="22"/>
              </w:rPr>
              <w:t>低</w:t>
            </w:r>
          </w:p>
        </w:tc>
        <w:tc>
          <w:tcPr>
            <w:tcW w:w="1704" w:type="dxa"/>
            <w:shd w:val="clear" w:color="auto" w:fill="auto"/>
            <w:vAlign w:val="center"/>
          </w:tcPr>
          <w:p>
            <w:pPr>
              <w:spacing w:line="240" w:lineRule="auto"/>
              <w:ind w:firstLine="199" w:firstLineChars="90"/>
              <w:jc w:val="center"/>
              <w:rPr>
                <w:rFonts w:ascii="Times New Roman" w:hAnsi="Times New Roman"/>
                <w:b/>
                <w:sz w:val="22"/>
              </w:rPr>
            </w:pPr>
            <w:r>
              <w:rPr>
                <w:rFonts w:ascii="Times New Roman" w:hAnsi="Times New Roman"/>
                <w:b/>
                <w:sz w:val="22"/>
              </w:rPr>
              <w:t>高</w:t>
            </w:r>
          </w:p>
        </w:tc>
      </w:tr>
    </w:tbl>
    <w:p>
      <w:pPr>
        <w:ind w:firstLine="480"/>
        <w:rPr>
          <w:rFonts w:ascii="Times New Roman" w:hAnsi="Times New Roman"/>
          <w:sz w:val="24"/>
          <w:szCs w:val="24"/>
        </w:rPr>
      </w:pPr>
      <w:r>
        <w:rPr>
          <w:rFonts w:ascii="Times New Roman" w:hAnsi="Times New Roman"/>
          <w:sz w:val="24"/>
          <w:szCs w:val="24"/>
        </w:rPr>
        <w:t>从上表可以看出：干清粪能从源头上减少废水和污染物的产生，同时最大限度保存了粪的肥效，是一种更为清洁的清粪方式。</w:t>
      </w:r>
    </w:p>
    <w:p>
      <w:pPr>
        <w:ind w:firstLine="480"/>
        <w:rPr>
          <w:rFonts w:ascii="Times New Roman" w:hAnsi="Times New Roman"/>
          <w:sz w:val="24"/>
          <w:szCs w:val="24"/>
        </w:rPr>
      </w:pPr>
      <w:r>
        <w:rPr>
          <w:rFonts w:ascii="Times New Roman" w:hAnsi="Times New Roman"/>
          <w:sz w:val="24"/>
          <w:szCs w:val="24"/>
        </w:rPr>
        <w:t>本项目采取的是干清粪这种清洁生产水平更高的清粪方式。项目猪舍采取防渗措施，全场采用全漏缝、半漏缝地板将粪尿分开，日产日清，减少氨的散发；严格控制冲圈用水量，采用先清粪再冲圈的卫生方式，从源头减少粪水中的固体物质。</w:t>
      </w:r>
    </w:p>
    <w:p>
      <w:pPr>
        <w:ind w:firstLine="480"/>
        <w:rPr>
          <w:rFonts w:ascii="Times New Roman" w:hAnsi="Times New Roman"/>
          <w:sz w:val="24"/>
          <w:szCs w:val="24"/>
        </w:rPr>
      </w:pPr>
      <w:r>
        <w:rPr>
          <w:rFonts w:ascii="Times New Roman" w:hAnsi="Times New Roman"/>
          <w:sz w:val="24"/>
          <w:szCs w:val="24"/>
        </w:rPr>
        <w:t>另外，根据《畜禽养殖业污染防治技术规范》中规定：新建、改建、扩建的畜禽养殖场采取干清粪工艺，采取有效措施将粪便及时、单独清出，不可与污水混合排出，并将产生的粪渣及时运至贮存或处理场所，实现日产日清，采用水冲粪、水泡粪湿法清粪工艺的养殖场，要逐步改为干清粪工艺。本项目应用干清粪工艺满足该《规范》要求。</w:t>
      </w:r>
    </w:p>
    <w:p>
      <w:pPr>
        <w:spacing w:line="480" w:lineRule="exact"/>
        <w:outlineLvl w:val="3"/>
        <w:rPr>
          <w:rFonts w:ascii="Times New Roman" w:hAnsi="Times New Roman" w:eastAsiaTheme="minorEastAsia"/>
          <w:b/>
          <w:sz w:val="24"/>
          <w:szCs w:val="24"/>
        </w:rPr>
      </w:pPr>
      <w:r>
        <w:rPr>
          <w:rFonts w:ascii="Times New Roman" w:hAnsi="Times New Roman" w:eastAsiaTheme="minorEastAsia"/>
          <w:b/>
          <w:sz w:val="24"/>
          <w:szCs w:val="24"/>
        </w:rPr>
        <w:t>7.1.1.2  原辅材料指标</w:t>
      </w:r>
    </w:p>
    <w:p>
      <w:pPr>
        <w:spacing w:line="480" w:lineRule="exact"/>
        <w:ind w:firstLine="480"/>
        <w:rPr>
          <w:rFonts w:ascii="Times New Roman" w:hAnsi="Times New Roman"/>
          <w:sz w:val="24"/>
          <w:szCs w:val="24"/>
        </w:rPr>
      </w:pPr>
      <w:r>
        <w:rPr>
          <w:rFonts w:ascii="Times New Roman" w:hAnsi="Times New Roman"/>
          <w:sz w:val="24"/>
          <w:szCs w:val="24"/>
        </w:rPr>
        <w:t>本项目采用的饲料原料不含任何抗生素、违禁药物，不喂养含低铜、低砷饲料的生猪。因此猪的饲养原料各种饲料和添加剂是环境友好型的。</w:t>
      </w:r>
    </w:p>
    <w:p>
      <w:pPr>
        <w:spacing w:line="480" w:lineRule="exact"/>
        <w:outlineLvl w:val="3"/>
        <w:rPr>
          <w:rFonts w:ascii="Times New Roman" w:hAnsi="Times New Roman" w:eastAsiaTheme="minorEastAsia"/>
          <w:b/>
          <w:sz w:val="24"/>
          <w:szCs w:val="24"/>
        </w:rPr>
      </w:pPr>
      <w:r>
        <w:rPr>
          <w:rFonts w:ascii="Times New Roman" w:hAnsi="Times New Roman" w:eastAsiaTheme="minorEastAsia"/>
          <w:b/>
          <w:sz w:val="24"/>
          <w:szCs w:val="24"/>
        </w:rPr>
        <w:t>7.1.1.3  产品指标</w:t>
      </w:r>
    </w:p>
    <w:p>
      <w:pPr>
        <w:spacing w:line="480" w:lineRule="exact"/>
        <w:ind w:firstLine="480"/>
        <w:rPr>
          <w:rFonts w:ascii="Times New Roman" w:hAnsi="Times New Roman"/>
          <w:sz w:val="24"/>
          <w:szCs w:val="24"/>
        </w:rPr>
      </w:pPr>
      <w:r>
        <w:rPr>
          <w:rFonts w:ascii="Times New Roman" w:hAnsi="Times New Roman"/>
          <w:sz w:val="24"/>
          <w:szCs w:val="24"/>
        </w:rPr>
        <w:t>生产的育肥商品猪应具有良好的外形特征，出场标准：年龄达到160日龄体重达到90kg以上；健康并经过免疫接种，打有耳标；有育肥商品猪出场合格证；附有育肥商品猪评定等级。本项目采用集约化管理，在养猪生产管理、疾病防控等方面均有严格的控制措施，因此本项目的产品质量及安全均有较高的保障。</w:t>
      </w:r>
    </w:p>
    <w:p>
      <w:pPr>
        <w:spacing w:line="480" w:lineRule="exact"/>
        <w:outlineLvl w:val="3"/>
        <w:rPr>
          <w:rFonts w:ascii="Times New Roman" w:hAnsi="Times New Roman" w:eastAsiaTheme="minorEastAsia"/>
          <w:b/>
          <w:sz w:val="24"/>
          <w:szCs w:val="24"/>
        </w:rPr>
      </w:pPr>
      <w:r>
        <w:rPr>
          <w:rFonts w:ascii="Times New Roman" w:hAnsi="Times New Roman" w:eastAsiaTheme="minorEastAsia"/>
          <w:b/>
          <w:sz w:val="24"/>
          <w:szCs w:val="24"/>
        </w:rPr>
        <w:t>7.1.1.4  资源能耗指标</w:t>
      </w:r>
    </w:p>
    <w:p>
      <w:pPr>
        <w:spacing w:line="480" w:lineRule="exact"/>
        <w:ind w:firstLine="480"/>
        <w:rPr>
          <w:rFonts w:ascii="Times New Roman" w:hAnsi="Times New Roman"/>
          <w:sz w:val="24"/>
          <w:szCs w:val="24"/>
        </w:rPr>
      </w:pPr>
      <w:r>
        <w:rPr>
          <w:rFonts w:ascii="Times New Roman" w:hAnsi="Times New Roman"/>
          <w:sz w:val="24"/>
          <w:szCs w:val="24"/>
        </w:rPr>
        <w:t xml:space="preserve">建设项目在正常情况下使用的能源主要为电能，为清洁能源；项目饲料为全价饲料，猪粪便呈分散状态，容易掉落到粪坑内，一般只在猪只换栏时清洗，平均每年对猪舍冲洗一次，耗水量小；项目采用干清粪工艺，相比传统的水冲粪工艺用水量较少。 </w:t>
      </w:r>
    </w:p>
    <w:p>
      <w:pPr>
        <w:spacing w:line="480" w:lineRule="exact"/>
        <w:ind w:firstLine="480"/>
        <w:rPr>
          <w:rFonts w:ascii="Times New Roman" w:hAnsi="Times New Roman"/>
          <w:sz w:val="24"/>
          <w:szCs w:val="24"/>
        </w:rPr>
      </w:pPr>
      <w:r>
        <w:rPr>
          <w:rFonts w:ascii="Times New Roman" w:hAnsi="Times New Roman"/>
          <w:sz w:val="24"/>
          <w:szCs w:val="24"/>
        </w:rPr>
        <w:t>本项目废水经生化处理后，可用于当地农田施肥。本项目废水从减量化开始，到无害化处理，再到资源化利用整个过程，体现了循环经济的发展理念，最大限度地减少了水的使用量，提高利用效率，同时采用合理的废水处理技术，最大限度地减少水污染物的排放，产生的废水部分还田资源化利用。一个循环链，实现了环境效益、社会效益的统一。综上分析，本建设项目符合循环经济理念。</w:t>
      </w:r>
    </w:p>
    <w:p>
      <w:pPr>
        <w:spacing w:line="480" w:lineRule="exact"/>
        <w:ind w:firstLine="480"/>
        <w:rPr>
          <w:rFonts w:ascii="Times New Roman" w:hAnsi="Times New Roman"/>
          <w:sz w:val="24"/>
          <w:szCs w:val="24"/>
        </w:rPr>
      </w:pPr>
      <w:r>
        <w:rPr>
          <w:rFonts w:ascii="Times New Roman" w:hAnsi="Times New Roman"/>
          <w:sz w:val="24"/>
          <w:szCs w:val="24"/>
        </w:rPr>
        <w:t>项目采用深坑发酵，产生沼气量较少，场区氨、硫化氢污染物无组织量很小，食堂油烟经处理后达标排放；场区产生废水经“固液分离+深坑发酵”处理后用作周边区域农田肥料，不外排；干粪和沼渣、污泥外送有机肥厂堆肥。所有废物均得到妥善的处理处置。从总体上看，本项目污染物产生量小，符合清洁生产的要求。</w:t>
      </w:r>
    </w:p>
    <w:p>
      <w:pPr>
        <w:spacing w:line="480" w:lineRule="exact"/>
        <w:outlineLvl w:val="3"/>
        <w:rPr>
          <w:rFonts w:ascii="Times New Roman" w:hAnsi="Times New Roman" w:eastAsiaTheme="minorEastAsia"/>
          <w:b/>
          <w:sz w:val="24"/>
          <w:szCs w:val="24"/>
        </w:rPr>
      </w:pPr>
      <w:r>
        <w:rPr>
          <w:rFonts w:ascii="Times New Roman" w:hAnsi="Times New Roman" w:eastAsiaTheme="minorEastAsia"/>
          <w:b/>
          <w:sz w:val="24"/>
          <w:szCs w:val="24"/>
        </w:rPr>
        <w:t>7.1.1.5  废物回收利用指标</w:t>
      </w:r>
    </w:p>
    <w:p>
      <w:pPr>
        <w:ind w:firstLine="480"/>
        <w:rPr>
          <w:rFonts w:ascii="Times New Roman" w:hAnsi="Times New Roman"/>
          <w:sz w:val="24"/>
          <w:szCs w:val="24"/>
        </w:rPr>
      </w:pPr>
      <w:r>
        <w:rPr>
          <w:rFonts w:ascii="Times New Roman" w:hAnsi="Times New Roman"/>
          <w:sz w:val="24"/>
          <w:szCs w:val="24"/>
        </w:rPr>
        <w:t>本工程产生的沼肥作肥料用于农田，其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同时，沼液还是高效的叶面肥，具有较强的抗病虫害作用。</w:t>
      </w:r>
    </w:p>
    <w:p>
      <w:pPr>
        <w:ind w:firstLine="480"/>
        <w:rPr>
          <w:rFonts w:ascii="Times New Roman" w:hAnsi="Times New Roman"/>
          <w:sz w:val="24"/>
          <w:szCs w:val="24"/>
        </w:rPr>
      </w:pPr>
      <w:r>
        <w:rPr>
          <w:rFonts w:ascii="Times New Roman" w:hAnsi="Times New Roman"/>
          <w:sz w:val="24"/>
          <w:szCs w:val="24"/>
        </w:rPr>
        <w:t>本项目通过对沼肥的综合利用，充分实现废弃物资源化利用，不仅可减少对环境造成的影响，而且还能增加土壤肥力，使农作物增产。</w:t>
      </w:r>
    </w:p>
    <w:p>
      <w:pPr>
        <w:ind w:firstLine="480"/>
        <w:rPr>
          <w:rFonts w:ascii="Times New Roman" w:hAnsi="Times New Roman"/>
          <w:sz w:val="24"/>
          <w:szCs w:val="24"/>
        </w:rPr>
      </w:pPr>
      <w:r>
        <w:rPr>
          <w:rFonts w:ascii="Times New Roman" w:hAnsi="Times New Roman"/>
          <w:sz w:val="24"/>
          <w:szCs w:val="24"/>
        </w:rPr>
        <w:t>由此可见，本项目可实现污水、粪便的资源化利用，废物资源化水平较高。</w:t>
      </w:r>
    </w:p>
    <w:p>
      <w:pPr>
        <w:spacing w:line="480" w:lineRule="exact"/>
        <w:outlineLvl w:val="3"/>
        <w:rPr>
          <w:rFonts w:ascii="Times New Roman" w:hAnsi="Times New Roman" w:eastAsiaTheme="minorEastAsia"/>
          <w:b/>
          <w:sz w:val="24"/>
          <w:szCs w:val="24"/>
        </w:rPr>
      </w:pPr>
      <w:r>
        <w:rPr>
          <w:rFonts w:ascii="Times New Roman" w:hAnsi="Times New Roman" w:eastAsiaTheme="minorEastAsia"/>
          <w:b/>
          <w:sz w:val="24"/>
          <w:szCs w:val="24"/>
        </w:rPr>
        <w:t>7.1.1.6  清洁生产评价小结</w:t>
      </w:r>
    </w:p>
    <w:p>
      <w:pPr>
        <w:ind w:firstLine="480"/>
        <w:rPr>
          <w:rFonts w:ascii="Times New Roman" w:hAnsi="Times New Roman"/>
          <w:sz w:val="24"/>
          <w:szCs w:val="24"/>
        </w:rPr>
      </w:pPr>
      <w:r>
        <w:rPr>
          <w:rFonts w:ascii="Times New Roman" w:hAnsi="Times New Roman"/>
          <w:sz w:val="24"/>
          <w:szCs w:val="24"/>
        </w:rPr>
        <w:t>项目引养优良品种的仔猪，采用的饲料原料不含任何抗生素、违禁药物，通过科学管理保证产品的质量和安全。根据工程分析以及建设单位提供的资料，该项目产品、原料、生产工艺及设备都处于较高的清洁生产水平，污染物排放控制较好，且可实现资源的综合利用。污染物产生、废物回收利用、环境管理等方面可满足国内清洁生产水平的要求。</w:t>
      </w:r>
    </w:p>
    <w:p>
      <w:pPr>
        <w:pStyle w:val="108"/>
      </w:pPr>
      <w:bookmarkStart w:id="308" w:name="_Toc9873415"/>
      <w:r>
        <w:t>7.1.2  清洁生产建议</w:t>
      </w:r>
      <w:bookmarkEnd w:id="308"/>
    </w:p>
    <w:p>
      <w:pPr>
        <w:ind w:firstLine="480"/>
        <w:rPr>
          <w:rFonts w:ascii="Times New Roman" w:hAnsi="Times New Roman"/>
          <w:b/>
          <w:sz w:val="24"/>
          <w:szCs w:val="24"/>
        </w:rPr>
      </w:pPr>
      <w:r>
        <w:rPr>
          <w:rFonts w:ascii="Times New Roman" w:hAnsi="Times New Roman"/>
          <w:b/>
          <w:sz w:val="24"/>
          <w:szCs w:val="24"/>
        </w:rPr>
        <w:t>1、加强管理，及时清粪</w:t>
      </w:r>
    </w:p>
    <w:p>
      <w:pPr>
        <w:ind w:firstLine="480"/>
        <w:rPr>
          <w:rFonts w:ascii="Times New Roman" w:hAnsi="Times New Roman"/>
          <w:sz w:val="24"/>
          <w:szCs w:val="24"/>
        </w:rPr>
      </w:pPr>
      <w:r>
        <w:rPr>
          <w:rFonts w:ascii="Times New Roman" w:hAnsi="Times New Roman"/>
          <w:sz w:val="24"/>
          <w:szCs w:val="24"/>
        </w:rPr>
        <w:t>实践证明，对场地的粪便及时清扫、及时洗去地面污垢，保持猪体清洁，可有效减轻恶臭气体的产生，改善猪舍内环境，减少猪的发病率和死亡率。</w:t>
      </w:r>
    </w:p>
    <w:p>
      <w:pPr>
        <w:ind w:firstLine="480"/>
        <w:rPr>
          <w:rFonts w:ascii="Times New Roman" w:hAnsi="Times New Roman"/>
          <w:b/>
          <w:sz w:val="24"/>
          <w:szCs w:val="24"/>
        </w:rPr>
      </w:pPr>
      <w:r>
        <w:rPr>
          <w:rFonts w:ascii="Times New Roman" w:hAnsi="Times New Roman"/>
          <w:b/>
          <w:sz w:val="24"/>
          <w:szCs w:val="24"/>
        </w:rPr>
        <w:t>2、注意消毒</w:t>
      </w:r>
    </w:p>
    <w:p>
      <w:pPr>
        <w:ind w:firstLine="480"/>
        <w:rPr>
          <w:rFonts w:ascii="Times New Roman" w:hAnsi="Times New Roman"/>
          <w:sz w:val="24"/>
          <w:szCs w:val="24"/>
        </w:rPr>
      </w:pPr>
      <w:r>
        <w:rPr>
          <w:rFonts w:ascii="Times New Roman" w:hAnsi="Times New Roman"/>
          <w:sz w:val="24"/>
          <w:szCs w:val="24"/>
        </w:rPr>
        <w:t>场区猪舍、设备、器械的消毒应采用对环境友好的消毒剂以及消毒措施，防止产生氯代有机物以及其他的二次污染物。</w:t>
      </w:r>
    </w:p>
    <w:p>
      <w:pPr>
        <w:ind w:firstLine="480"/>
        <w:rPr>
          <w:rFonts w:ascii="Times New Roman" w:hAnsi="Times New Roman"/>
          <w:b/>
          <w:sz w:val="24"/>
          <w:szCs w:val="24"/>
        </w:rPr>
      </w:pPr>
      <w:r>
        <w:rPr>
          <w:rFonts w:ascii="Times New Roman" w:hAnsi="Times New Roman"/>
          <w:b/>
          <w:sz w:val="24"/>
          <w:szCs w:val="24"/>
        </w:rPr>
        <w:t>3、建立ISO14000环境管理体系</w:t>
      </w:r>
    </w:p>
    <w:p>
      <w:pPr>
        <w:ind w:firstLine="480"/>
        <w:rPr>
          <w:rFonts w:ascii="Times New Roman" w:hAnsi="Times New Roman"/>
          <w:sz w:val="24"/>
          <w:szCs w:val="24"/>
        </w:rPr>
      </w:pPr>
      <w:r>
        <w:rPr>
          <w:rFonts w:ascii="Times New Roman" w:hAnsi="Times New Roman"/>
          <w:sz w:val="24"/>
          <w:szCs w:val="24"/>
        </w:rPr>
        <w:t>建议项目建成后，建设单位对该工厂进行全面的清洁生产审核工作，建立ISO14000环境管理体系，以进一步提高清洁生产水平。</w:t>
      </w:r>
    </w:p>
    <w:p>
      <w:pPr>
        <w:pStyle w:val="103"/>
        <w:numPr>
          <w:ilvl w:val="0"/>
          <w:numId w:val="0"/>
        </w:numPr>
        <w:rPr>
          <w:rFonts w:ascii="Times New Roman" w:hAnsi="Times New Roman"/>
          <w:b w:val="0"/>
          <w:bCs/>
          <w:kern w:val="28"/>
          <w:sz w:val="32"/>
          <w:szCs w:val="32"/>
        </w:rPr>
      </w:pPr>
      <w:bookmarkStart w:id="309" w:name="_Toc9873416"/>
      <w:r>
        <w:rPr>
          <w:rFonts w:ascii="Times New Roman" w:hAnsi="Times New Roman"/>
          <w:b w:val="0"/>
          <w:bCs/>
          <w:kern w:val="28"/>
          <w:sz w:val="32"/>
          <w:szCs w:val="32"/>
        </w:rPr>
        <w:t>7.2　总量控制</w:t>
      </w:r>
      <w:bookmarkEnd w:id="309"/>
    </w:p>
    <w:p>
      <w:pPr>
        <w:ind w:firstLine="480" w:firstLineChars="200"/>
        <w:rPr>
          <w:rFonts w:ascii="Times New Roman" w:hAnsi="Times New Roman" w:eastAsiaTheme="minorEastAsia"/>
          <w:sz w:val="24"/>
          <w:szCs w:val="24"/>
        </w:rPr>
      </w:pPr>
      <w:r>
        <w:rPr>
          <w:rFonts w:ascii="Times New Roman" w:hAnsi="Times New Roman" w:eastAsiaTheme="minorEastAsia"/>
          <w:sz w:val="24"/>
          <w:szCs w:val="24"/>
        </w:rPr>
        <w:t>污染物总量控制是环境保护工作的重点，是“一控双达标”的重要组成部分。污染物总量控制是针对污染物排放浓度控制的不足而提出的。排放浓度控制是从污染源出发的，它是对污染源的环境性能的一种描述和评价指标。其缺点是与环境质量之间联系不紧密，往往排放浓度达标而环境质量却在恶化。为此提出了污染物排放总量控制的概念，它由环境反推到源，根据环境质量指标和污染排放总量进行污染源的优化与排放总量的分配，为了使总量控制作为一种管理手段具有可操作性，目前采用“环境容量总量控制”的方法。</w:t>
      </w:r>
    </w:p>
    <w:p>
      <w:pPr>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本项目废气不涉及总量控制污染物；废水经处理后作为肥料，全部综合利用。因此，根据本项目的排污特征，本次评价不设总量控制指标建议。</w:t>
      </w:r>
    </w:p>
    <w:p>
      <w:pPr>
        <w:pStyle w:val="101"/>
        <w:spacing w:before="780" w:after="780"/>
        <w:rPr>
          <w:rFonts w:ascii="Times New Roman" w:hAnsi="Times New Roman"/>
        </w:rPr>
        <w:sectPr>
          <w:pgSz w:w="11906" w:h="16838"/>
          <w:pgMar w:top="1440" w:right="1800" w:bottom="1440" w:left="1800" w:header="851" w:footer="992" w:gutter="0"/>
          <w:cols w:space="425" w:num="1"/>
          <w:docGrid w:type="lines" w:linePitch="312" w:charSpace="0"/>
        </w:sectPr>
      </w:pPr>
    </w:p>
    <w:p>
      <w:pPr>
        <w:pStyle w:val="101"/>
        <w:spacing w:before="780" w:after="780"/>
        <w:rPr>
          <w:rFonts w:ascii="Times New Roman" w:hAnsi="Times New Roman"/>
        </w:rPr>
      </w:pPr>
      <w:bookmarkStart w:id="310" w:name="_Toc9873417"/>
      <w:r>
        <w:rPr>
          <w:rFonts w:ascii="Times New Roman" w:hAnsi="Times New Roman"/>
        </w:rPr>
        <w:t>第八章  污染防治措施可行性论证</w:t>
      </w:r>
      <w:bookmarkEnd w:id="310"/>
    </w:p>
    <w:p>
      <w:pPr>
        <w:pStyle w:val="103"/>
        <w:numPr>
          <w:ilvl w:val="0"/>
          <w:numId w:val="0"/>
        </w:numPr>
        <w:rPr>
          <w:rFonts w:ascii="Times New Roman" w:hAnsi="Times New Roman"/>
          <w:sz w:val="28"/>
        </w:rPr>
      </w:pPr>
      <w:bookmarkStart w:id="311" w:name="_Toc9873418"/>
      <w:r>
        <w:rPr>
          <w:rFonts w:ascii="Times New Roman" w:hAnsi="Times New Roman"/>
          <w:b w:val="0"/>
          <w:bCs/>
          <w:kern w:val="28"/>
          <w:sz w:val="32"/>
          <w:szCs w:val="32"/>
        </w:rPr>
        <w:t>8.1  施工期环境保护措施</w:t>
      </w:r>
      <w:bookmarkEnd w:id="311"/>
    </w:p>
    <w:p>
      <w:pPr>
        <w:pStyle w:val="108"/>
      </w:pPr>
      <w:bookmarkStart w:id="312" w:name="_Toc9873419"/>
      <w:r>
        <w:t>8.1.1  施工期噪声防治措施</w:t>
      </w:r>
      <w:bookmarkEnd w:id="312"/>
    </w:p>
    <w:p>
      <w:pPr>
        <w:ind w:firstLine="480"/>
        <w:rPr>
          <w:rFonts w:ascii="Times New Roman" w:hAnsi="Times New Roman"/>
          <w:sz w:val="24"/>
          <w:szCs w:val="24"/>
        </w:rPr>
      </w:pPr>
      <w:r>
        <w:rPr>
          <w:rFonts w:ascii="Times New Roman" w:hAnsi="Times New Roman"/>
          <w:sz w:val="24"/>
          <w:szCs w:val="24"/>
        </w:rPr>
        <w:t>为降低施工噪声对周围声环境的影响并尽量减轻区域噪声污染负荷，环评要求项目必须采取有效措施加以控制，在确保场界噪声满足《建筑施工场界环境噪声排放标准》（GB12523-2011）标准的前提下，尽量减轻对环境的影响：</w:t>
      </w:r>
    </w:p>
    <w:p>
      <w:pPr>
        <w:ind w:firstLine="480"/>
        <w:rPr>
          <w:rFonts w:ascii="Times New Roman" w:hAnsi="Times New Roman"/>
          <w:sz w:val="24"/>
          <w:szCs w:val="24"/>
        </w:rPr>
      </w:pPr>
      <w:r>
        <w:rPr>
          <w:rFonts w:ascii="Times New Roman" w:hAnsi="Times New Roman"/>
          <w:sz w:val="24"/>
          <w:szCs w:val="24"/>
        </w:rPr>
        <w:t>（1）合理安排作业时间，严格避免推土机、挖掘机、混凝土搅拌机、电锯和振捣棒等在午间12:00~14:00和夜间22:00~次日6:00施工；根据《中华人民共和国环境噪声污染防治法》和四川省人民政府办公厅《关于在中、高考期间加强噪声污染监督管理工作的通知》（川办函[2001]90号精神，在高考、中考期间停止高噪声施工，尽量不给周围居民的生活和学习带来巨大影响。</w:t>
      </w:r>
    </w:p>
    <w:p>
      <w:pPr>
        <w:ind w:firstLine="480"/>
        <w:rPr>
          <w:rFonts w:ascii="Times New Roman" w:hAnsi="Times New Roman"/>
          <w:sz w:val="24"/>
          <w:szCs w:val="24"/>
        </w:rPr>
      </w:pPr>
      <w:r>
        <w:rPr>
          <w:rFonts w:ascii="Times New Roman" w:hAnsi="Times New Roman"/>
          <w:sz w:val="24"/>
          <w:szCs w:val="24"/>
        </w:rPr>
        <w:t>（2）在设备选型时尽量采用低噪声设备；对噪声较大的设备，采取隔声降噪措施，并尽量选在白天使用。尤其是要严格控制施工机械噪声值在85dB(A)以上的作业（如基础浇注、推土等）。禁止使用国家明令淘汰的产生噪声污染的落后施工工艺和施工机械设备。</w:t>
      </w:r>
    </w:p>
    <w:p>
      <w:pPr>
        <w:ind w:firstLine="480"/>
        <w:rPr>
          <w:rFonts w:ascii="Times New Roman" w:hAnsi="Times New Roman"/>
          <w:sz w:val="24"/>
          <w:szCs w:val="24"/>
        </w:rPr>
      </w:pPr>
      <w:r>
        <w:rPr>
          <w:rFonts w:ascii="Times New Roman" w:hAnsi="Times New Roman"/>
          <w:sz w:val="24"/>
          <w:szCs w:val="24"/>
        </w:rPr>
        <w:t>（3）合理设计施工总平面图。在施工过程中要尽可能将产生高噪声的作业点远离西北侧泉水村农户及南侧现有工程办公区，以有效利用场地的距离衰减作用减小施工噪声对其产生的影响。</w:t>
      </w:r>
    </w:p>
    <w:p>
      <w:pPr>
        <w:ind w:firstLine="480"/>
        <w:rPr>
          <w:rFonts w:ascii="Times New Roman" w:hAnsi="Times New Roman"/>
          <w:sz w:val="24"/>
          <w:szCs w:val="24"/>
        </w:rPr>
      </w:pPr>
      <w:r>
        <w:rPr>
          <w:rFonts w:ascii="Times New Roman" w:hAnsi="Times New Roman"/>
          <w:sz w:val="24"/>
          <w:szCs w:val="24"/>
        </w:rPr>
        <w:t>（4）对于高噪声设备，可加设可移动的简易隔声屏，尽可能减少设备对周围环境的影响；在施工过程中要尽可能将产生高噪声的作业点置于项目北侧中部，远离棠湖中学新校区，通过距离衰减减小施工噪声对其产生的影响；</w:t>
      </w:r>
    </w:p>
    <w:p>
      <w:pPr>
        <w:spacing w:line="500" w:lineRule="exact"/>
        <w:ind w:firstLine="480" w:firstLineChars="200"/>
        <w:rPr>
          <w:rFonts w:ascii="Times New Roman" w:hAnsi="Times New Roman"/>
          <w:sz w:val="24"/>
          <w:szCs w:val="28"/>
        </w:rPr>
      </w:pPr>
      <w:r>
        <w:rPr>
          <w:rFonts w:ascii="Times New Roman" w:hAnsi="Times New Roman"/>
          <w:sz w:val="24"/>
          <w:szCs w:val="24"/>
        </w:rPr>
        <w:t>（5）</w:t>
      </w:r>
      <w:r>
        <w:rPr>
          <w:rFonts w:ascii="Times New Roman" w:hAnsi="Times New Roman"/>
          <w:sz w:val="24"/>
          <w:szCs w:val="28"/>
        </w:rPr>
        <w:t>施工运输路线应尽量避开学校、医院、集中式居民点等环境敏感目标。</w:t>
      </w:r>
    </w:p>
    <w:p>
      <w:pPr>
        <w:ind w:firstLine="480"/>
        <w:rPr>
          <w:rFonts w:ascii="Times New Roman" w:hAnsi="Times New Roman"/>
          <w:sz w:val="24"/>
          <w:szCs w:val="24"/>
        </w:rPr>
      </w:pPr>
      <w:r>
        <w:rPr>
          <w:rFonts w:ascii="Times New Roman" w:hAnsi="Times New Roman"/>
          <w:sz w:val="24"/>
          <w:szCs w:val="24"/>
        </w:rPr>
        <w:t>（6）外购混凝土，不得进行现场搅拌，减少噪声污染。</w:t>
      </w:r>
    </w:p>
    <w:p>
      <w:pPr>
        <w:ind w:firstLine="480"/>
        <w:rPr>
          <w:rFonts w:ascii="Times New Roman" w:hAnsi="Times New Roman"/>
          <w:sz w:val="24"/>
          <w:szCs w:val="24"/>
        </w:rPr>
      </w:pPr>
      <w:r>
        <w:rPr>
          <w:rFonts w:ascii="Times New Roman" w:hAnsi="Times New Roman"/>
          <w:sz w:val="24"/>
          <w:szCs w:val="24"/>
        </w:rPr>
        <w:t>（7）在室内施工时期，安装时的切割等高噪声作业时，须密闭施工，关闭窗户，并做到文明施工。</w:t>
      </w:r>
    </w:p>
    <w:p>
      <w:pPr>
        <w:ind w:firstLine="480"/>
        <w:rPr>
          <w:rFonts w:ascii="Times New Roman" w:hAnsi="Times New Roman"/>
          <w:sz w:val="24"/>
          <w:szCs w:val="24"/>
        </w:rPr>
      </w:pPr>
      <w:r>
        <w:rPr>
          <w:rFonts w:ascii="Times New Roman" w:hAnsi="Times New Roman"/>
          <w:sz w:val="24"/>
          <w:szCs w:val="24"/>
        </w:rPr>
        <w:t>（8）加强施工作业人员管理和教育，施工中减少不必要的金属敲击声。</w:t>
      </w:r>
    </w:p>
    <w:p>
      <w:pPr>
        <w:ind w:firstLine="480"/>
        <w:rPr>
          <w:rFonts w:ascii="Times New Roman" w:hAnsi="Times New Roman"/>
          <w:sz w:val="24"/>
          <w:szCs w:val="24"/>
        </w:rPr>
      </w:pPr>
      <w:r>
        <w:rPr>
          <w:rFonts w:ascii="Times New Roman" w:hAnsi="Times New Roman"/>
          <w:sz w:val="24"/>
          <w:szCs w:val="24"/>
        </w:rPr>
        <w:t>（9）合理进行工期安排，尽量缩短施工时间。</w:t>
      </w:r>
    </w:p>
    <w:p>
      <w:pPr>
        <w:ind w:firstLine="480"/>
        <w:rPr>
          <w:rFonts w:ascii="Times New Roman" w:hAnsi="Times New Roman"/>
          <w:sz w:val="24"/>
          <w:szCs w:val="24"/>
        </w:rPr>
      </w:pPr>
      <w:r>
        <w:rPr>
          <w:rFonts w:ascii="Times New Roman" w:hAnsi="Times New Roman"/>
          <w:sz w:val="24"/>
          <w:szCs w:val="24"/>
        </w:rPr>
        <w:t>（10）项目开工前应该在上述敏感点张贴公告，告知相关人员，使他们有所准备。</w:t>
      </w:r>
    </w:p>
    <w:p>
      <w:pPr>
        <w:ind w:firstLine="480"/>
        <w:rPr>
          <w:rFonts w:ascii="Times New Roman" w:hAnsi="Times New Roman"/>
          <w:sz w:val="24"/>
          <w:szCs w:val="24"/>
        </w:rPr>
      </w:pPr>
      <w:r>
        <w:rPr>
          <w:rFonts w:ascii="Times New Roman" w:hAnsi="Times New Roman"/>
          <w:sz w:val="24"/>
          <w:szCs w:val="24"/>
        </w:rPr>
        <w:t>（11）环评建议，施工期间由施工单位和业主单位组成环境管理部门，加强施工期环境管理，对环保设施、设备进行日常的监控和维护工作，并作好记录存档。以确保各类设备，特别是环保设备正常运行。</w:t>
      </w:r>
    </w:p>
    <w:p>
      <w:pPr>
        <w:spacing w:line="500" w:lineRule="exact"/>
        <w:ind w:firstLine="482" w:firstLineChars="200"/>
        <w:rPr>
          <w:rFonts w:ascii="Times New Roman" w:hAnsi="Times New Roman"/>
          <w:sz w:val="24"/>
          <w:szCs w:val="28"/>
        </w:rPr>
      </w:pPr>
      <w:r>
        <w:rPr>
          <w:rFonts w:ascii="Times New Roman" w:hAnsi="Times New Roman"/>
          <w:b/>
          <w:sz w:val="24"/>
          <w:szCs w:val="24"/>
        </w:rPr>
        <w:t>项目在严格按照上述建议采取隔声降噪措施并进行严格管理前提下，施工噪声对声环境的影响可降至可接受的程度，上述噪声防治措施可行。</w:t>
      </w:r>
    </w:p>
    <w:p>
      <w:pPr>
        <w:pStyle w:val="108"/>
      </w:pPr>
      <w:bookmarkStart w:id="313" w:name="_Toc9873420"/>
      <w:r>
        <w:t>8.1.2  施工期环境空气保护措施</w:t>
      </w:r>
      <w:bookmarkEnd w:id="313"/>
    </w:p>
    <w:p>
      <w:pPr>
        <w:spacing w:line="500" w:lineRule="exact"/>
        <w:ind w:firstLine="482" w:firstLineChars="200"/>
        <w:rPr>
          <w:rFonts w:ascii="Times New Roman" w:hAnsi="Times New Roman"/>
          <w:b/>
          <w:bCs/>
          <w:sz w:val="24"/>
        </w:rPr>
      </w:pPr>
      <w:r>
        <w:rPr>
          <w:rFonts w:ascii="Times New Roman" w:hAnsi="Times New Roman"/>
          <w:b/>
          <w:bCs/>
          <w:sz w:val="24"/>
        </w:rPr>
        <w:t>1、施工扬尘防治措施</w:t>
      </w:r>
    </w:p>
    <w:p>
      <w:pPr>
        <w:spacing w:line="500" w:lineRule="exact"/>
        <w:ind w:firstLine="480" w:firstLineChars="200"/>
        <w:rPr>
          <w:rFonts w:ascii="Times New Roman" w:hAnsi="Times New Roman"/>
          <w:sz w:val="24"/>
          <w:szCs w:val="24"/>
        </w:rPr>
      </w:pPr>
      <w:r>
        <w:rPr>
          <w:rFonts w:ascii="Times New Roman" w:hAnsi="Times New Roman"/>
          <w:sz w:val="24"/>
          <w:szCs w:val="24"/>
        </w:rPr>
        <w:t>施工期扬尘应采取如下防治措施：</w:t>
      </w:r>
    </w:p>
    <w:p>
      <w:pPr>
        <w:spacing w:line="500" w:lineRule="exact"/>
        <w:ind w:firstLine="480" w:firstLineChars="200"/>
        <w:rPr>
          <w:rFonts w:ascii="Times New Roman" w:hAnsi="Times New Roman"/>
          <w:b/>
          <w:bCs/>
          <w:sz w:val="24"/>
        </w:rPr>
      </w:pPr>
      <w:r>
        <w:rPr>
          <w:rFonts w:ascii="Times New Roman" w:hAnsi="Times New Roman"/>
          <w:sz w:val="24"/>
          <w:szCs w:val="24"/>
        </w:rPr>
        <w:t>（1）施工单位必须严格按照</w:t>
      </w:r>
      <w:r>
        <w:rPr>
          <w:rFonts w:ascii="Times New Roman" w:hAnsi="Times New Roman"/>
          <w:b/>
          <w:sz w:val="24"/>
          <w:szCs w:val="24"/>
        </w:rPr>
        <w:t>《四川省人民政府办公厅关于加强灰霾污染防治的通知》（川办发[2013]32号）、《四川省灰霾污染防治实施方案》的通知（川环发〔2013〕78号）、《四川省灰霾污染防治办法》（四川省人民政府令第288号）、《成都市城市扬尘污染防治管理暂行规定》（成都市人民政府令第86 号）和《成都市人民政府办公厅转发市城管局等部门关于进一步加强扬尘治理工作实施意见的通知》（成办函[2008]19 号）</w:t>
      </w:r>
      <w:r>
        <w:rPr>
          <w:rFonts w:ascii="Times New Roman" w:hAnsi="Times New Roman"/>
          <w:sz w:val="24"/>
          <w:szCs w:val="24"/>
        </w:rPr>
        <w:t>有关规定落实扬尘防治措施。全面督查建设工地现场管理“六必须”、“六不准”执行情况，即：必须打围作业、必须硬化道路、必须设置冲洗设施、必须湿法作业、必须配齐保洁人员、必须定时清扫施工现场；不准露天搅拌混凝土、不准车辆带泥出门，不准运渣车辆超载、冒载，不准高空抛撒建渣、不准场地积水、不准现场焚烧废弃物。在项目开工前，建设单位与施工单位应向建设、环保等部门分别提交扬尘污染防治方案与具体实施方案，并将扬尘污染防治纳入工程监理范围，扬尘污染防治费用纳入工程预算。</w:t>
      </w:r>
    </w:p>
    <w:p>
      <w:pPr>
        <w:ind w:firstLine="480"/>
        <w:jc w:val="left"/>
        <w:rPr>
          <w:rFonts w:ascii="Times New Roman" w:hAnsi="Times New Roman"/>
          <w:sz w:val="24"/>
          <w:szCs w:val="24"/>
        </w:rPr>
      </w:pPr>
      <w:r>
        <w:rPr>
          <w:rFonts w:ascii="Times New Roman" w:hAnsi="Times New Roman"/>
          <w:sz w:val="24"/>
          <w:szCs w:val="24"/>
        </w:rPr>
        <w:t>另外，对于重污染天气下，业主及施工单位还应严格落实</w:t>
      </w:r>
      <w:r>
        <w:rPr>
          <w:rFonts w:ascii="Times New Roman" w:hAnsi="Times New Roman"/>
          <w:b/>
          <w:sz w:val="24"/>
          <w:szCs w:val="24"/>
        </w:rPr>
        <w:t>《大气污染防治行动计划》(国发〔2013〕37 号)、《四川省重污染天气应急预案（2018年修订）》（川办函〔2018〕10号）和《成都市人民政府办公厅关于印发&lt;成都市重污染天气应急预案（2017年修订）&gt;》的通知（成办发〔2017〕42 号）中的相关要求</w:t>
      </w:r>
      <w:r>
        <w:rPr>
          <w:rFonts w:ascii="Times New Roman" w:hAnsi="Times New Roman"/>
          <w:sz w:val="24"/>
          <w:szCs w:val="24"/>
        </w:rPr>
        <w:t>，做好重污染天气状况下施工场地扬尘应急减排措施。成都市辖区内出现或可能出现重污染天气的应急处置如下：</w:t>
      </w:r>
    </w:p>
    <w:p>
      <w:pPr>
        <w:ind w:firstLine="482"/>
        <w:jc w:val="left"/>
        <w:rPr>
          <w:rFonts w:ascii="Times New Roman" w:hAnsi="Times New Roman"/>
          <w:sz w:val="24"/>
          <w:szCs w:val="24"/>
        </w:rPr>
      </w:pPr>
      <w:r>
        <w:rPr>
          <w:rFonts w:ascii="Times New Roman" w:hAnsi="Times New Roman"/>
          <w:b/>
          <w:sz w:val="24"/>
          <w:szCs w:val="24"/>
        </w:rPr>
        <w:t>A、蓝色预警</w:t>
      </w:r>
      <w:r>
        <w:rPr>
          <w:rFonts w:ascii="Times New Roman" w:hAnsi="Times New Roman"/>
          <w:sz w:val="24"/>
          <w:szCs w:val="24"/>
        </w:rPr>
        <w:t>：预测PM</w:t>
      </w:r>
      <w:r>
        <w:rPr>
          <w:rFonts w:ascii="Times New Roman" w:hAnsi="Times New Roman"/>
          <w:sz w:val="24"/>
          <w:szCs w:val="24"/>
          <w:vertAlign w:val="subscript"/>
        </w:rPr>
        <w:t>2.5</w:t>
      </w:r>
      <w:r>
        <w:rPr>
          <w:rFonts w:ascii="Times New Roman" w:hAnsi="Times New Roman"/>
          <w:sz w:val="24"/>
          <w:szCs w:val="24"/>
        </w:rPr>
        <w:t>浓度＞115ug/m</w:t>
      </w:r>
      <w:r>
        <w:rPr>
          <w:rFonts w:ascii="Times New Roman" w:hAnsi="Times New Roman"/>
          <w:sz w:val="24"/>
          <w:szCs w:val="24"/>
          <w:vertAlign w:val="superscript"/>
        </w:rPr>
        <w:t>3</w:t>
      </w:r>
      <w:r>
        <w:rPr>
          <w:rFonts w:ascii="Times New Roman" w:hAnsi="Times New Roman"/>
          <w:sz w:val="24"/>
          <w:szCs w:val="24"/>
        </w:rPr>
        <w:t>将持续24h及以上，且未达到高级别预警条件。</w:t>
      </w:r>
    </w:p>
    <w:p>
      <w:pPr>
        <w:ind w:firstLine="482"/>
        <w:jc w:val="left"/>
        <w:rPr>
          <w:rFonts w:ascii="Times New Roman" w:hAnsi="Times New Roman"/>
          <w:sz w:val="24"/>
          <w:szCs w:val="24"/>
        </w:rPr>
      </w:pPr>
      <w:r>
        <w:rPr>
          <w:rFonts w:ascii="Times New Roman" w:hAnsi="Times New Roman"/>
          <w:b/>
          <w:sz w:val="24"/>
          <w:szCs w:val="24"/>
        </w:rPr>
        <w:t>污染减排倡议措施：</w:t>
      </w:r>
      <w:r>
        <w:rPr>
          <w:rFonts w:ascii="Times New Roman" w:hAnsi="Times New Roman"/>
          <w:sz w:val="24"/>
          <w:szCs w:val="24"/>
        </w:rPr>
        <w:t>加大施工工地、裸露地面、物料堆放等扬尘控制力度。</w:t>
      </w:r>
    </w:p>
    <w:p>
      <w:pPr>
        <w:ind w:firstLine="482"/>
        <w:jc w:val="left"/>
        <w:rPr>
          <w:rFonts w:ascii="Times New Roman" w:hAnsi="Times New Roman"/>
          <w:sz w:val="24"/>
          <w:szCs w:val="24"/>
        </w:rPr>
      </w:pPr>
      <w:r>
        <w:rPr>
          <w:rFonts w:ascii="Times New Roman" w:hAnsi="Times New Roman"/>
          <w:b/>
          <w:sz w:val="24"/>
          <w:szCs w:val="24"/>
        </w:rPr>
        <w:t>B、黄色预警</w:t>
      </w:r>
      <w:r>
        <w:rPr>
          <w:rFonts w:ascii="Times New Roman" w:hAnsi="Times New Roman"/>
          <w:sz w:val="24"/>
          <w:szCs w:val="24"/>
        </w:rPr>
        <w:t>：预测PM</w:t>
      </w:r>
      <w:r>
        <w:rPr>
          <w:rFonts w:ascii="Times New Roman" w:hAnsi="Times New Roman"/>
          <w:sz w:val="24"/>
          <w:szCs w:val="24"/>
          <w:vertAlign w:val="subscript"/>
        </w:rPr>
        <w:t>2.5</w:t>
      </w:r>
      <w:r>
        <w:rPr>
          <w:rFonts w:ascii="Times New Roman" w:hAnsi="Times New Roman"/>
          <w:sz w:val="24"/>
          <w:szCs w:val="24"/>
        </w:rPr>
        <w:t>浓度＞115ug/m</w:t>
      </w:r>
      <w:r>
        <w:rPr>
          <w:rFonts w:ascii="Times New Roman" w:hAnsi="Times New Roman"/>
          <w:sz w:val="24"/>
          <w:szCs w:val="24"/>
          <w:vertAlign w:val="superscript"/>
        </w:rPr>
        <w:t>3</w:t>
      </w:r>
      <w:r>
        <w:rPr>
          <w:rFonts w:ascii="Times New Roman" w:hAnsi="Times New Roman"/>
          <w:sz w:val="24"/>
          <w:szCs w:val="24"/>
        </w:rPr>
        <w:t>将持续48h及以上，且未达到高级别预警条件。</w:t>
      </w:r>
    </w:p>
    <w:p>
      <w:pPr>
        <w:ind w:firstLine="482"/>
        <w:jc w:val="left"/>
        <w:rPr>
          <w:rFonts w:ascii="Times New Roman" w:hAnsi="Times New Roman"/>
          <w:sz w:val="24"/>
          <w:szCs w:val="24"/>
        </w:rPr>
      </w:pPr>
      <w:r>
        <w:rPr>
          <w:rFonts w:ascii="Times New Roman" w:hAnsi="Times New Roman"/>
          <w:b/>
          <w:sz w:val="24"/>
          <w:szCs w:val="24"/>
        </w:rPr>
        <w:t>污染减排倡议措施：</w:t>
      </w:r>
      <w:r>
        <w:rPr>
          <w:rFonts w:ascii="Times New Roman" w:hAnsi="Times New Roman"/>
          <w:sz w:val="24"/>
          <w:szCs w:val="24"/>
        </w:rPr>
        <w:t>加大施工工地、裸露地面、物料堆放等扬尘控制力度。</w:t>
      </w:r>
    </w:p>
    <w:p>
      <w:pPr>
        <w:ind w:firstLine="482"/>
        <w:jc w:val="left"/>
        <w:rPr>
          <w:rFonts w:ascii="Times New Roman" w:hAnsi="Times New Roman"/>
          <w:sz w:val="24"/>
          <w:szCs w:val="24"/>
        </w:rPr>
      </w:pPr>
      <w:r>
        <w:rPr>
          <w:rFonts w:ascii="Times New Roman" w:hAnsi="Times New Roman"/>
          <w:b/>
          <w:sz w:val="24"/>
          <w:szCs w:val="24"/>
        </w:rPr>
        <w:t>污染减排强制措施：</w:t>
      </w:r>
      <w:r>
        <w:rPr>
          <w:rFonts w:ascii="Times New Roman" w:hAnsi="Times New Roman"/>
          <w:sz w:val="24"/>
          <w:szCs w:val="24"/>
        </w:rPr>
        <w:t>中心城区、郊区新城建成区：a.停止室外产生扬尘和挥发性有机物的喷涂、粉刷、切割、建筑拆除作业；停止除市政府批准的重点工程及应急工程外其他施工工地土石方作业（包括开挖、回填、场内倒运）；停止建筑工程配套道路和管沟开挖作业。b.建筑垃圾运输车辆以及运输煤炭、砂石（砖）、水泥等易产生扬尘的运输车辆全体24小时禁止通行。</w:t>
      </w:r>
    </w:p>
    <w:p>
      <w:pPr>
        <w:ind w:firstLine="482"/>
        <w:jc w:val="left"/>
        <w:rPr>
          <w:rFonts w:ascii="Times New Roman" w:hAnsi="Times New Roman"/>
          <w:sz w:val="24"/>
          <w:szCs w:val="24"/>
        </w:rPr>
      </w:pPr>
      <w:r>
        <w:rPr>
          <w:rFonts w:ascii="Times New Roman" w:hAnsi="Times New Roman"/>
          <w:b/>
          <w:sz w:val="24"/>
          <w:szCs w:val="24"/>
        </w:rPr>
        <w:t>C、橙色预警：</w:t>
      </w:r>
      <w:r>
        <w:rPr>
          <w:rFonts w:ascii="Times New Roman" w:hAnsi="Times New Roman"/>
          <w:sz w:val="24"/>
          <w:szCs w:val="24"/>
        </w:rPr>
        <w:t>预测PM</w:t>
      </w:r>
      <w:r>
        <w:rPr>
          <w:rFonts w:ascii="Times New Roman" w:hAnsi="Times New Roman"/>
          <w:sz w:val="24"/>
          <w:szCs w:val="24"/>
          <w:vertAlign w:val="subscript"/>
        </w:rPr>
        <w:t>2.5</w:t>
      </w:r>
      <w:r>
        <w:rPr>
          <w:rFonts w:ascii="Times New Roman" w:hAnsi="Times New Roman"/>
          <w:sz w:val="24"/>
          <w:szCs w:val="24"/>
        </w:rPr>
        <w:t>浓度＞115ug/m</w:t>
      </w:r>
      <w:r>
        <w:rPr>
          <w:rFonts w:ascii="Times New Roman" w:hAnsi="Times New Roman"/>
          <w:sz w:val="24"/>
          <w:szCs w:val="24"/>
          <w:vertAlign w:val="superscript"/>
        </w:rPr>
        <w:t>3</w:t>
      </w:r>
      <w:r>
        <w:rPr>
          <w:rFonts w:ascii="Times New Roman" w:hAnsi="Times New Roman"/>
          <w:sz w:val="24"/>
          <w:szCs w:val="24"/>
        </w:rPr>
        <w:t>将持续72h及以上，且PM</w:t>
      </w:r>
      <w:r>
        <w:rPr>
          <w:rFonts w:ascii="Times New Roman" w:hAnsi="Times New Roman"/>
          <w:sz w:val="24"/>
          <w:szCs w:val="24"/>
          <w:vertAlign w:val="subscript"/>
        </w:rPr>
        <w:t>2.5</w:t>
      </w:r>
      <w:r>
        <w:rPr>
          <w:rFonts w:ascii="Times New Roman" w:hAnsi="Times New Roman"/>
          <w:sz w:val="24"/>
          <w:szCs w:val="24"/>
        </w:rPr>
        <w:t>浓度＞150ug/m</w:t>
      </w:r>
      <w:r>
        <w:rPr>
          <w:rFonts w:ascii="Times New Roman" w:hAnsi="Times New Roman"/>
          <w:sz w:val="24"/>
          <w:szCs w:val="24"/>
          <w:vertAlign w:val="superscript"/>
        </w:rPr>
        <w:t>3</w:t>
      </w:r>
      <w:r>
        <w:rPr>
          <w:rFonts w:ascii="Times New Roman" w:hAnsi="Times New Roman"/>
          <w:sz w:val="24"/>
          <w:szCs w:val="24"/>
        </w:rPr>
        <w:t>将持续24h及以上，且未达到高级别预警条件。</w:t>
      </w:r>
    </w:p>
    <w:p>
      <w:pPr>
        <w:ind w:firstLine="482"/>
        <w:jc w:val="left"/>
        <w:rPr>
          <w:rFonts w:ascii="Times New Roman" w:hAnsi="Times New Roman"/>
          <w:sz w:val="24"/>
          <w:szCs w:val="24"/>
        </w:rPr>
      </w:pPr>
      <w:r>
        <w:rPr>
          <w:rFonts w:ascii="Times New Roman" w:hAnsi="Times New Roman"/>
          <w:b/>
          <w:sz w:val="24"/>
          <w:szCs w:val="24"/>
        </w:rPr>
        <w:t>污染减排倡议措施：</w:t>
      </w:r>
      <w:r>
        <w:rPr>
          <w:rFonts w:ascii="Times New Roman" w:hAnsi="Times New Roman"/>
          <w:sz w:val="24"/>
          <w:szCs w:val="24"/>
        </w:rPr>
        <w:t>加大施工工地、裸露地面、物料堆放等扬尘控制力度。</w:t>
      </w:r>
    </w:p>
    <w:p>
      <w:pPr>
        <w:ind w:firstLine="482"/>
        <w:jc w:val="left"/>
        <w:rPr>
          <w:rFonts w:ascii="Times New Roman" w:hAnsi="Times New Roman"/>
          <w:sz w:val="24"/>
          <w:szCs w:val="24"/>
        </w:rPr>
      </w:pPr>
      <w:r>
        <w:rPr>
          <w:rFonts w:ascii="Times New Roman" w:hAnsi="Times New Roman"/>
          <w:b/>
          <w:sz w:val="24"/>
          <w:szCs w:val="24"/>
        </w:rPr>
        <w:t xml:space="preserve">污染减排强制措施： </w:t>
      </w:r>
      <w:r>
        <w:rPr>
          <w:rFonts w:ascii="Times New Roman" w:hAnsi="Times New Roman"/>
          <w:sz w:val="24"/>
          <w:szCs w:val="24"/>
        </w:rPr>
        <w:t>a. 全城范围内：停止室外产生扬尘和挥发性有机物的喷涂、粉刷、切割、建筑拆除作业；停止除市政府批准的重点工程及应急工程外其他施工工地土石方作业（包括开挖、回填、场内倒运）；停止建筑工程配套道路和管沟开挖作业。b. 中心城区、郊区新城建成区：以柴油为燃料的非道路工程机械（市政府批准的重点工程及应急工程除外）停止使用；建筑垃圾运输车辆以及运输煤炭、砂石（砖）、水泥等易产生扬尘的运输车辆全体24小时禁止通行。</w:t>
      </w:r>
    </w:p>
    <w:p>
      <w:pPr>
        <w:ind w:firstLine="482"/>
        <w:jc w:val="left"/>
        <w:rPr>
          <w:rFonts w:ascii="Times New Roman" w:hAnsi="Times New Roman"/>
          <w:sz w:val="24"/>
          <w:szCs w:val="24"/>
        </w:rPr>
      </w:pPr>
      <w:r>
        <w:rPr>
          <w:rFonts w:ascii="Times New Roman" w:hAnsi="Times New Roman"/>
          <w:b/>
          <w:sz w:val="24"/>
          <w:szCs w:val="24"/>
        </w:rPr>
        <w:t>D、红色预警：</w:t>
      </w:r>
      <w:r>
        <w:rPr>
          <w:rFonts w:ascii="Times New Roman" w:hAnsi="Times New Roman"/>
          <w:sz w:val="24"/>
          <w:szCs w:val="24"/>
        </w:rPr>
        <w:t>预测PM</w:t>
      </w:r>
      <w:r>
        <w:rPr>
          <w:rFonts w:ascii="Times New Roman" w:hAnsi="Times New Roman"/>
          <w:sz w:val="24"/>
          <w:szCs w:val="24"/>
          <w:vertAlign w:val="subscript"/>
        </w:rPr>
        <w:t>2.5</w:t>
      </w:r>
      <w:r>
        <w:rPr>
          <w:rFonts w:ascii="Times New Roman" w:hAnsi="Times New Roman"/>
          <w:sz w:val="24"/>
          <w:szCs w:val="24"/>
        </w:rPr>
        <w:t>浓度＞115ug/m</w:t>
      </w:r>
      <w:r>
        <w:rPr>
          <w:rFonts w:ascii="Times New Roman" w:hAnsi="Times New Roman"/>
          <w:sz w:val="24"/>
          <w:szCs w:val="24"/>
          <w:vertAlign w:val="superscript"/>
        </w:rPr>
        <w:t>3</w:t>
      </w:r>
      <w:r>
        <w:rPr>
          <w:rFonts w:ascii="Times New Roman" w:hAnsi="Times New Roman"/>
          <w:sz w:val="24"/>
          <w:szCs w:val="24"/>
        </w:rPr>
        <w:t>将持续72h及以上，且PM</w:t>
      </w:r>
      <w:r>
        <w:rPr>
          <w:rFonts w:ascii="Times New Roman" w:hAnsi="Times New Roman"/>
          <w:sz w:val="24"/>
          <w:szCs w:val="24"/>
          <w:vertAlign w:val="subscript"/>
        </w:rPr>
        <w:t>2.5</w:t>
      </w:r>
      <w:r>
        <w:rPr>
          <w:rFonts w:ascii="Times New Roman" w:hAnsi="Times New Roman"/>
          <w:sz w:val="24"/>
          <w:szCs w:val="24"/>
        </w:rPr>
        <w:t>浓度＞250ug/m</w:t>
      </w:r>
      <w:r>
        <w:rPr>
          <w:rFonts w:ascii="Times New Roman" w:hAnsi="Times New Roman"/>
          <w:sz w:val="24"/>
          <w:szCs w:val="24"/>
          <w:vertAlign w:val="superscript"/>
        </w:rPr>
        <w:t>3</w:t>
      </w:r>
      <w:r>
        <w:rPr>
          <w:rFonts w:ascii="Times New Roman" w:hAnsi="Times New Roman"/>
          <w:sz w:val="24"/>
          <w:szCs w:val="24"/>
        </w:rPr>
        <w:t>将持续24h及以上；或预测PM</w:t>
      </w:r>
      <w:r>
        <w:rPr>
          <w:rFonts w:ascii="Times New Roman" w:hAnsi="Times New Roman"/>
          <w:sz w:val="24"/>
          <w:szCs w:val="24"/>
          <w:vertAlign w:val="subscript"/>
        </w:rPr>
        <w:t>2.5</w:t>
      </w:r>
      <w:r>
        <w:rPr>
          <w:rFonts w:ascii="Times New Roman" w:hAnsi="Times New Roman"/>
          <w:sz w:val="24"/>
          <w:szCs w:val="24"/>
        </w:rPr>
        <w:t>浓度＞350ug/m</w:t>
      </w:r>
      <w:r>
        <w:rPr>
          <w:rFonts w:ascii="Times New Roman" w:hAnsi="Times New Roman"/>
          <w:sz w:val="24"/>
          <w:szCs w:val="24"/>
          <w:vertAlign w:val="superscript"/>
        </w:rPr>
        <w:t>3</w:t>
      </w:r>
      <w:r>
        <w:rPr>
          <w:rFonts w:ascii="Times New Roman" w:hAnsi="Times New Roman"/>
          <w:sz w:val="24"/>
          <w:szCs w:val="24"/>
        </w:rPr>
        <w:t>将持续6h及以上；或监测PM</w:t>
      </w:r>
      <w:r>
        <w:rPr>
          <w:rFonts w:ascii="Times New Roman" w:hAnsi="Times New Roman"/>
          <w:sz w:val="24"/>
          <w:szCs w:val="24"/>
          <w:vertAlign w:val="subscript"/>
        </w:rPr>
        <w:t>2.5</w:t>
      </w:r>
      <w:r>
        <w:rPr>
          <w:rFonts w:ascii="Times New Roman" w:hAnsi="Times New Roman"/>
          <w:sz w:val="24"/>
          <w:szCs w:val="24"/>
        </w:rPr>
        <w:t>浓度＞350ug/m</w:t>
      </w:r>
      <w:r>
        <w:rPr>
          <w:rFonts w:ascii="Times New Roman" w:hAnsi="Times New Roman"/>
          <w:sz w:val="24"/>
          <w:szCs w:val="24"/>
          <w:vertAlign w:val="superscript"/>
        </w:rPr>
        <w:t>3</w:t>
      </w:r>
      <w:r>
        <w:rPr>
          <w:rFonts w:ascii="Times New Roman" w:hAnsi="Times New Roman"/>
          <w:sz w:val="24"/>
          <w:szCs w:val="24"/>
        </w:rPr>
        <w:t>并持续3h以上。</w:t>
      </w:r>
    </w:p>
    <w:p>
      <w:pPr>
        <w:ind w:firstLine="482"/>
        <w:jc w:val="left"/>
        <w:rPr>
          <w:rFonts w:ascii="Times New Roman" w:hAnsi="Times New Roman"/>
          <w:sz w:val="24"/>
          <w:szCs w:val="24"/>
        </w:rPr>
      </w:pPr>
      <w:r>
        <w:rPr>
          <w:rFonts w:ascii="Times New Roman" w:hAnsi="Times New Roman"/>
          <w:b/>
          <w:sz w:val="24"/>
          <w:szCs w:val="24"/>
        </w:rPr>
        <w:t>污染减排倡议措施：</w:t>
      </w:r>
      <w:r>
        <w:rPr>
          <w:rFonts w:ascii="Times New Roman" w:hAnsi="Times New Roman"/>
          <w:sz w:val="24"/>
          <w:szCs w:val="24"/>
        </w:rPr>
        <w:t>加大施工工地、裸露地面、物料堆放等扬尘控制力度。</w:t>
      </w:r>
    </w:p>
    <w:p>
      <w:pPr>
        <w:ind w:firstLine="482"/>
        <w:jc w:val="left"/>
        <w:rPr>
          <w:rFonts w:ascii="Times New Roman" w:hAnsi="Times New Roman"/>
          <w:sz w:val="24"/>
          <w:szCs w:val="24"/>
        </w:rPr>
      </w:pPr>
      <w:r>
        <w:rPr>
          <w:rFonts w:ascii="Times New Roman" w:hAnsi="Times New Roman"/>
          <w:b/>
          <w:sz w:val="24"/>
          <w:szCs w:val="24"/>
        </w:rPr>
        <w:t>污染减排强制措施：</w:t>
      </w:r>
      <w:r>
        <w:rPr>
          <w:rFonts w:ascii="Times New Roman" w:hAnsi="Times New Roman"/>
          <w:sz w:val="24"/>
          <w:szCs w:val="24"/>
        </w:rPr>
        <w:t>a. 全城范围内：停止室外产生扬尘和挥发性有机物的喷涂、粉刷、切割、建筑拆除作业；停止除市政府批准的重点工程及应急工程外其他施工工地土石方作业（包括开挖、回填、场内倒运）；停止建筑工程配套道路和管沟开挖作业。b. 中心城区、郊区新城建成区：以柴油为燃料的非道路工程机械（市政府批准的重点工程及应急工程除外）停止使用；建筑垃圾运输车辆以及运输煤炭、砂石（砖）、水泥等易产生扬尘的运输车辆全体24小时禁止通行。</w:t>
      </w:r>
    </w:p>
    <w:p>
      <w:pPr>
        <w:ind w:firstLine="480"/>
        <w:jc w:val="left"/>
        <w:rPr>
          <w:rFonts w:ascii="Times New Roman" w:hAnsi="Times New Roman"/>
          <w:sz w:val="24"/>
          <w:szCs w:val="24"/>
        </w:rPr>
      </w:pPr>
      <w:r>
        <w:rPr>
          <w:rFonts w:ascii="Times New Roman" w:hAnsi="Times New Roman"/>
          <w:sz w:val="24"/>
          <w:szCs w:val="24"/>
        </w:rPr>
        <w:t>（2）主要运输道路进行硬化，并使用防尘布覆盖，防止扬尘。所有临时道路均需清洁湿润，并加强管理，使运输车辆尽可能减缓行驶速度。</w:t>
      </w:r>
    </w:p>
    <w:p>
      <w:pPr>
        <w:ind w:firstLine="480"/>
        <w:jc w:val="left"/>
        <w:rPr>
          <w:rFonts w:ascii="Times New Roman" w:hAnsi="Times New Roman"/>
          <w:sz w:val="24"/>
          <w:szCs w:val="24"/>
        </w:rPr>
      </w:pPr>
      <w:r>
        <w:rPr>
          <w:rFonts w:ascii="Times New Roman" w:hAnsi="Times New Roman"/>
          <w:sz w:val="24"/>
          <w:szCs w:val="24"/>
        </w:rPr>
        <w:t>（3）施工中建筑物应用围帘封闭，脚手架在拆除前，先将水平内、脚手板上的垃圾清理干净，清理时应避免扬尘。</w:t>
      </w:r>
    </w:p>
    <w:p>
      <w:pPr>
        <w:ind w:firstLine="480"/>
        <w:jc w:val="left"/>
        <w:rPr>
          <w:rFonts w:ascii="Times New Roman" w:hAnsi="Times New Roman"/>
          <w:sz w:val="24"/>
          <w:szCs w:val="24"/>
        </w:rPr>
      </w:pPr>
      <w:r>
        <w:rPr>
          <w:rFonts w:ascii="Times New Roman" w:hAnsi="Times New Roman"/>
          <w:sz w:val="24"/>
          <w:szCs w:val="24"/>
        </w:rPr>
        <w:t>（4）使用商品混凝土，水泥路易起灰，沥青路易吸附灰尘，建议建设单位实行道路黑化（沥青路），以减少扬尘。</w:t>
      </w:r>
    </w:p>
    <w:p>
      <w:pPr>
        <w:ind w:firstLine="480"/>
        <w:jc w:val="left"/>
        <w:rPr>
          <w:rFonts w:ascii="Times New Roman" w:hAnsi="Times New Roman"/>
          <w:sz w:val="24"/>
          <w:szCs w:val="24"/>
        </w:rPr>
      </w:pPr>
      <w:r>
        <w:rPr>
          <w:rFonts w:ascii="Times New Roman" w:hAnsi="Times New Roman"/>
          <w:sz w:val="24"/>
          <w:szCs w:val="24"/>
        </w:rPr>
        <w:t>（5）环评建议选择对周围环境影响较小的运输路线，利用东侧及南侧村道进入白玉路，尽量远离周边住户；并定时对运输路线进行清扫，运输车辆出场时必须封闭，避免在运输过程中的抛洒现象。</w:t>
      </w:r>
    </w:p>
    <w:p>
      <w:pPr>
        <w:ind w:firstLine="480"/>
        <w:jc w:val="left"/>
        <w:rPr>
          <w:rFonts w:ascii="Times New Roman" w:hAnsi="Times New Roman"/>
          <w:sz w:val="24"/>
          <w:szCs w:val="24"/>
        </w:rPr>
      </w:pPr>
      <w:r>
        <w:rPr>
          <w:rFonts w:ascii="Times New Roman" w:hAnsi="Times New Roman"/>
          <w:sz w:val="24"/>
          <w:szCs w:val="24"/>
        </w:rPr>
        <w:t>（6）建材堆放点要相对集中，并采取一定的防尘措施，抑制扬尘量。</w:t>
      </w:r>
    </w:p>
    <w:p>
      <w:pPr>
        <w:ind w:firstLine="480"/>
        <w:jc w:val="left"/>
        <w:rPr>
          <w:rFonts w:ascii="Times New Roman" w:hAnsi="Times New Roman"/>
          <w:sz w:val="24"/>
          <w:szCs w:val="24"/>
        </w:rPr>
      </w:pPr>
      <w:r>
        <w:rPr>
          <w:rFonts w:ascii="Times New Roman" w:hAnsi="Times New Roman"/>
          <w:sz w:val="24"/>
          <w:szCs w:val="24"/>
        </w:rPr>
        <w:t>（7）在施工场地出口放置防尘垫，设置冲洗池，对运输车辆应用水清洗车体和轮胎。</w:t>
      </w:r>
    </w:p>
    <w:p>
      <w:pPr>
        <w:ind w:firstLine="480"/>
        <w:jc w:val="left"/>
        <w:rPr>
          <w:rFonts w:ascii="Times New Roman" w:hAnsi="Times New Roman"/>
          <w:sz w:val="24"/>
          <w:szCs w:val="24"/>
        </w:rPr>
      </w:pPr>
      <w:r>
        <w:rPr>
          <w:rFonts w:ascii="Times New Roman" w:hAnsi="Times New Roman"/>
          <w:sz w:val="24"/>
          <w:szCs w:val="24"/>
        </w:rPr>
        <w:t>（8）施工场地干燥时适当喷水加湿，在施工场地清理阶段，做到先洒水，后清扫，防止扬尘产生。</w:t>
      </w:r>
    </w:p>
    <w:p>
      <w:pPr>
        <w:spacing w:line="500" w:lineRule="exact"/>
        <w:ind w:firstLine="480" w:firstLineChars="200"/>
        <w:rPr>
          <w:rFonts w:ascii="Times New Roman" w:hAnsi="Times New Roman"/>
          <w:sz w:val="24"/>
        </w:rPr>
      </w:pPr>
      <w:r>
        <w:rPr>
          <w:rFonts w:ascii="Times New Roman" w:hAnsi="Times New Roman"/>
          <w:sz w:val="24"/>
          <w:szCs w:val="24"/>
        </w:rPr>
        <w:t>（9）</w:t>
      </w:r>
      <w:r>
        <w:rPr>
          <w:rFonts w:ascii="Times New Roman" w:hAnsi="Times New Roman"/>
          <w:sz w:val="24"/>
        </w:rPr>
        <w:t>为避免扬尘，建筑垃圾应及时清运，建渣运到指定的建筑垃圾处理场集中处置，挖方直接做本工程厂区回填土。对开挖面及废渣临时堆放点等产尘点适时采取洒水等措施，使其保持湿润状态，减少扬尘的产生。</w:t>
      </w:r>
    </w:p>
    <w:p>
      <w:pPr>
        <w:spacing w:line="500" w:lineRule="exact"/>
        <w:ind w:firstLine="480" w:firstLineChars="200"/>
        <w:rPr>
          <w:rFonts w:ascii="Times New Roman" w:hAnsi="Times New Roman"/>
          <w:bCs/>
          <w:sz w:val="24"/>
        </w:rPr>
      </w:pPr>
      <w:r>
        <w:rPr>
          <w:rFonts w:ascii="Times New Roman" w:hAnsi="Times New Roman"/>
          <w:sz w:val="24"/>
        </w:rPr>
        <w:t>（10）</w:t>
      </w:r>
      <w:r>
        <w:rPr>
          <w:rFonts w:ascii="Times New Roman" w:hAnsi="Times New Roman"/>
          <w:sz w:val="24"/>
          <w:szCs w:val="24"/>
        </w:rPr>
        <w:t>合理安排渣土外运作业时间，避开上下班高峰期。</w:t>
      </w:r>
    </w:p>
    <w:p>
      <w:pPr>
        <w:spacing w:line="500" w:lineRule="exact"/>
        <w:ind w:firstLine="480" w:firstLineChars="200"/>
        <w:rPr>
          <w:rFonts w:ascii="Times New Roman" w:hAnsi="Times New Roman"/>
          <w:sz w:val="24"/>
        </w:rPr>
      </w:pPr>
      <w:r>
        <w:rPr>
          <w:rFonts w:ascii="Times New Roman" w:hAnsi="Times New Roman"/>
          <w:sz w:val="24"/>
        </w:rPr>
        <w:t>（11）加强对施工人员的环保教育，提高全体施工人员的环保意识，坚持文明施工、清洁施工、科学施工、减少施工期的大气污染。</w:t>
      </w:r>
    </w:p>
    <w:p>
      <w:pPr>
        <w:spacing w:line="500" w:lineRule="exact"/>
        <w:ind w:firstLine="482" w:firstLineChars="200"/>
        <w:rPr>
          <w:rFonts w:ascii="Times New Roman" w:hAnsi="Times New Roman"/>
          <w:b/>
          <w:bCs/>
          <w:sz w:val="24"/>
        </w:rPr>
      </w:pPr>
      <w:r>
        <w:rPr>
          <w:rFonts w:ascii="Times New Roman" w:hAnsi="Times New Roman"/>
          <w:b/>
          <w:bCs/>
          <w:sz w:val="24"/>
        </w:rPr>
        <w:t>2、施工机械废气防治措施</w:t>
      </w:r>
    </w:p>
    <w:p>
      <w:pPr>
        <w:tabs>
          <w:tab w:val="left" w:pos="852"/>
          <w:tab w:val="left" w:pos="1012"/>
        </w:tabs>
        <w:autoSpaceDE w:val="0"/>
        <w:autoSpaceDN w:val="0"/>
        <w:ind w:firstLine="480"/>
        <w:jc w:val="left"/>
        <w:rPr>
          <w:rFonts w:ascii="Times New Roman" w:hAnsi="Times New Roman"/>
          <w:sz w:val="24"/>
          <w:szCs w:val="24"/>
          <w:lang w:val="zh-CN"/>
        </w:rPr>
      </w:pPr>
      <w:r>
        <w:rPr>
          <w:rFonts w:ascii="Times New Roman" w:hAnsi="Times New Roman"/>
          <w:sz w:val="24"/>
          <w:szCs w:val="24"/>
          <w:lang w:val="zh-CN"/>
        </w:rPr>
        <w:t>环评要求施工期采取加强机械及运输车辆的维修，禁止尾气排放超标车辆进入场地等措施对机械废气进行控制。</w:t>
      </w:r>
    </w:p>
    <w:p>
      <w:pPr>
        <w:tabs>
          <w:tab w:val="left" w:pos="852"/>
          <w:tab w:val="left" w:pos="1012"/>
        </w:tabs>
        <w:autoSpaceDE w:val="0"/>
        <w:autoSpaceDN w:val="0"/>
        <w:ind w:firstLine="480"/>
        <w:jc w:val="left"/>
        <w:rPr>
          <w:rFonts w:ascii="Times New Roman" w:hAnsi="Times New Roman"/>
          <w:sz w:val="24"/>
          <w:szCs w:val="24"/>
          <w:lang w:val="zh-CN"/>
        </w:rPr>
      </w:pPr>
      <w:r>
        <w:rPr>
          <w:rFonts w:ascii="Times New Roman" w:hAnsi="Times New Roman"/>
          <w:sz w:val="24"/>
          <w:szCs w:val="24"/>
          <w:lang w:val="zh-CN"/>
        </w:rPr>
        <w:t>施工期装饰工程中有机溶剂的挥发废气，应采取如下控制措施：</w:t>
      </w:r>
    </w:p>
    <w:p>
      <w:pPr>
        <w:tabs>
          <w:tab w:val="left" w:pos="852"/>
          <w:tab w:val="left" w:pos="1012"/>
        </w:tabs>
        <w:autoSpaceDE w:val="0"/>
        <w:autoSpaceDN w:val="0"/>
        <w:ind w:firstLine="480"/>
        <w:jc w:val="left"/>
        <w:rPr>
          <w:rFonts w:ascii="Times New Roman" w:hAnsi="Times New Roman"/>
          <w:sz w:val="24"/>
          <w:szCs w:val="24"/>
          <w:lang w:val="zh-CN"/>
        </w:rPr>
      </w:pPr>
      <w:r>
        <w:rPr>
          <w:rFonts w:ascii="Times New Roman" w:hAnsi="Times New Roman"/>
          <w:sz w:val="24"/>
          <w:szCs w:val="24"/>
          <w:lang w:val="zh-CN"/>
        </w:rPr>
        <w:t>（1）采用质量好，有国家有关部门检验合格，有毒有害物质含量少的油漆和涂料材料，严格控制室内甲醛、苯系物等挥发性有机物，使各项指标达到《室内空气质量标准》（GB/T18883-2002）的限值要求。污染对象主要是施工人员，影响时间是短暂的，对施工人员可采取佩戴防护口罩等保护措施，减小有毒有害气体对人体的伤害。</w:t>
      </w:r>
    </w:p>
    <w:p>
      <w:pPr>
        <w:autoSpaceDE w:val="0"/>
        <w:autoSpaceDN w:val="0"/>
        <w:ind w:firstLine="480"/>
        <w:jc w:val="left"/>
        <w:rPr>
          <w:rFonts w:ascii="Times New Roman" w:hAnsi="Times New Roman"/>
          <w:sz w:val="24"/>
          <w:szCs w:val="24"/>
          <w:lang w:val="zh-CN"/>
        </w:rPr>
      </w:pPr>
      <w:r>
        <w:rPr>
          <w:rFonts w:ascii="Times New Roman" w:hAnsi="Times New Roman"/>
          <w:sz w:val="24"/>
          <w:szCs w:val="24"/>
          <w:lang w:val="zh-CN"/>
        </w:rPr>
        <w:t>（2）加强施工管理，最大限度地防止跑、冒、滴、漏现场。</w:t>
      </w:r>
    </w:p>
    <w:p>
      <w:pPr>
        <w:autoSpaceDE w:val="0"/>
        <w:autoSpaceDN w:val="0"/>
        <w:ind w:firstLine="480"/>
        <w:jc w:val="left"/>
        <w:rPr>
          <w:rFonts w:ascii="Times New Roman" w:hAnsi="Times New Roman"/>
          <w:sz w:val="24"/>
          <w:szCs w:val="24"/>
          <w:lang w:val="zh-CN"/>
        </w:rPr>
      </w:pPr>
      <w:r>
        <w:rPr>
          <w:rFonts w:ascii="Times New Roman" w:hAnsi="Times New Roman"/>
          <w:sz w:val="24"/>
          <w:szCs w:val="24"/>
          <w:lang w:val="zh-CN"/>
        </w:rPr>
        <w:t>（3）施工作业空间加强通风，保证空气流通，降低废气污染物的浓度。</w:t>
      </w:r>
    </w:p>
    <w:p>
      <w:pPr>
        <w:autoSpaceDE w:val="0"/>
        <w:autoSpaceDN w:val="0"/>
        <w:ind w:firstLine="480"/>
        <w:jc w:val="left"/>
        <w:rPr>
          <w:rFonts w:ascii="Times New Roman" w:hAnsi="Times New Roman"/>
          <w:sz w:val="24"/>
          <w:szCs w:val="24"/>
          <w:lang w:val="zh-CN"/>
        </w:rPr>
      </w:pPr>
      <w:r>
        <w:rPr>
          <w:rFonts w:ascii="Times New Roman" w:hAnsi="Times New Roman"/>
          <w:sz w:val="24"/>
          <w:szCs w:val="24"/>
          <w:lang w:val="zh-CN"/>
        </w:rPr>
        <w:t>（4）项目施工期结束后，投入营运之前，应先进行室内空气质量检测，达标后方可入住。</w:t>
      </w:r>
    </w:p>
    <w:p>
      <w:pPr>
        <w:spacing w:line="500" w:lineRule="exact"/>
        <w:ind w:firstLine="482" w:firstLineChars="200"/>
        <w:rPr>
          <w:rFonts w:ascii="Times New Roman" w:hAnsi="Times New Roman"/>
          <w:sz w:val="24"/>
        </w:rPr>
      </w:pPr>
      <w:r>
        <w:rPr>
          <w:rFonts w:ascii="Times New Roman" w:hAnsi="Times New Roman"/>
          <w:b/>
          <w:sz w:val="24"/>
          <w:szCs w:val="24"/>
        </w:rPr>
        <w:t>综上，严格采取以上防治措施后，施工期扬尘及废气可以得到有效控制，施工期对区域环境空气质量影响不明显，上述防治措施有效可行。</w:t>
      </w:r>
    </w:p>
    <w:p>
      <w:pPr>
        <w:pStyle w:val="108"/>
      </w:pPr>
      <w:bookmarkStart w:id="314" w:name="_Toc9873421"/>
      <w:r>
        <w:t>8.1.3  施工期水环境保护措施</w:t>
      </w:r>
      <w:bookmarkEnd w:id="314"/>
    </w:p>
    <w:p>
      <w:pPr>
        <w:pStyle w:val="41"/>
        <w:spacing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1、施工废水处理措施</w:t>
      </w:r>
    </w:p>
    <w:p>
      <w:pPr>
        <w:pStyle w:val="46"/>
        <w:ind w:firstLine="480" w:firstLineChars="200"/>
        <w:rPr>
          <w:rFonts w:ascii="Times New Roman" w:hAnsi="Times New Roman" w:cs="Times New Roman"/>
          <w:bCs/>
          <w:sz w:val="24"/>
          <w:szCs w:val="24"/>
        </w:rPr>
      </w:pPr>
      <w:r>
        <w:rPr>
          <w:rFonts w:ascii="Times New Roman" w:hAnsi="Times New Roman" w:cs="Times New Roman"/>
          <w:bCs/>
          <w:sz w:val="24"/>
          <w:szCs w:val="24"/>
        </w:rPr>
        <w:t>施工期现场产生的机械、设备冲洗废水，其中主要含SS，经沉淀、过滤处理后，大部分可综合利用，用于场区洒水降尘以及场地冲洗。对于机械冲洗废水中的石油类，经隔油池处理后循环利用，不排放。</w:t>
      </w:r>
    </w:p>
    <w:p>
      <w:pPr>
        <w:pStyle w:val="46"/>
        <w:ind w:firstLine="480" w:firstLineChars="200"/>
        <w:rPr>
          <w:rFonts w:ascii="Times New Roman" w:hAnsi="Times New Roman" w:cs="Times New Roman"/>
          <w:bCs/>
          <w:sz w:val="24"/>
          <w:szCs w:val="24"/>
        </w:rPr>
      </w:pPr>
      <w:r>
        <w:rPr>
          <w:rFonts w:ascii="Times New Roman" w:hAnsi="Times New Roman" w:cs="Times New Roman"/>
          <w:bCs/>
          <w:sz w:val="24"/>
          <w:szCs w:val="24"/>
        </w:rPr>
        <w:t>根据工程施工布置和结合生产废水特点，采取自然沉降法进行处理且循环利用。处理工艺是利用集水沟汇集施工生产废水，导入预沉池，加絮凝剂，利用土工布吸油，经沉淀后上清液排入沉淀池循环利用，工程施工结束后沉淀池及时回填处理，减少不安全隐患。</w:t>
      </w:r>
    </w:p>
    <w:p>
      <w:pPr>
        <w:ind w:firstLine="480" w:firstLineChars="200"/>
        <w:rPr>
          <w:rFonts w:ascii="Times New Roman" w:hAnsi="Times New Roman" w:eastAsiaTheme="minorEastAsia"/>
          <w:sz w:val="24"/>
          <w:szCs w:val="24"/>
        </w:rPr>
      </w:pPr>
      <w:r>
        <w:rPr>
          <w:rFonts w:ascii="Times New Roman" w:hAnsi="Times New Roman" w:eastAsiaTheme="minorEastAsia"/>
          <w:bCs/>
          <w:sz w:val="24"/>
          <w:szCs w:val="24"/>
        </w:rPr>
        <w:t>由于施工废水处理工艺简单，在使用过程中无机械设备，不需要专人操作管理和维护，但是一旦清运环节出现问题将影响出水水质，所以必须配备一名专职人员负责沉淀池泥浆的清运，同时对土工布进行回收，妥善处置。</w:t>
      </w:r>
    </w:p>
    <w:p>
      <w:pPr>
        <w:pStyle w:val="46"/>
        <w:ind w:firstLine="542" w:firstLineChars="225"/>
        <w:rPr>
          <w:rFonts w:ascii="Times New Roman" w:hAnsi="Times New Roman" w:cs="Times New Roman"/>
          <w:b/>
          <w:sz w:val="24"/>
          <w:szCs w:val="24"/>
        </w:rPr>
      </w:pPr>
      <w:r>
        <w:rPr>
          <w:rFonts w:ascii="Times New Roman" w:hAnsi="Times New Roman" w:cs="Times New Roman"/>
          <w:b/>
          <w:sz w:val="24"/>
          <w:szCs w:val="24"/>
        </w:rPr>
        <w:t>2、生活污水处置措施</w:t>
      </w:r>
    </w:p>
    <w:p>
      <w:pPr>
        <w:pStyle w:val="46"/>
        <w:ind w:firstLine="540" w:firstLineChars="225"/>
        <w:rPr>
          <w:rFonts w:ascii="Times New Roman" w:hAnsi="Times New Roman" w:cs="Times New Roman"/>
          <w:sz w:val="24"/>
          <w:szCs w:val="24"/>
        </w:rPr>
      </w:pPr>
      <w:r>
        <w:rPr>
          <w:rFonts w:ascii="Times New Roman" w:hAnsi="Times New Roman" w:cs="Times New Roman"/>
          <w:sz w:val="24"/>
          <w:szCs w:val="24"/>
        </w:rPr>
        <w:t>本项目一期工程已建成投运，施工人员入厕可依托现有工程公厕，生活废水经一期污水处理设施收集处理后，回用于周边农田不外排，不排放。</w:t>
      </w:r>
    </w:p>
    <w:p>
      <w:pPr>
        <w:pStyle w:val="46"/>
        <w:ind w:firstLine="542" w:firstLineChars="225"/>
        <w:rPr>
          <w:rFonts w:ascii="Times New Roman" w:hAnsi="Times New Roman" w:cs="Times New Roman"/>
          <w:b/>
          <w:sz w:val="24"/>
          <w:szCs w:val="24"/>
        </w:rPr>
      </w:pPr>
      <w:r>
        <w:rPr>
          <w:rFonts w:ascii="Times New Roman" w:hAnsi="Times New Roman" w:cs="Times New Roman"/>
          <w:b/>
          <w:sz w:val="24"/>
          <w:szCs w:val="24"/>
        </w:rPr>
        <w:t>采取上述处置措施后，可有效防治施工废水及施工废水对地表水的影响，措施可行。</w:t>
      </w:r>
    </w:p>
    <w:p>
      <w:pPr>
        <w:pStyle w:val="108"/>
        <w:rPr>
          <w:sz w:val="24"/>
          <w:szCs w:val="28"/>
        </w:rPr>
      </w:pPr>
      <w:bookmarkStart w:id="315" w:name="_Toc9873422"/>
      <w:r>
        <w:t>8.1.4  施工期固体废物防治措施</w:t>
      </w:r>
      <w:bookmarkEnd w:id="315"/>
    </w:p>
    <w:p>
      <w:pPr>
        <w:spacing w:line="500" w:lineRule="exact"/>
        <w:ind w:firstLine="460" w:firstLineChars="192"/>
        <w:rPr>
          <w:rFonts w:ascii="Times New Roman" w:hAnsi="Times New Roman"/>
          <w:sz w:val="24"/>
          <w:szCs w:val="28"/>
        </w:rPr>
      </w:pPr>
      <w:r>
        <w:rPr>
          <w:rFonts w:ascii="Times New Roman" w:hAnsi="Times New Roman"/>
          <w:sz w:val="24"/>
          <w:szCs w:val="28"/>
        </w:rPr>
        <w:t>项目施工过程中产生的固体废物主要是弃土石方、施工建筑废物和生活垃圾，采取的主要防治措施如下：</w:t>
      </w:r>
    </w:p>
    <w:p>
      <w:pPr>
        <w:spacing w:line="500" w:lineRule="exact"/>
        <w:ind w:firstLine="460" w:firstLineChars="192"/>
        <w:rPr>
          <w:rFonts w:ascii="Times New Roman" w:hAnsi="Times New Roman"/>
          <w:sz w:val="24"/>
          <w:szCs w:val="28"/>
        </w:rPr>
      </w:pPr>
      <w:r>
        <w:rPr>
          <w:rFonts w:ascii="Times New Roman" w:hAnsi="Times New Roman"/>
          <w:sz w:val="24"/>
          <w:szCs w:val="28"/>
        </w:rPr>
        <w:t>（1）在施工过程中厂区弃渣土全部用于回填，对不能及时回用临时堆放的弃渣土就地堆放，同时做好相应的拦挡、防护措施，避免和防止造成新的水土流失和环境污染。从本项目区域的现状分析，地貌为平原，弃土可以平衡，不需要设置永久性渣场。</w:t>
      </w:r>
    </w:p>
    <w:p>
      <w:pPr>
        <w:spacing w:line="500" w:lineRule="exact"/>
        <w:ind w:firstLine="480" w:firstLineChars="200"/>
        <w:rPr>
          <w:rFonts w:ascii="Times New Roman" w:hAnsi="Times New Roman"/>
          <w:sz w:val="24"/>
        </w:rPr>
      </w:pPr>
      <w:r>
        <w:rPr>
          <w:rFonts w:ascii="Times New Roman" w:hAnsi="Times New Roman"/>
          <w:sz w:val="24"/>
        </w:rPr>
        <w:t>（2）表土剥离临时堆放在临时堆土区，并用土带挡墙护脚，防雨布覆盖。运输过程中用无纺布遮盖，严禁沿途洒落，并对运输车辆进行清洗避免泥沙污染环境。</w:t>
      </w:r>
    </w:p>
    <w:p>
      <w:pPr>
        <w:spacing w:line="500" w:lineRule="exact"/>
        <w:ind w:firstLine="480" w:firstLineChars="200"/>
        <w:rPr>
          <w:rFonts w:ascii="Times New Roman" w:hAnsi="Times New Roman"/>
          <w:sz w:val="24"/>
        </w:rPr>
      </w:pPr>
      <w:r>
        <w:rPr>
          <w:rFonts w:ascii="Times New Roman" w:hAnsi="Times New Roman"/>
          <w:sz w:val="24"/>
        </w:rPr>
        <w:t>（3）施工期间产生的可回收利用的废料通过分类收集后交废物收购站；对不能回收的建筑废物不能随意倾倒，而应用编织袋包装后堆放在指定地点，由环卫部门统一清运处理。</w:t>
      </w:r>
    </w:p>
    <w:p>
      <w:pPr>
        <w:spacing w:line="500" w:lineRule="exact"/>
        <w:ind w:firstLine="480" w:firstLineChars="200"/>
        <w:rPr>
          <w:rFonts w:ascii="Times New Roman" w:hAnsi="Times New Roman"/>
          <w:sz w:val="24"/>
        </w:rPr>
      </w:pPr>
      <w:r>
        <w:rPr>
          <w:rFonts w:ascii="Times New Roman" w:hAnsi="Times New Roman"/>
          <w:sz w:val="24"/>
        </w:rPr>
        <w:t>（4）项目装修中用到的废弃涂料容器、环氧树脂等属于危险废物，约应单独设置收集并做好防护措施，施工完成后统一交由具有资质的单位。</w:t>
      </w:r>
    </w:p>
    <w:p>
      <w:pPr>
        <w:spacing w:line="500" w:lineRule="exact"/>
        <w:ind w:firstLine="480" w:firstLineChars="200"/>
        <w:rPr>
          <w:rFonts w:ascii="Times New Roman" w:hAnsi="Times New Roman"/>
          <w:sz w:val="24"/>
        </w:rPr>
      </w:pPr>
      <w:r>
        <w:rPr>
          <w:rFonts w:ascii="Times New Roman" w:hAnsi="Times New Roman"/>
          <w:sz w:val="24"/>
        </w:rPr>
        <w:t>（5）施工人员产生的生活垃圾经袋装收集后，由环卫部门统一清运处理。</w:t>
      </w:r>
    </w:p>
    <w:p>
      <w:pPr>
        <w:spacing w:line="500" w:lineRule="exact"/>
        <w:ind w:firstLine="482" w:firstLineChars="200"/>
        <w:rPr>
          <w:rFonts w:ascii="Times New Roman" w:hAnsi="Times New Roman"/>
          <w:b/>
          <w:sz w:val="24"/>
        </w:rPr>
      </w:pPr>
      <w:r>
        <w:rPr>
          <w:rFonts w:ascii="Times New Roman" w:hAnsi="Times New Roman"/>
          <w:b/>
          <w:sz w:val="24"/>
        </w:rPr>
        <w:t>综上所述，项目施工期只要加强环境管理，严格落实以上措施，可将施工固废环境影响降至较低水平。</w:t>
      </w:r>
    </w:p>
    <w:p>
      <w:pPr>
        <w:pStyle w:val="108"/>
      </w:pPr>
      <w:bookmarkStart w:id="316" w:name="_Toc9873423"/>
      <w:r>
        <w:t>8.1.5  水土保持及生态恢复措施</w:t>
      </w:r>
      <w:bookmarkEnd w:id="316"/>
    </w:p>
    <w:p>
      <w:pPr>
        <w:widowControl/>
        <w:adjustRightInd w:val="0"/>
        <w:snapToGrid w:val="0"/>
        <w:spacing w:line="500" w:lineRule="exact"/>
        <w:ind w:firstLine="480" w:firstLineChars="200"/>
        <w:rPr>
          <w:rFonts w:ascii="Times New Roman" w:hAnsi="Times New Roman"/>
          <w:sz w:val="24"/>
        </w:rPr>
      </w:pPr>
      <w:r>
        <w:rPr>
          <w:rFonts w:ascii="Times New Roman" w:hAnsi="Times New Roman"/>
          <w:snapToGrid w:val="0"/>
          <w:kern w:val="0"/>
          <w:sz w:val="24"/>
        </w:rPr>
        <w:t>本项目位于邛崃市冉义镇园林村。经现场踏勘，场址</w:t>
      </w:r>
      <w:r>
        <w:rPr>
          <w:rFonts w:ascii="Times New Roman" w:hAnsi="Times New Roman"/>
          <w:kern w:val="0"/>
          <w:sz w:val="24"/>
        </w:rPr>
        <w:t>地势为平原地貌，无明显起伏。项目占地区域原为多年开发的农业种植区，项目征地范围目前有一些常见农作物及野生灌木，无野生珍稀植被分布。</w:t>
      </w:r>
      <w:r>
        <w:rPr>
          <w:rFonts w:ascii="Times New Roman" w:hAnsi="Times New Roman"/>
          <w:sz w:val="24"/>
        </w:rPr>
        <w:t>本项目建设可能产生的生态影响主要是施工开挖及施工弃渣可能造成的水土流失和植被破坏。项目所在地地势较平坦，挖填方基本平衡，无弃渣。开挖的土石方主要为基础和道路路基开挖；回填土用于场地平整和道路基层铺筑，表土剥离作为绿化用土覆土厚度为30cm，堆放在项目区边缘临时堆土区。</w:t>
      </w:r>
    </w:p>
    <w:p>
      <w:pPr>
        <w:widowControl/>
        <w:adjustRightInd w:val="0"/>
        <w:snapToGrid w:val="0"/>
        <w:spacing w:line="500" w:lineRule="exact"/>
        <w:ind w:firstLine="480" w:firstLineChars="200"/>
        <w:rPr>
          <w:rFonts w:ascii="Times New Roman" w:hAnsi="Times New Roman"/>
          <w:sz w:val="24"/>
        </w:rPr>
      </w:pPr>
      <w:r>
        <w:rPr>
          <w:rFonts w:ascii="Times New Roman" w:hAnsi="Times New Roman"/>
          <w:sz w:val="24"/>
        </w:rPr>
        <w:t>对水土流失的防治主要应做好两个方面的工作：一方面项目在管理上和设计上，要充分考虑到在施工时段和弃渣临时堆场地点的设置及可能产生的影响；另一方面在项目实施时，要落实有关绿化等防范措施，减少可能造成的水土流失。具体要求如下：</w:t>
      </w:r>
    </w:p>
    <w:p>
      <w:pPr>
        <w:spacing w:line="500" w:lineRule="exact"/>
        <w:ind w:firstLine="480" w:firstLineChars="200"/>
        <w:rPr>
          <w:rFonts w:ascii="Times New Roman" w:hAnsi="Times New Roman"/>
          <w:sz w:val="24"/>
        </w:rPr>
      </w:pPr>
      <w:r>
        <w:rPr>
          <w:rFonts w:ascii="Times New Roman" w:hAnsi="Times New Roman"/>
          <w:sz w:val="24"/>
        </w:rPr>
        <w:t>（1）按水土保持有关规定，制定完善的施工计划，合理安排工期，尽量避开雨季施工，减少水土流失。</w:t>
      </w:r>
    </w:p>
    <w:p>
      <w:pPr>
        <w:spacing w:line="500" w:lineRule="exact"/>
        <w:ind w:firstLine="480" w:firstLineChars="200"/>
        <w:rPr>
          <w:rFonts w:ascii="Times New Roman" w:hAnsi="Times New Roman"/>
          <w:sz w:val="24"/>
          <w:szCs w:val="28"/>
        </w:rPr>
      </w:pPr>
      <w:r>
        <w:rPr>
          <w:rFonts w:ascii="Times New Roman" w:hAnsi="Times New Roman"/>
          <w:sz w:val="24"/>
        </w:rPr>
        <w:t>（2）</w:t>
      </w:r>
      <w:r>
        <w:rPr>
          <w:rFonts w:ascii="Times New Roman" w:hAnsi="Times New Roman"/>
          <w:kern w:val="0"/>
          <w:sz w:val="24"/>
        </w:rPr>
        <w:t>施工期不会产生多余弃土，可实现挖填方平衡。</w:t>
      </w:r>
      <w:r>
        <w:rPr>
          <w:rFonts w:ascii="Times New Roman" w:hAnsi="Times New Roman"/>
          <w:sz w:val="24"/>
        </w:rPr>
        <w:t>工程施工中，局部区域尽量做到挖填平衡，减少</w:t>
      </w:r>
      <w:r>
        <w:rPr>
          <w:rFonts w:ascii="Times New Roman" w:hAnsi="Times New Roman"/>
          <w:sz w:val="24"/>
          <w:szCs w:val="28"/>
        </w:rPr>
        <w:t>挖土在厂内的堆放时间，</w:t>
      </w:r>
      <w:r>
        <w:rPr>
          <w:rFonts w:ascii="Times New Roman" w:hAnsi="Times New Roman"/>
          <w:sz w:val="24"/>
        </w:rPr>
        <w:t>按设计规定的取</w:t>
      </w:r>
      <w:r>
        <w:rPr>
          <w:rFonts w:ascii="Times New Roman" w:hAnsi="Times New Roman"/>
          <w:sz w:val="24"/>
          <w:szCs w:val="28"/>
        </w:rPr>
        <w:t>、弃土方案进行取、弃土作业；施工弃土石方在厂区内直接填充，避免随意堆放、抛弃。从工程区的地形考虑，应优化施工方案，边挖边填，减少挖土在厂内的堆放时间。</w:t>
      </w:r>
    </w:p>
    <w:p>
      <w:pPr>
        <w:spacing w:line="500" w:lineRule="exact"/>
        <w:ind w:firstLine="480" w:firstLineChars="200"/>
        <w:rPr>
          <w:rFonts w:ascii="Times New Roman" w:hAnsi="Times New Roman"/>
          <w:sz w:val="24"/>
          <w:szCs w:val="28"/>
        </w:rPr>
      </w:pPr>
      <w:r>
        <w:rPr>
          <w:rFonts w:ascii="Times New Roman" w:hAnsi="Times New Roman"/>
          <w:sz w:val="24"/>
        </w:rPr>
        <w:t>（</w:t>
      </w:r>
      <w:r>
        <w:rPr>
          <w:rFonts w:ascii="Times New Roman" w:hAnsi="Times New Roman"/>
          <w:sz w:val="24"/>
          <w:szCs w:val="28"/>
        </w:rPr>
        <w:t>3）施工过程中应边开挖、边回填、边碾压，及时采取防护措施。</w:t>
      </w:r>
    </w:p>
    <w:p>
      <w:pPr>
        <w:spacing w:line="500" w:lineRule="exact"/>
        <w:ind w:firstLine="480" w:firstLineChars="200"/>
        <w:rPr>
          <w:rFonts w:ascii="Times New Roman" w:hAnsi="Times New Roman"/>
          <w:sz w:val="24"/>
          <w:szCs w:val="28"/>
        </w:rPr>
      </w:pPr>
      <w:r>
        <w:rPr>
          <w:rFonts w:ascii="Times New Roman" w:hAnsi="Times New Roman"/>
          <w:sz w:val="24"/>
        </w:rPr>
        <w:t>（</w:t>
      </w:r>
      <w:r>
        <w:rPr>
          <w:rFonts w:ascii="Times New Roman" w:hAnsi="Times New Roman"/>
          <w:sz w:val="24"/>
          <w:szCs w:val="28"/>
        </w:rPr>
        <w:t>4）优化施工安排，尽量缩短施工周期，减少疏松地面的裸露时间。</w:t>
      </w:r>
    </w:p>
    <w:p>
      <w:pPr>
        <w:spacing w:line="500" w:lineRule="exact"/>
        <w:ind w:firstLine="480" w:firstLineChars="200"/>
        <w:rPr>
          <w:rFonts w:ascii="Times New Roman" w:hAnsi="Times New Roman"/>
          <w:sz w:val="24"/>
        </w:rPr>
      </w:pPr>
      <w:r>
        <w:rPr>
          <w:rFonts w:ascii="Times New Roman" w:hAnsi="Times New Roman"/>
          <w:sz w:val="24"/>
        </w:rPr>
        <w:t>（</w:t>
      </w:r>
      <w:r>
        <w:rPr>
          <w:rFonts w:ascii="Times New Roman" w:hAnsi="Times New Roman"/>
          <w:sz w:val="24"/>
          <w:szCs w:val="28"/>
        </w:rPr>
        <w:t>5）科学组织施工，减少弃土、石、渣的产生量和堆放时间。</w:t>
      </w:r>
    </w:p>
    <w:p>
      <w:pPr>
        <w:spacing w:line="500" w:lineRule="exact"/>
        <w:ind w:firstLine="480" w:firstLineChars="200"/>
        <w:rPr>
          <w:rFonts w:ascii="Times New Roman" w:hAnsi="Times New Roman"/>
          <w:sz w:val="24"/>
        </w:rPr>
      </w:pPr>
      <w:r>
        <w:rPr>
          <w:rFonts w:ascii="Times New Roman" w:hAnsi="Times New Roman"/>
          <w:sz w:val="24"/>
        </w:rPr>
        <w:t>（6）应在料场等处设置必要的简易沉沙凼及土工布围栏。</w:t>
      </w:r>
    </w:p>
    <w:p>
      <w:pPr>
        <w:spacing w:line="500" w:lineRule="exact"/>
        <w:ind w:firstLine="460" w:firstLineChars="192"/>
        <w:rPr>
          <w:rFonts w:ascii="Times New Roman" w:hAnsi="Times New Roman"/>
          <w:sz w:val="24"/>
          <w:szCs w:val="28"/>
        </w:rPr>
      </w:pPr>
      <w:r>
        <w:rPr>
          <w:rFonts w:ascii="Times New Roman" w:hAnsi="Times New Roman"/>
          <w:sz w:val="24"/>
        </w:rPr>
        <w:t>（7）</w:t>
      </w:r>
      <w:r>
        <w:rPr>
          <w:rFonts w:ascii="Times New Roman" w:hAnsi="Times New Roman"/>
          <w:sz w:val="24"/>
          <w:szCs w:val="28"/>
        </w:rPr>
        <w:t>施工中建造临时沉砂池减少施工及其它被扰动土壤的水土流失情况。在有地面雨水汇流处开挖时，应设临时沉砂池，并在沉砂池出水口处设土工布围拦，再次拦截泥沙。当工程建成时，排水设施铺砌完毕后，推平沉淀池，进行施工迹地的恢复。</w:t>
      </w:r>
    </w:p>
    <w:p>
      <w:pPr>
        <w:widowControl/>
        <w:adjustRightInd w:val="0"/>
        <w:snapToGrid w:val="0"/>
        <w:spacing w:line="500" w:lineRule="exact"/>
        <w:ind w:firstLine="480" w:firstLineChars="200"/>
        <w:rPr>
          <w:rFonts w:ascii="Times New Roman" w:hAnsi="Times New Roman"/>
          <w:sz w:val="24"/>
        </w:rPr>
      </w:pPr>
      <w:r>
        <w:rPr>
          <w:rFonts w:ascii="Times New Roman" w:hAnsi="Times New Roman"/>
          <w:sz w:val="24"/>
        </w:rPr>
        <w:t xml:space="preserve">（8）加强工程区的植被恢复与新增绿地建设，对施工占地迹地、厂区预留发展用地，进行绿化等植被恢复。 </w:t>
      </w:r>
    </w:p>
    <w:p>
      <w:pPr>
        <w:widowControl/>
        <w:adjustRightInd w:val="0"/>
        <w:snapToGrid w:val="0"/>
        <w:spacing w:line="500" w:lineRule="exact"/>
        <w:ind w:firstLine="482" w:firstLineChars="200"/>
        <w:rPr>
          <w:rFonts w:ascii="Times New Roman" w:hAnsi="Times New Roman"/>
          <w:b/>
          <w:sz w:val="24"/>
        </w:rPr>
      </w:pPr>
      <w:r>
        <w:rPr>
          <w:rFonts w:ascii="Times New Roman" w:hAnsi="Times New Roman"/>
          <w:b/>
          <w:sz w:val="24"/>
        </w:rPr>
        <w:t>项目施工期只要做好上述水土保持措施，可以有效的减少施工现场地面的裸露面积，有效的防治水土流失，水土流失对影响很小，水土流失防治措施可行。</w:t>
      </w:r>
    </w:p>
    <w:p>
      <w:pPr>
        <w:pStyle w:val="103"/>
        <w:numPr>
          <w:ilvl w:val="0"/>
          <w:numId w:val="0"/>
        </w:numPr>
        <w:rPr>
          <w:rFonts w:ascii="Times New Roman" w:hAnsi="Times New Roman"/>
          <w:b w:val="0"/>
          <w:bCs/>
          <w:kern w:val="28"/>
          <w:sz w:val="32"/>
          <w:szCs w:val="32"/>
        </w:rPr>
      </w:pPr>
      <w:bookmarkStart w:id="317" w:name="_Toc9873424"/>
      <w:r>
        <w:rPr>
          <w:rFonts w:ascii="Times New Roman" w:hAnsi="Times New Roman"/>
          <w:b w:val="0"/>
          <w:bCs/>
          <w:kern w:val="28"/>
          <w:sz w:val="32"/>
          <w:szCs w:val="32"/>
        </w:rPr>
        <w:t>8.2  营运期污染防治措施及可行性论证</w:t>
      </w:r>
      <w:bookmarkEnd w:id="317"/>
    </w:p>
    <w:p>
      <w:pPr>
        <w:pStyle w:val="108"/>
      </w:pPr>
      <w:bookmarkStart w:id="318" w:name="_Toc9873425"/>
      <w:r>
        <w:t>8.2.1 恶臭废气防治措施</w:t>
      </w:r>
      <w:bookmarkEnd w:id="318"/>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养殖场恶臭气体主要来源于猪舍、固液分离间、干粪堆场，属于无组织面源排放。主要由氨（NH</w:t>
      </w:r>
      <w:r>
        <w:rPr>
          <w:rFonts w:ascii="Times New Roman" w:hAnsi="Times New Roman"/>
          <w:sz w:val="24"/>
          <w:vertAlign w:val="subscript"/>
        </w:rPr>
        <w:t>3</w:t>
      </w:r>
      <w:r>
        <w:rPr>
          <w:rFonts w:ascii="Times New Roman" w:hAnsi="Times New Roman"/>
          <w:sz w:val="24"/>
        </w:rPr>
        <w:t>）和硫化氢（H</w:t>
      </w:r>
      <w:r>
        <w:rPr>
          <w:rFonts w:ascii="Times New Roman" w:hAnsi="Times New Roman"/>
          <w:sz w:val="24"/>
          <w:vertAlign w:val="subscript"/>
        </w:rPr>
        <w:t>2</w:t>
      </w:r>
      <w:r>
        <w:rPr>
          <w:rFonts w:ascii="Times New Roman" w:hAnsi="Times New Roman"/>
          <w:sz w:val="24"/>
        </w:rPr>
        <w:t>S）等物质组成。单靠某一种除臭技术很难取得良好治理效果，只有采取综合除臭措施，必须从源头断绝臭气的产生、防止恶臭扩散等多种方法并举，才能有效防治和减轻其危害，保证人畜健康。恶臭防治措施如下：</w:t>
      </w:r>
    </w:p>
    <w:p>
      <w:pPr>
        <w:pStyle w:val="104"/>
      </w:pPr>
      <w:r>
        <w:t>（1）科学设计日粮，促进猪只消化能力</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猪进食以后，食物在消化道内消化过程中因微生物腐败分解而产生臭气；同时没有消化吸收部分在体外被微生物降解，因此合理设计猪食物的种类和结构，提高日粮的消化率、减少干物质（特别是蛋白质）排出量，既减少了肠道臭气的产生，又可减少粪便排出后的臭气的产生。</w:t>
      </w:r>
    </w:p>
    <w:p>
      <w:pPr>
        <w:autoSpaceDE w:val="0"/>
        <w:autoSpaceDN w:val="0"/>
        <w:adjustRightInd w:val="0"/>
        <w:spacing w:line="480" w:lineRule="exact"/>
        <w:ind w:firstLine="480" w:firstLineChars="200"/>
        <w:rPr>
          <w:rFonts w:ascii="Times New Roman" w:hAnsi="Times New Roman"/>
          <w:sz w:val="24"/>
          <w:szCs w:val="24"/>
        </w:rPr>
      </w:pPr>
      <w:r>
        <w:rPr>
          <w:rFonts w:ascii="Times New Roman" w:hAnsi="Times New Roman"/>
          <w:sz w:val="24"/>
        </w:rPr>
        <w:t>本项目猪舍以成品饲料主食，不添加其他化学猪饲料，食物中纤维素较高，有利于育肥猪的营养吸收。根据类比同类型猪舍，以成品饲料主食的猪舍比其他普通猪舍的恶臭浓度低，氨气排放量更小。同时，在饲料中添加丝兰作为除臭添加剂</w:t>
      </w:r>
      <w:r>
        <w:rPr>
          <w:rFonts w:ascii="Times New Roman" w:hAnsi="Times New Roman"/>
          <w:sz w:val="24"/>
          <w:szCs w:val="24"/>
        </w:rPr>
        <w:t>。</w:t>
      </w:r>
    </w:p>
    <w:p>
      <w:pPr>
        <w:snapToGrid w:val="0"/>
        <w:spacing w:line="500" w:lineRule="exact"/>
        <w:ind w:firstLine="480" w:firstLineChars="200"/>
        <w:rPr>
          <w:rFonts w:ascii="Times New Roman" w:hAnsi="Times New Roman"/>
          <w:sz w:val="24"/>
          <w:szCs w:val="24"/>
        </w:rPr>
      </w:pPr>
      <w:r>
        <w:rPr>
          <w:rFonts w:ascii="Times New Roman" w:hAnsi="Times New Roman"/>
          <w:sz w:val="24"/>
          <w:szCs w:val="24"/>
        </w:rPr>
        <w:t>采用在饲料中添加除臭丝兰粉，减少圈舍臭气污染物浓度，其中减少氨气量的40％~60％，硫化氢量的50%，本报告按50%计算。其作用原理为：丝兰提取物是一种脲酶抑制剂，不但能抑制尿素分解成氨气，还能促进微生物将氨气转变成微生物蛋白，从而减少粪、尿中氨气的产生。丝兰提取物中的大分子(大于 20万道尔顿)和序列分子能直接吸附、结合环境中氨气等有害气体。丝兰提取物可通过阻止粪尿中氮的硝化，使氮以无机质形式存在，从而使散发到空气中的氨气量减少。</w:t>
      </w:r>
    </w:p>
    <w:p>
      <w:pPr>
        <w:pStyle w:val="104"/>
      </w:pPr>
      <w:r>
        <w:t>（2）圈舍控制措施</w:t>
      </w:r>
    </w:p>
    <w:p>
      <w:pPr>
        <w:spacing w:line="480" w:lineRule="exact"/>
        <w:ind w:firstLine="480" w:firstLineChars="200"/>
        <w:rPr>
          <w:rFonts w:ascii="Times New Roman" w:hAnsi="Times New Roman"/>
          <w:sz w:val="24"/>
        </w:rPr>
      </w:pPr>
      <w:r>
        <w:rPr>
          <w:rFonts w:ascii="Times New Roman" w:hAnsi="Times New Roman"/>
          <w:sz w:val="24"/>
        </w:rPr>
        <w:t>圈舍控制措施主要包括及时清理猪粪和废气收集后经过活性炭吸附再排。及时清运猪粪是减少恶臭的重点，及时清理圈舍粪污，做到圈舍内猪粪做到日产日清。包括：加强猪只通道的猪粪清理、加强干粪运输沿线的清扫、适当增加清粪频次、及时清理圈舍内的猪粪、提高清粪率、减少恶臭源的产生。</w:t>
      </w:r>
    </w:p>
    <w:p>
      <w:pPr>
        <w:snapToGrid w:val="0"/>
        <w:spacing w:line="500" w:lineRule="exact"/>
        <w:ind w:firstLine="480" w:firstLineChars="200"/>
        <w:rPr>
          <w:rFonts w:ascii="Times New Roman" w:hAnsi="Times New Roman"/>
          <w:sz w:val="24"/>
          <w:szCs w:val="24"/>
        </w:rPr>
      </w:pPr>
      <w:r>
        <w:rPr>
          <w:rFonts w:ascii="Times New Roman" w:hAnsi="Times New Roman"/>
          <w:sz w:val="24"/>
        </w:rPr>
        <w:t>项目采用先进的猪舍换气系统，猪粪尿等通过全漏缝地板直接进入到猪舍下方的粪坑内，猪舍及粪坑产生的恶臭经水喷淋活性炭处理后排出，从而保证猪舍内洁净的环境。</w:t>
      </w:r>
      <w:r>
        <w:rPr>
          <w:rFonts w:ascii="Times New Roman" w:hAnsi="Times New Roman"/>
          <w:sz w:val="24"/>
          <w:szCs w:val="24"/>
        </w:rPr>
        <w:t>垂直通风口废气经过活性炭吸附，净化效率可提高到90%。综合处置净化效率95%。</w:t>
      </w:r>
    </w:p>
    <w:p>
      <w:pPr>
        <w:pStyle w:val="104"/>
      </w:pPr>
      <w:r>
        <w:t>（3）干粪堆场</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本项目不设堆肥厂，一期已设置一个干粪堆场，本次利用现有设施。分离后的干粪临时堆放在厂区，外售有机肥厂进行堆肥。干粪堆场设置为防风、防雨厂房，防渗地面，粪污日产日清。</w:t>
      </w:r>
    </w:p>
    <w:p>
      <w:pPr>
        <w:pStyle w:val="104"/>
      </w:pPr>
      <w:r>
        <w:t>（4）加强绿化</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在项目场区内部及周围进行绿化和种植防护林，特别是加强场区北面绿化高度和密度，强化绿化林对恶臭的阻隔效果，阻挡猪舍臭气向北面扩散；场区绿化以完全消灭裸露地面为原则，广种花草树木。场区道路两边种植乔灌木、夹竹桃、松柏等，场界边缘地带种植杨、槐等高大树种形成多层防护林带，以降低恶臭污染的影响程度。</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种植绿色植物可通过光合作用吸收部分二氧化碳，并吸收部分空气中的有毒有害气体，达到净化空气的目的。同时对于规模化猪场所产生的粪尿及其它废弃物在发酵过程中产生的H</w:t>
      </w:r>
      <w:r>
        <w:rPr>
          <w:rFonts w:ascii="Times New Roman" w:hAnsi="Times New Roman"/>
          <w:sz w:val="24"/>
          <w:vertAlign w:val="subscript"/>
        </w:rPr>
        <w:t>2</w:t>
      </w:r>
      <w:r>
        <w:rPr>
          <w:rFonts w:ascii="Times New Roman" w:hAnsi="Times New Roman"/>
          <w:sz w:val="24"/>
        </w:rPr>
        <w:t>S、NH</w:t>
      </w:r>
      <w:r>
        <w:rPr>
          <w:rFonts w:ascii="Times New Roman" w:hAnsi="Times New Roman"/>
          <w:sz w:val="24"/>
          <w:vertAlign w:val="subscript"/>
        </w:rPr>
        <w:t>3</w:t>
      </w:r>
      <w:r>
        <w:rPr>
          <w:rFonts w:ascii="Times New Roman" w:hAnsi="Times New Roman"/>
          <w:sz w:val="24"/>
        </w:rPr>
        <w:t>等有毒有害气体采用生物除臭方法和除臭剂（MPC）等，可降低猪场这些有害气体挥发量，净化空气。绿化植物具有一定的吸收有害气体，减轻恶臭异味的作用。此外，场内还应尽可能多种夹竹桃、松柏等，可以降低或减轻恶臭味在空气中的浓度，达到防护的目的。</w:t>
      </w:r>
    </w:p>
    <w:p>
      <w:pPr>
        <w:pStyle w:val="104"/>
      </w:pPr>
      <w:r>
        <w:t>（5）防护距离设置</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1 \* GB3</w:instrText>
      </w:r>
      <w:r>
        <w:rPr>
          <w:rFonts w:ascii="Times New Roman" w:hAnsi="Times New Roman"/>
          <w:sz w:val="24"/>
        </w:rPr>
        <w:fldChar w:fldCharType="separate"/>
      </w:r>
      <w:r>
        <w:rPr>
          <w:rFonts w:hint="eastAsia" w:ascii="宋体" w:hAnsi="宋体" w:cs="宋体"/>
          <w:sz w:val="24"/>
        </w:rPr>
        <w:t>①</w:t>
      </w:r>
      <w:r>
        <w:rPr>
          <w:rFonts w:ascii="Times New Roman" w:hAnsi="Times New Roman"/>
          <w:sz w:val="24"/>
        </w:rPr>
        <w:fldChar w:fldCharType="end"/>
      </w:r>
      <w:r>
        <w:rPr>
          <w:rFonts w:ascii="Times New Roman" w:hAnsi="Times New Roman"/>
          <w:sz w:val="24"/>
        </w:rPr>
        <w:t>大气环境防护距离</w:t>
      </w:r>
    </w:p>
    <w:p>
      <w:pPr>
        <w:spacing w:line="500" w:lineRule="exact"/>
        <w:ind w:firstLine="480" w:firstLineChars="200"/>
        <w:rPr>
          <w:rFonts w:ascii="Times New Roman" w:hAnsi="Times New Roman"/>
          <w:sz w:val="24"/>
        </w:rPr>
      </w:pPr>
      <w:r>
        <w:rPr>
          <w:rFonts w:ascii="Times New Roman" w:hAnsi="Times New Roman"/>
          <w:sz w:val="24"/>
        </w:rPr>
        <w:t>根据《环境影响评价技术导则—大气环境》（HJ2.2-2018），大气环境防护距离是采用进一步模式进行计算，计算网格点的步长取为50m。本项目确定大气评价等级为二级，不进行进一步预测，不设置大气环境防护距离。</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2 \* GB3</w:instrText>
      </w:r>
      <w:r>
        <w:rPr>
          <w:rFonts w:ascii="Times New Roman" w:hAnsi="Times New Roman"/>
          <w:sz w:val="24"/>
        </w:rPr>
        <w:fldChar w:fldCharType="separate"/>
      </w:r>
      <w:r>
        <w:rPr>
          <w:rFonts w:hint="eastAsia" w:ascii="宋体" w:hAnsi="宋体" w:cs="宋体"/>
          <w:sz w:val="24"/>
        </w:rPr>
        <w:t>②</w:t>
      </w:r>
      <w:r>
        <w:rPr>
          <w:rFonts w:ascii="Times New Roman" w:hAnsi="Times New Roman"/>
          <w:sz w:val="24"/>
        </w:rPr>
        <w:fldChar w:fldCharType="end"/>
      </w:r>
      <w:r>
        <w:rPr>
          <w:rFonts w:ascii="Times New Roman" w:hAnsi="Times New Roman"/>
          <w:sz w:val="24"/>
        </w:rPr>
        <w:t>环境保护距离</w:t>
      </w:r>
    </w:p>
    <w:p>
      <w:pPr>
        <w:spacing w:line="470" w:lineRule="exact"/>
        <w:ind w:firstLine="480" w:firstLineChars="200"/>
        <w:rPr>
          <w:rFonts w:ascii="Times New Roman" w:hAnsi="Times New Roman"/>
          <w:sz w:val="24"/>
        </w:rPr>
      </w:pPr>
      <w:r>
        <w:rPr>
          <w:rFonts w:ascii="Times New Roman" w:hAnsi="Times New Roman"/>
          <w:sz w:val="24"/>
        </w:rPr>
        <w:t>如果按计算结果，确定本项目的环境保护距离为100 米。类比调查和现场踏勘结果显示：在恶臭污染源下风向 5m 范围内可感觉到明显的气味，50m 范围内容易感觉到气味.，50~100m气味很弱，100m 外基本无气味很弱，150m 以外已闻不到气味。根据计算结果和实际情况综合考虑，本项目环境保护距离以恶臭源圈舍外起150m 包络线划定。</w:t>
      </w:r>
    </w:p>
    <w:p>
      <w:pPr>
        <w:pStyle w:val="151"/>
        <w:spacing w:line="470" w:lineRule="exact"/>
        <w:rPr>
          <w:rFonts w:cs="Times New Roman"/>
        </w:rPr>
      </w:pPr>
      <w:r>
        <w:rPr>
          <w:rFonts w:cs="Times New Roman"/>
        </w:rPr>
        <w:t>从养殖场总平面布局以及场址周围敏感点分布情况看，目前项目南侧1户白玉村村民、北侧1户泉水村村民不愿意搬迁，还在此居住。这两户居民因自身原因不愿意搬迁，目前与本项目建设单位达成了联合养殖用工协议或签署了知情同意书，对项目建设无意见。除此外项目圈舍外北面150m~200m范围还有大邑县泉水村集中居民10户，200~300m有20余户居民。在项目一期验收的公众参与调查和本次环评的共中出参与调查中，上述居民均未反应本项目对其有恶臭污染的影响。</w:t>
      </w:r>
    </w:p>
    <w:p>
      <w:pPr>
        <w:spacing w:line="480" w:lineRule="exact"/>
        <w:ind w:firstLine="480" w:firstLineChars="200"/>
        <w:rPr>
          <w:rFonts w:ascii="Times New Roman" w:hAnsi="Times New Roman"/>
          <w:sz w:val="24"/>
        </w:rPr>
      </w:pPr>
      <w:r>
        <w:rPr>
          <w:rFonts w:ascii="Times New Roman" w:hAnsi="Times New Roman"/>
          <w:sz w:val="24"/>
        </w:rPr>
        <w:t>卫生防护距离范围内无敏感目标分布。</w:t>
      </w:r>
    </w:p>
    <w:p>
      <w:pPr>
        <w:spacing w:line="480" w:lineRule="exact"/>
        <w:ind w:firstLine="482" w:firstLineChars="200"/>
        <w:rPr>
          <w:rFonts w:ascii="Times New Roman" w:hAnsi="Times New Roman" w:eastAsia="黑体"/>
          <w:b/>
          <w:sz w:val="24"/>
        </w:rPr>
      </w:pPr>
      <w:r>
        <w:rPr>
          <w:rFonts w:ascii="Times New Roman" w:hAnsi="Times New Roman"/>
          <w:b/>
          <w:sz w:val="24"/>
        </w:rPr>
        <w:t>评价认为本项目采取的恶臭防治措施可行。</w:t>
      </w:r>
    </w:p>
    <w:p>
      <w:pPr>
        <w:pStyle w:val="108"/>
      </w:pPr>
      <w:bookmarkStart w:id="319" w:name="_Toc161196245"/>
      <w:bookmarkStart w:id="320" w:name="_Toc9873426"/>
      <w:r>
        <w:t>8.2.2 水污染治理措施可行性</w:t>
      </w:r>
      <w:bookmarkEnd w:id="319"/>
      <w:r>
        <w:t>论证</w:t>
      </w:r>
      <w:bookmarkEnd w:id="320"/>
    </w:p>
    <w:p>
      <w:pPr>
        <w:pStyle w:val="104"/>
      </w:pPr>
      <w:r>
        <w:t>1、养殖废水处理工艺比较</w:t>
      </w:r>
    </w:p>
    <w:p>
      <w:pPr>
        <w:shd w:val="clear" w:color="auto" w:fill="FFFFFF"/>
        <w:ind w:firstLine="480" w:firstLineChars="200"/>
        <w:contextualSpacing/>
        <w:rPr>
          <w:rFonts w:ascii="Times New Roman" w:hAnsi="Times New Roman"/>
          <w:sz w:val="24"/>
          <w:szCs w:val="24"/>
        </w:rPr>
      </w:pPr>
      <w:r>
        <w:rPr>
          <w:rFonts w:ascii="Times New Roman" w:hAnsi="Times New Roman"/>
          <w:sz w:val="24"/>
          <w:szCs w:val="24"/>
        </w:rPr>
        <w:t>《四川省畜禽养殖污染防治技术指南（试行）》（川农业函〔2017〕647号）中，对规模化养殖场粪污废水提出的治理要求为：畜禽养殖过程中产生的污水应坚持种养结合的原则，经无害化处理后尽量充分还田，实现污水资源化利用。畜禽养殖场污水引入农田前必须进行预处理（采用格栅、厌氧、沉淀等工艺流程），应配套设置田间储存池，解决农田在非施肥期间的污水出路问题。</w:t>
      </w:r>
    </w:p>
    <w:p>
      <w:pPr>
        <w:shd w:val="clear" w:color="auto" w:fill="FFFFFF"/>
        <w:ind w:firstLine="480" w:firstLineChars="200"/>
        <w:contextualSpacing/>
        <w:rPr>
          <w:rFonts w:ascii="Times New Roman" w:hAnsi="Times New Roman"/>
          <w:sz w:val="24"/>
          <w:szCs w:val="24"/>
        </w:rPr>
      </w:pPr>
      <w:r>
        <w:rPr>
          <w:rFonts w:ascii="Times New Roman" w:hAnsi="Times New Roman"/>
          <w:sz w:val="24"/>
          <w:szCs w:val="24"/>
        </w:rPr>
        <w:t>对于养殖密集区或大规模养殖场，依托专业化粪污处理企业，集中收集并通过氧化塘贮存对粪污进行无害化处理，在作物收割后或播种前利用专业化施肥机械施用到农田，减少化肥施用量。</w:t>
      </w:r>
    </w:p>
    <w:p>
      <w:pPr>
        <w:shd w:val="clear" w:color="auto" w:fill="FFFFFF"/>
        <w:ind w:firstLine="360" w:firstLineChars="150"/>
        <w:contextualSpacing/>
        <w:rPr>
          <w:rFonts w:ascii="Times New Roman" w:hAnsi="Times New Roman"/>
          <w:sz w:val="24"/>
          <w:szCs w:val="24"/>
        </w:rPr>
      </w:pPr>
      <w:r>
        <w:rPr>
          <w:rFonts w:ascii="Times New Roman" w:hAnsi="Times New Roman"/>
          <w:sz w:val="24"/>
          <w:szCs w:val="24"/>
        </w:rPr>
        <w:t>对于有配套农田的规模养殖场，养殖污水通过三级沉淀池或沼气工程进行无害化处理，配套建设肥水贮存、输送和配比设施，在农田施肥和灌溉期间，实行肥水一体化施用。</w:t>
      </w:r>
    </w:p>
    <w:p>
      <w:pPr>
        <w:pStyle w:val="104"/>
      </w:pPr>
      <w:r>
        <w:t>2、本项目选取的废水处理工艺</w:t>
      </w:r>
    </w:p>
    <w:p>
      <w:pPr>
        <w:shd w:val="clear" w:color="auto" w:fill="FFFFFF"/>
        <w:ind w:firstLine="360" w:firstLineChars="150"/>
        <w:rPr>
          <w:rFonts w:ascii="Times New Roman" w:hAnsi="Times New Roman"/>
          <w:spacing w:val="-4"/>
          <w:sz w:val="24"/>
          <w:szCs w:val="24"/>
        </w:rPr>
      </w:pPr>
      <w:r>
        <w:rPr>
          <w:rFonts w:ascii="Times New Roman" w:hAnsi="Times New Roman"/>
          <w:sz w:val="24"/>
          <w:szCs w:val="24"/>
        </w:rPr>
        <w:t>本项目废水在固液分离后，粪便按环评要求外委堆肥，废水进行深度厌氧发酵后，由专业合作社运输再科学还田，满足《四川省畜禽养殖污染防治技术指南（试行）》（川农业函〔2017〕647号）中要求，即养殖污水通过沉淀厌氧发酵后，配套大规模暂存池，再配套科学还田的模式。同时，该处理方式为</w:t>
      </w:r>
      <w:r>
        <w:rPr>
          <w:rFonts w:ascii="Times New Roman" w:hAnsi="Times New Roman"/>
          <w:spacing w:val="-4"/>
          <w:sz w:val="24"/>
          <w:szCs w:val="24"/>
        </w:rPr>
        <w:t>《畜禽养殖业污染治理工程技术规范》中规定的模式一处理。该模式使用前提为周边有足够土地消纳沼液、沼渣，并有一倍以上土地轮作面积，使整个养殖场的废物在小区域范围内全部达到循环利用。</w:t>
      </w:r>
    </w:p>
    <w:p>
      <w:pPr>
        <w:shd w:val="clear" w:color="auto" w:fill="FFFFFF"/>
        <w:ind w:firstLine="348" w:firstLineChars="150"/>
        <w:rPr>
          <w:rFonts w:ascii="Times New Roman" w:hAnsi="Times New Roman"/>
          <w:spacing w:val="-4"/>
          <w:sz w:val="24"/>
          <w:szCs w:val="24"/>
        </w:rPr>
      </w:pPr>
      <w:r>
        <w:rPr>
          <w:rFonts w:ascii="Times New Roman" w:hAnsi="Times New Roman"/>
          <w:spacing w:val="-4"/>
          <w:sz w:val="24"/>
          <w:szCs w:val="24"/>
        </w:rPr>
        <w:t>根据计算，本项目周边土地配置足够。详见第五章5.7节。</w:t>
      </w:r>
    </w:p>
    <w:p>
      <w:pPr>
        <w:shd w:val="clear" w:color="auto" w:fill="FFFFFF"/>
        <w:ind w:firstLine="348" w:firstLineChars="150"/>
        <w:rPr>
          <w:rFonts w:ascii="Times New Roman" w:hAnsi="Times New Roman"/>
          <w:spacing w:val="-4"/>
          <w:sz w:val="24"/>
          <w:szCs w:val="24"/>
        </w:rPr>
      </w:pPr>
      <w:r>
        <w:rPr>
          <w:rFonts w:ascii="Times New Roman" w:hAnsi="Times New Roman"/>
          <w:spacing w:val="-4"/>
          <w:sz w:val="24"/>
          <w:szCs w:val="24"/>
        </w:rPr>
        <w:t>本项目处理工艺流程见下图。</w:t>
      </w:r>
    </w:p>
    <w:p>
      <w:pPr>
        <w:widowControl/>
        <w:spacing w:line="240" w:lineRule="auto"/>
        <w:jc w:val="left"/>
        <w:rPr>
          <w:rFonts w:ascii="Times New Roman" w:hAnsi="Times New Roman"/>
          <w:spacing w:val="-4"/>
          <w:sz w:val="24"/>
          <w:szCs w:val="24"/>
        </w:rPr>
      </w:pPr>
      <w:r>
        <w:rPr>
          <w:rFonts w:ascii="Times New Roman" w:hAnsi="Times New Roman"/>
          <w:spacing w:val="-4"/>
          <w:sz w:val="24"/>
          <w:szCs w:val="24"/>
        </w:rPr>
        <w:br w:type="page"/>
      </w:r>
    </w:p>
    <w:p>
      <w:pPr>
        <w:shd w:val="clear" w:color="auto" w:fill="FFFFFF"/>
        <w:jc w:val="center"/>
        <w:rPr>
          <w:rFonts w:ascii="Times New Roman" w:hAnsi="Times New Roman" w:eastAsia="黑体"/>
          <w:sz w:val="21"/>
          <w:szCs w:val="21"/>
        </w:rPr>
      </w:pPr>
      <w:r>
        <w:rPr>
          <w:rFonts w:ascii="Times New Roman" w:hAnsi="Times New Roman"/>
          <w:spacing w:val="-4"/>
          <w:sz w:val="24"/>
          <w:szCs w:val="24"/>
        </w:rPr>
        <w:drawing>
          <wp:anchor distT="0" distB="0" distL="114300" distR="114300" simplePos="0" relativeHeight="251675648" behindDoc="0" locked="0" layoutInCell="1" allowOverlap="1">
            <wp:simplePos x="0" y="0"/>
            <wp:positionH relativeFrom="column">
              <wp:posOffset>-123190</wp:posOffset>
            </wp:positionH>
            <wp:positionV relativeFrom="paragraph">
              <wp:posOffset>59055</wp:posOffset>
            </wp:positionV>
            <wp:extent cx="5277485" cy="2145665"/>
            <wp:effectExtent l="0" t="0" r="0" b="6985"/>
            <wp:wrapSquare wrapText="bothSides"/>
            <wp:docPr id="133" name="图片 133" descr="污水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污水处理"/>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7485" cy="2145665"/>
                    </a:xfrm>
                    <a:prstGeom prst="rect">
                      <a:avLst/>
                    </a:prstGeom>
                    <a:noFill/>
                    <a:ln>
                      <a:noFill/>
                    </a:ln>
                  </pic:spPr>
                </pic:pic>
              </a:graphicData>
            </a:graphic>
          </wp:anchor>
        </w:drawing>
      </w:r>
      <w:r>
        <w:rPr>
          <w:rFonts w:ascii="Times New Roman" w:hAnsi="Times New Roman" w:eastAsia="黑体"/>
          <w:sz w:val="21"/>
          <w:szCs w:val="21"/>
        </w:rPr>
        <w:t>图8.2-1  项目废水处理工艺流程图</w:t>
      </w:r>
    </w:p>
    <w:p>
      <w:pPr>
        <w:pStyle w:val="104"/>
      </w:pPr>
      <w:r>
        <w:t>3、废水处理合理性分析</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2017年6月，国务院办公厅出台《关于加快推进畜禽废弃物资源化利用的意见》，2018年1月，农业部办公厅印发了《畜禽规模养殖场粪污资源化利用设施建设规范（试行）》，四川省政府办公厅和成都市政府办公厅陆续出台了《关于加快推进畜禽养殖废弃物资源化利用的实施意见》、《成都市加快推进畜禽养殖废弃物资源化利用工作方案》，农业部会同环境保护部制定了《畜禽养殖废弃物资源化利用工作考核办法(试行)》，上述政策支持畜禽养殖粪污资源化利用，国务院意见中说明要“突出养分”进行资源化利用。即本项目在当地具有足够土地消纳粪肥的前提下，将水解酸化</w:t>
      </w:r>
      <w:r>
        <w:rPr>
          <w:rFonts w:ascii="Times New Roman" w:hAnsi="Times New Roman" w:eastAsiaTheme="minorEastAsia"/>
          <w:bCs/>
          <w:sz w:val="24"/>
          <w:szCs w:val="24"/>
        </w:rPr>
        <w:t>和固液分离</w:t>
      </w:r>
      <w:r>
        <w:rPr>
          <w:rFonts w:ascii="Times New Roman" w:hAnsi="Times New Roman" w:eastAsiaTheme="minorEastAsia"/>
          <w:sz w:val="24"/>
          <w:szCs w:val="24"/>
        </w:rPr>
        <w:t>处理变为长时间厌氧，将养殖过程中的粪污水最大程度转化为肥料。</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项目粪污废水在不外排、科学施肥前提下，由当地专业抽粪合作社</w:t>
      </w:r>
      <w:r>
        <w:rPr>
          <w:rFonts w:ascii="Times New Roman" w:hAnsi="Times New Roman" w:eastAsiaTheme="minorEastAsia"/>
          <w:bCs/>
          <w:sz w:val="24"/>
          <w:szCs w:val="24"/>
        </w:rPr>
        <w:t>全量收集还田处置。该处理方案符合</w:t>
      </w:r>
      <w:r>
        <w:rPr>
          <w:rFonts w:ascii="Times New Roman" w:hAnsi="Times New Roman" w:eastAsiaTheme="minorEastAsia"/>
          <w:sz w:val="24"/>
          <w:szCs w:val="24"/>
        </w:rPr>
        <w:t>农业部《畜禽规模养殖场粪污资源化利用设施建设规范（试行）》（农办牧[2018]2号）规定的设施建设要求、符合《四川省畜禽养殖污染防治技术指南（试行）》（川农业函〔2017〕647号）中模式一要求。具体分析如下。</w:t>
      </w:r>
    </w:p>
    <w:p>
      <w:pPr>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w:t>
      </w:r>
      <w:r>
        <w:rPr>
          <w:rFonts w:ascii="Times New Roman" w:hAnsi="Times New Roman" w:eastAsiaTheme="minorEastAsia"/>
          <w:bCs/>
          <w:sz w:val="24"/>
          <w:szCs w:val="24"/>
        </w:rPr>
        <w:t>畜禽规模养殖场粪污资源化利用设施建设规范（试行）》（农办牧[2018]2号）中要求，液体或全量粪污通过氧化塘、沉淀池等进行无害化处理的，氧化塘、贮存池容积不小于单位畜禽日粪污产生量（m</w:t>
      </w:r>
      <w:r>
        <w:rPr>
          <w:rFonts w:ascii="Times New Roman" w:hAnsi="Times New Roman" w:eastAsiaTheme="minorEastAsia"/>
          <w:bCs/>
          <w:sz w:val="24"/>
          <w:szCs w:val="24"/>
          <w:vertAlign w:val="superscript"/>
        </w:rPr>
        <w:t>3</w:t>
      </w:r>
      <w:r>
        <w:rPr>
          <w:rFonts w:ascii="Times New Roman" w:hAnsi="Times New Roman" w:eastAsiaTheme="minorEastAsia"/>
          <w:bCs/>
          <w:sz w:val="24"/>
          <w:szCs w:val="24"/>
        </w:rPr>
        <w:t>）×贮存周期(天)×设计存栏量(头)。单位畜禽粪污日产生量推荐值为：生猪0.01 m</w:t>
      </w:r>
      <w:r>
        <w:rPr>
          <w:rFonts w:ascii="Times New Roman" w:hAnsi="Times New Roman" w:eastAsiaTheme="minorEastAsia"/>
          <w:bCs/>
          <w:sz w:val="24"/>
          <w:szCs w:val="24"/>
          <w:vertAlign w:val="superscript"/>
        </w:rPr>
        <w:t>3</w:t>
      </w:r>
      <w:r>
        <w:rPr>
          <w:rFonts w:ascii="Times New Roman" w:hAnsi="Times New Roman" w:eastAsiaTheme="minorEastAsia"/>
          <w:bCs/>
          <w:sz w:val="24"/>
          <w:szCs w:val="24"/>
        </w:rPr>
        <w:t>，本项目存栏为9790头，则按规范需0.01×180×19900＝35820 m</w:t>
      </w:r>
      <w:r>
        <w:rPr>
          <w:rFonts w:ascii="Times New Roman" w:hAnsi="Times New Roman" w:eastAsiaTheme="minorEastAsia"/>
          <w:bCs/>
          <w:sz w:val="24"/>
          <w:szCs w:val="24"/>
          <w:vertAlign w:val="superscript"/>
        </w:rPr>
        <w:t>3</w:t>
      </w:r>
      <w:r>
        <w:rPr>
          <w:rFonts w:ascii="Times New Roman" w:hAnsi="Times New Roman" w:eastAsiaTheme="minorEastAsia"/>
          <w:bCs/>
          <w:sz w:val="24"/>
          <w:szCs w:val="24"/>
        </w:rPr>
        <w:t>，本项目拟修建的厌氧储存池有效容积为6.5万m</w:t>
      </w:r>
      <w:r>
        <w:rPr>
          <w:rFonts w:ascii="Times New Roman" w:hAnsi="Times New Roman" w:eastAsiaTheme="minorEastAsia"/>
          <w:bCs/>
          <w:sz w:val="24"/>
          <w:szCs w:val="24"/>
          <w:vertAlign w:val="superscript"/>
        </w:rPr>
        <w:t>3</w:t>
      </w:r>
      <w:r>
        <w:rPr>
          <w:rFonts w:ascii="Times New Roman" w:hAnsi="Times New Roman" w:eastAsiaTheme="minorEastAsia"/>
          <w:bCs/>
          <w:sz w:val="24"/>
          <w:szCs w:val="24"/>
        </w:rPr>
        <w:t>，其目的一方面是延长存储时间（6个月以上），有效发酵，提高</w:t>
      </w:r>
      <w:r>
        <w:rPr>
          <w:rFonts w:ascii="Times New Roman" w:hAnsi="Times New Roman" w:eastAsiaTheme="minorEastAsia"/>
          <w:sz w:val="24"/>
          <w:szCs w:val="24"/>
        </w:rPr>
        <w:t>粪液肥效，使其符合2017年6月国务院办公厅《关于加快推进畜禽废弃物资源化利用的意见》中“突出养分”进行资源化利用的精神要求，更加符合种植户的需求。另一方面是确保储存周期，满足当地农作物每年双季施肥的特点。</w:t>
      </w:r>
    </w:p>
    <w:p>
      <w:pPr>
        <w:shd w:val="clear" w:color="auto" w:fill="FFFFFF"/>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《四川省畜禽养殖污染防治技术指南（试行）》（川农业函〔2017〕647号）中，对规模化养殖场粪污废水提出的治理要求为：</w:t>
      </w:r>
    </w:p>
    <w:p>
      <w:pPr>
        <w:shd w:val="clear" w:color="auto" w:fill="FFFFFF"/>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畜禽养殖过程中产生的污水应坚持种养结合的原则，经无害化处理后尽量充分还田，实现污水资源化利用。畜禽养殖场污水引入农田前必须进行预处理（采用格栅、厌氧、沉淀等工艺流程），应配套设置田间储存池，解决农田在非施肥期间的污水出路问题。</w:t>
      </w:r>
    </w:p>
    <w:p>
      <w:pPr>
        <w:shd w:val="clear" w:color="auto" w:fill="FFFFFF"/>
        <w:ind w:firstLine="480" w:firstLineChars="200"/>
        <w:contextualSpacing/>
        <w:rPr>
          <w:rFonts w:ascii="Times New Roman" w:hAnsi="Times New Roman" w:eastAsiaTheme="minorEastAsia"/>
          <w:sz w:val="24"/>
          <w:szCs w:val="24"/>
        </w:rPr>
      </w:pPr>
      <w:r>
        <w:rPr>
          <w:rFonts w:ascii="Times New Roman" w:hAnsi="Times New Roman" w:eastAsiaTheme="minorEastAsia"/>
          <w:sz w:val="24"/>
          <w:szCs w:val="24"/>
        </w:rPr>
        <w:t>对于养殖密集区或大规模养殖场，依托专业化粪污处理企业，集中收集并通过氧化塘贮存对粪污进行无害化处理，在作物收割后或播种前利用专业化施肥机械施用到农田，减少化肥施用量。</w:t>
      </w:r>
    </w:p>
    <w:p>
      <w:pPr>
        <w:shd w:val="clear" w:color="auto" w:fill="FFFFFF"/>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对于有配套农田的规模养殖场，养殖污水通过三级沉淀池或沼气工程进行无害化处理，配套建设肥水贮存、输送和配比设施，在农田施肥和灌溉期间，实行肥水一体化施用。</w:t>
      </w:r>
    </w:p>
    <w:p>
      <w:pPr>
        <w:shd w:val="clear" w:color="auto" w:fill="FFFFFF"/>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本项目废水在固液分离后，粪便外委堆肥，废水进行深度厌氧发酵后还田，满足上述要求。该处理方式为</w:t>
      </w:r>
      <w:r>
        <w:rPr>
          <w:rFonts w:ascii="Times New Roman" w:hAnsi="Times New Roman" w:eastAsiaTheme="minorEastAsia"/>
          <w:spacing w:val="-4"/>
          <w:sz w:val="24"/>
          <w:szCs w:val="24"/>
        </w:rPr>
        <w:t>《畜禽养殖业污染治理工程技术规范》中规定的模式一处理。该模式使用前提为周边有足够土地消纳沼液、沼渣，并有一倍以上土地轮作面积，使整个养殖场的废物在小区域范围内全部达到循环利用。根据原环评计算，本项目周边土地配置足够。</w:t>
      </w:r>
    </w:p>
    <w:p>
      <w:pPr>
        <w:autoSpaceDE w:val="0"/>
        <w:autoSpaceDN w:val="0"/>
        <w:ind w:firstLine="480" w:firstLineChars="200"/>
        <w:contextualSpacing/>
        <w:rPr>
          <w:rFonts w:ascii="Times New Roman" w:hAnsi="Times New Roman" w:eastAsiaTheme="minorEastAsia"/>
          <w:sz w:val="24"/>
        </w:rPr>
      </w:pPr>
      <w:r>
        <w:rPr>
          <w:rFonts w:ascii="Times New Roman" w:hAnsi="Times New Roman" w:eastAsiaTheme="minorEastAsia"/>
          <w:sz w:val="24"/>
        </w:rPr>
        <w:t>本项目新建厌氧发酵池6.5万m</w:t>
      </w:r>
      <w:r>
        <w:rPr>
          <w:rFonts w:ascii="Times New Roman" w:hAnsi="Times New Roman" w:eastAsiaTheme="minorEastAsia"/>
          <w:sz w:val="24"/>
          <w:vertAlign w:val="superscript"/>
        </w:rPr>
        <w:t>3</w:t>
      </w:r>
      <w:r>
        <w:rPr>
          <w:rFonts w:ascii="Times New Roman" w:hAnsi="Times New Roman" w:eastAsiaTheme="minorEastAsia"/>
          <w:sz w:val="24"/>
        </w:rPr>
        <w:t>，可满足6个月的废水储存。项目所在地为冉义镇白玉村，冉义镇已建成高标准农田3.9万亩，满足全厂2倍土地轮作施肥需求。根据邛崃市农业和林业局《关于印发2016年PPP模式推进畜禽粪污综合利用试点项目实施指导意见》的通知，在全县实施解决25万立方米沼肥综合利用，推进全市种养循环。本项目建设单位与邛崃巿洁环畜禽粪便收集服务专业合作社，签订《粪肥（污）消纳协议书》。该合作社为邛崃市2016年PPP模式推进畜禽粪污综合利用试点项目合作伙伴，该合作社负责将本项目产生处理达标的粪污抽走并消纳处理。</w:t>
      </w:r>
    </w:p>
    <w:p>
      <w:pPr>
        <w:autoSpaceDE w:val="0"/>
        <w:autoSpaceDN w:val="0"/>
        <w:adjustRightInd w:val="0"/>
        <w:ind w:firstLine="482" w:firstLineChars="200"/>
        <w:contextualSpacing/>
        <w:rPr>
          <w:rFonts w:ascii="Times New Roman" w:hAnsi="Times New Roman" w:eastAsiaTheme="minorEastAsia"/>
          <w:b/>
          <w:sz w:val="24"/>
        </w:rPr>
      </w:pPr>
      <w:r>
        <w:rPr>
          <w:rFonts w:ascii="Times New Roman" w:hAnsi="Times New Roman" w:eastAsiaTheme="minorEastAsia"/>
          <w:b/>
          <w:sz w:val="24"/>
        </w:rPr>
        <w:t>综上，项目废水治理及综合利用措施合理可行。</w:t>
      </w:r>
    </w:p>
    <w:p>
      <w:pPr>
        <w:pStyle w:val="108"/>
      </w:pPr>
      <w:bookmarkStart w:id="321" w:name="_Toc9873427"/>
      <w:bookmarkStart w:id="322" w:name="_Toc461986206"/>
      <w:r>
        <w:t>8.2.3 地下水污染防治措施</w:t>
      </w:r>
      <w:bookmarkEnd w:id="321"/>
      <w:bookmarkEnd w:id="322"/>
    </w:p>
    <w:p>
      <w:pPr>
        <w:pStyle w:val="104"/>
      </w:pPr>
      <w:r>
        <w:t>1、地下水污染防治原则</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为有效规避地下水环境污染的风险，应做好地下水污染预防措施，应按照《畜禽养殖业污染防治技术规范》（HJ/T81-2001）中的规定，“畜禽粪便的贮存设施应采取有效的防渗处理工艺，防治畜禽粪便污染地下水；贮存设施应采取设置顶盖等防止降雨（水）进入的措施。</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本项目拟采取的地下水的防治措施如下所述：</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（1）源头控制措施</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项目应根据国家现行相关规范加强环境管理，采取防止和降低污染物跑、冒、滴、漏的措施。正常运营过程中应加强控制，同时加强对防渗工程的检查，若发现防渗密封材料老化或损坏，应及时维修更换。</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（2）分区防治措施</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本项目为企业技改，新建内容为圈舍，包括保育舍和育肥舍。其他设施利用一期已建设的设施，如干粪堆场、发电机房、食堂隔油池、病死猪冷藏室、医疗废物暂存间。上述设施均为重点防渗区，已进行重点防渗并通过验收。</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本次扩建的建设内容圈舍为重点防渗区。</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一般防渗区为厂区道路。</w:t>
      </w:r>
    </w:p>
    <w:p>
      <w:pPr>
        <w:pStyle w:val="118"/>
        <w:widowControl w:val="0"/>
        <w:spacing w:line="360" w:lineRule="auto"/>
        <w:ind w:firstLine="480" w:firstLineChars="200"/>
        <w:contextualSpacing/>
        <w:rPr>
          <w:rFonts w:ascii="Times New Roman" w:hAnsi="Times New Roman" w:cs="Times New Roman" w:eastAsiaTheme="minorEastAsia"/>
        </w:rPr>
      </w:pPr>
      <w:r>
        <w:rPr>
          <w:rFonts w:hint="eastAsia" w:ascii="宋体" w:hAnsi="宋体" w:cs="宋体"/>
        </w:rPr>
        <w:t>①</w:t>
      </w:r>
      <w:r>
        <w:rPr>
          <w:rFonts w:ascii="Times New Roman" w:hAnsi="Times New Roman" w:cs="Times New Roman" w:eastAsiaTheme="minorEastAsia"/>
        </w:rPr>
        <w:t>对重点污染区防渗措施：</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圈舍地表均实行混凝土硬化，圈舍尿液及冲栏废水经污水管网引至污水处理系统；圈舍粪便经干清粪后送堆粪场；粪渣堆场设置雨棚、场地阻隔墙，干粪堆场废水定期送至污水处理系统（沉砂集水池、预热池、厌氧发酵池、沼气池、储液池）。污水处理构筑物均采用钢筋混凝土结构防渗；粪渣等固体废弃物及时清运，避免因降水使固体废弃物中有害成份渗出污染地下水。该类区域采取重点防渗，根据《环境影响评价技术导则-地下水》（HJ610-2016），污水处理系统、干粪堆场、圈舍等效黏土防渗层Mb≥6.0m，K≤1×10</w:t>
      </w:r>
      <w:r>
        <w:rPr>
          <w:rFonts w:ascii="Times New Roman" w:hAnsi="Times New Roman" w:cs="Times New Roman" w:eastAsiaTheme="minorEastAsia"/>
          <w:vertAlign w:val="superscript"/>
        </w:rPr>
        <w:t>-7</w:t>
      </w:r>
      <w:r>
        <w:rPr>
          <w:rFonts w:ascii="Times New Roman" w:hAnsi="Times New Roman" w:cs="Times New Roman" w:eastAsiaTheme="minorEastAsia"/>
        </w:rPr>
        <w:t>cm/s。建议采用采用粘土加HDPE膜进行防渗。</w:t>
      </w:r>
    </w:p>
    <w:p>
      <w:pPr>
        <w:pStyle w:val="118"/>
        <w:widowControl w:val="0"/>
        <w:spacing w:line="360" w:lineRule="auto"/>
        <w:ind w:firstLine="480" w:firstLineChars="200"/>
        <w:contextualSpacing/>
        <w:rPr>
          <w:rFonts w:ascii="Times New Roman" w:hAnsi="Times New Roman" w:cs="Times New Roman" w:eastAsiaTheme="minorEastAsia"/>
        </w:rPr>
      </w:pPr>
      <w:r>
        <w:rPr>
          <w:rFonts w:hint="eastAsia" w:ascii="宋体" w:hAnsi="宋体" w:cs="宋体"/>
        </w:rPr>
        <w:t>②</w:t>
      </w:r>
      <w:r>
        <w:rPr>
          <w:rFonts w:ascii="Times New Roman" w:hAnsi="Times New Roman" w:cs="Times New Roman" w:eastAsiaTheme="minorEastAsia"/>
        </w:rPr>
        <w:t>对一般污染区防渗措施：</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一般防渗区地面采取粘土铺底，等效黏土防渗层Mb≥1.5m,K≤1×10</w:t>
      </w:r>
      <w:r>
        <w:rPr>
          <w:rFonts w:ascii="Times New Roman" w:hAnsi="Times New Roman" w:cs="Times New Roman" w:eastAsiaTheme="minorEastAsia"/>
          <w:vertAlign w:val="superscript"/>
        </w:rPr>
        <w:t>-7</w:t>
      </w:r>
      <w:r>
        <w:rPr>
          <w:rFonts w:ascii="Times New Roman" w:hAnsi="Times New Roman" w:cs="Times New Roman" w:eastAsiaTheme="minorEastAsia"/>
        </w:rPr>
        <w:t>cm/s，再在上层铺10~15cm的水泥进行硬化。</w:t>
      </w:r>
    </w:p>
    <w:p>
      <w:pPr>
        <w:pStyle w:val="104"/>
      </w:pPr>
      <w:r>
        <w:t>2、重点污染区防渗措施</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圈舍尿液及冲洗废水均经过全漏缝地板进入发酵池；发酵池位于圈舍下方，即需采取重点防渗的具体区域，根据《环境影响评价技术导则-地下水》（HJ610-2016），等效黏土防渗层Mb≥6.0m，K≤1×10</w:t>
      </w:r>
      <w:r>
        <w:rPr>
          <w:rFonts w:ascii="Times New Roman" w:hAnsi="Times New Roman" w:cs="Times New Roman" w:eastAsiaTheme="minorEastAsia"/>
          <w:vertAlign w:val="superscript"/>
        </w:rPr>
        <w:t>-7</w:t>
      </w:r>
      <w:r>
        <w:rPr>
          <w:rFonts w:ascii="Times New Roman" w:hAnsi="Times New Roman" w:cs="Times New Roman" w:eastAsiaTheme="minorEastAsia"/>
        </w:rPr>
        <w:t>cm/s，采用采用粘土加HDPE膜进行防渗。企业一期采用的防渗措施为：</w:t>
      </w:r>
    </w:p>
    <w:p>
      <w:pPr>
        <w:pStyle w:val="118"/>
        <w:widowControl w:val="0"/>
        <w:spacing w:line="360" w:lineRule="auto"/>
        <w:ind w:firstLine="480" w:firstLineChars="200"/>
        <w:contextualSpacing/>
        <w:rPr>
          <w:rFonts w:ascii="Times New Roman" w:hAnsi="Times New Roman" w:cs="Times New Roman" w:eastAsiaTheme="minorEastAsia"/>
        </w:rPr>
      </w:pPr>
      <w:r>
        <w:rPr>
          <w:rFonts w:ascii="Times New Roman" w:hAnsi="Times New Roman" w:cs="Times New Roman" w:eastAsiaTheme="minorEastAsia"/>
        </w:rPr>
        <w:t>施工期间防渗照片：</w:t>
      </w:r>
    </w:p>
    <w:tbl>
      <w:tblPr>
        <w:tblStyle w:val="9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075" w:hRule="atLeast"/>
        </w:trPr>
        <w:tc>
          <w:tcPr>
            <w:tcW w:w="4261" w:type="dxa"/>
            <w:vAlign w:val="center"/>
          </w:tcPr>
          <w:p>
            <w:pPr>
              <w:pStyle w:val="118"/>
              <w:widowControl w:val="0"/>
              <w:snapToGrid w:val="0"/>
              <w:spacing w:line="470" w:lineRule="exact"/>
              <w:jc w:val="center"/>
              <w:rPr>
                <w:rFonts w:ascii="Times New Roman" w:hAnsi="Times New Roman" w:cs="Times New Roman"/>
              </w:rPr>
            </w:pPr>
            <w:r>
              <w:rPr>
                <w:rFonts w:ascii="Times New Roman" w:hAnsi="Times New Roman" w:cs="Times New Roman"/>
              </w:rPr>
              <w:drawing>
                <wp:anchor distT="0" distB="0" distL="114300" distR="114300" simplePos="0" relativeHeight="251666432" behindDoc="1" locked="0" layoutInCell="1" allowOverlap="0">
                  <wp:simplePos x="0" y="0"/>
                  <wp:positionH relativeFrom="column">
                    <wp:posOffset>-69850</wp:posOffset>
                  </wp:positionH>
                  <wp:positionV relativeFrom="paragraph">
                    <wp:posOffset>-3884930</wp:posOffset>
                  </wp:positionV>
                  <wp:extent cx="2699385" cy="3599815"/>
                  <wp:effectExtent l="0" t="0" r="5715" b="635"/>
                  <wp:wrapThrough wrapText="bothSides">
                    <wp:wrapPolygon>
                      <wp:start x="0" y="0"/>
                      <wp:lineTo x="0" y="21490"/>
                      <wp:lineTo x="21493" y="21490"/>
                      <wp:lineTo x="21493" y="0"/>
                      <wp:lineTo x="0" y="0"/>
                    </wp:wrapPolygon>
                  </wp:wrapThrough>
                  <wp:docPr id="132" name="图片 132" descr="QQ图片2019042517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QQ图片201904251701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99385" cy="3599815"/>
                          </a:xfrm>
                          <a:prstGeom prst="rect">
                            <a:avLst/>
                          </a:prstGeom>
                          <a:noFill/>
                          <a:ln>
                            <a:noFill/>
                          </a:ln>
                        </pic:spPr>
                      </pic:pic>
                    </a:graphicData>
                  </a:graphic>
                </wp:anchor>
              </w:drawing>
            </w:r>
          </w:p>
        </w:tc>
        <w:tc>
          <w:tcPr>
            <w:tcW w:w="4261" w:type="dxa"/>
            <w:vAlign w:val="center"/>
          </w:tcPr>
          <w:p>
            <w:pPr>
              <w:pStyle w:val="118"/>
              <w:widowControl w:val="0"/>
              <w:snapToGrid w:val="0"/>
              <w:spacing w:line="470" w:lineRule="exact"/>
              <w:jc w:val="center"/>
              <w:rPr>
                <w:rFonts w:ascii="Times New Roman" w:hAnsi="Times New Roman" w:cs="Times New Roman"/>
              </w:rPr>
            </w:pPr>
            <w:r>
              <w:rPr>
                <w:rFonts w:ascii="Times New Roman" w:hAnsi="Times New Roman" w:eastAsia="黑体" w:cs="Times New Roman"/>
                <w:b/>
              </w:rPr>
              <w:drawing>
                <wp:anchor distT="0" distB="0" distL="114300" distR="114300" simplePos="0" relativeHeight="251664384" behindDoc="1" locked="0" layoutInCell="1" allowOverlap="1">
                  <wp:simplePos x="0" y="0"/>
                  <wp:positionH relativeFrom="column">
                    <wp:posOffset>6350</wp:posOffset>
                  </wp:positionH>
                  <wp:positionV relativeFrom="paragraph">
                    <wp:posOffset>-3789045</wp:posOffset>
                  </wp:positionV>
                  <wp:extent cx="2700020" cy="3599815"/>
                  <wp:effectExtent l="0" t="0" r="5080" b="635"/>
                  <wp:wrapTight wrapText="bothSides">
                    <wp:wrapPolygon>
                      <wp:start x="0" y="0"/>
                      <wp:lineTo x="0" y="21490"/>
                      <wp:lineTo x="21488" y="21490"/>
                      <wp:lineTo x="21488" y="0"/>
                      <wp:lineTo x="0" y="0"/>
                    </wp:wrapPolygon>
                  </wp:wrapTight>
                  <wp:docPr id="131" name="图片 131" descr="QQ图片2019042517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QQ图片20190425170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700020" cy="3599815"/>
                          </a:xfrm>
                          <a:prstGeom prst="rect">
                            <a:avLst/>
                          </a:prstGeom>
                          <a:noFill/>
                          <a:ln>
                            <a:noFill/>
                          </a:ln>
                        </pic:spPr>
                      </pic:pic>
                    </a:graphicData>
                  </a:graphic>
                </wp:anchor>
              </w:drawing>
            </w:r>
          </w:p>
        </w:tc>
      </w:tr>
    </w:tbl>
    <w:p>
      <w:pPr>
        <w:pStyle w:val="104"/>
      </w:pPr>
      <w:r>
        <w:t>3、一般污染区防渗措施</w:t>
      </w:r>
    </w:p>
    <w:p>
      <w:pPr>
        <w:pStyle w:val="118"/>
        <w:widowControl w:val="0"/>
        <w:snapToGrid w:val="0"/>
        <w:spacing w:line="480" w:lineRule="exact"/>
        <w:ind w:firstLine="480" w:firstLineChars="200"/>
        <w:rPr>
          <w:rFonts w:ascii="Times New Roman" w:hAnsi="Times New Roman" w:cs="Times New Roman"/>
        </w:rPr>
      </w:pPr>
      <w:r>
        <w:rPr>
          <w:rFonts w:ascii="Times New Roman" w:hAnsi="Times New Roman" w:cs="Times New Roman"/>
        </w:rPr>
        <w:t>一般防渗区地面采取粘土铺底，等效黏土防渗层Mb≥1.5m；K≤1×10</w:t>
      </w:r>
      <w:r>
        <w:rPr>
          <w:rFonts w:ascii="Times New Roman" w:hAnsi="Times New Roman" w:cs="Times New Roman"/>
          <w:vertAlign w:val="superscript"/>
        </w:rPr>
        <w:t>-7</w:t>
      </w:r>
      <w:r>
        <w:rPr>
          <w:rFonts w:ascii="Times New Roman" w:hAnsi="Times New Roman" w:cs="Times New Roman"/>
        </w:rPr>
        <w:t>cm/s，再在上层铺10~15cm的水泥进行硬化。</w:t>
      </w:r>
    </w:p>
    <w:p>
      <w:pPr>
        <w:pStyle w:val="118"/>
        <w:widowControl w:val="0"/>
        <w:snapToGrid w:val="0"/>
        <w:spacing w:line="480" w:lineRule="exact"/>
        <w:ind w:firstLine="480" w:firstLineChars="200"/>
        <w:rPr>
          <w:rFonts w:ascii="Times New Roman" w:hAnsi="Times New Roman" w:cs="Times New Roman"/>
        </w:rPr>
      </w:pPr>
      <w:r>
        <w:rPr>
          <w:rFonts w:ascii="Times New Roman" w:hAnsi="Times New Roman" w:cs="Times New Roman"/>
        </w:rPr>
        <w:t>要防止项目对地下水造成污染，环项目场区除绿化用地外应进行地面硬化处理。此外，猪粪、沼渣等固体废物应及时清运，避免因降水使固体废物中有害成份渗出污染地下水；建立地下水环境监测管理体系，在场区地下水下游，设1个地下水监测点。并制定地下水环境影响跟踪监测计划，建立地下环境影响跟踪监测制度，以便发现问题及时采取措施。</w:t>
      </w:r>
    </w:p>
    <w:p>
      <w:pPr>
        <w:pStyle w:val="118"/>
        <w:widowControl w:val="0"/>
        <w:snapToGrid w:val="0"/>
        <w:spacing w:line="480" w:lineRule="exact"/>
        <w:ind w:firstLine="480" w:firstLineChars="200"/>
        <w:rPr>
          <w:rFonts w:ascii="Times New Roman" w:hAnsi="Times New Roman" w:cs="Times New Roman"/>
        </w:rPr>
      </w:pPr>
      <w:r>
        <w:rPr>
          <w:rFonts w:ascii="Times New Roman" w:hAnsi="Times New Roman" w:cs="Times New Roman"/>
        </w:rPr>
        <w:t>采取以上防治措施后，可以避免对地下水造成影响。</w:t>
      </w:r>
    </w:p>
    <w:p>
      <w:pPr>
        <w:pStyle w:val="108"/>
      </w:pPr>
      <w:bookmarkStart w:id="323" w:name="_Toc461986207"/>
      <w:bookmarkStart w:id="324" w:name="_Toc9873428"/>
      <w:r>
        <w:t>8.2.4 噪声防治措施</w:t>
      </w:r>
      <w:bookmarkEnd w:id="323"/>
      <w:bookmarkEnd w:id="324"/>
    </w:p>
    <w:p>
      <w:pPr>
        <w:autoSpaceDE w:val="0"/>
        <w:autoSpaceDN w:val="0"/>
        <w:adjustRightInd w:val="0"/>
        <w:spacing w:line="480" w:lineRule="exact"/>
        <w:ind w:firstLine="482" w:firstLineChars="200"/>
        <w:rPr>
          <w:rFonts w:ascii="Times New Roman" w:hAnsi="Times New Roman"/>
          <w:b/>
          <w:sz w:val="24"/>
        </w:rPr>
      </w:pPr>
      <w:r>
        <w:rPr>
          <w:rFonts w:ascii="Times New Roman" w:hAnsi="Times New Roman"/>
          <w:b/>
          <w:sz w:val="24"/>
        </w:rPr>
        <w:t>1、猪只叫声</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为了减少猪只叫声对操作工人及周围环境的影响，各猪舍配套有自动给水系统，保证满足猪只饮食、饮水需要，避免因饥饿或口渴而发出叫声；减少外界噪声等对猪舍的干扰，避免因惊吓而产生不安，使猪只保持安定平和的气氛，以缓解猪只的不安情绪。</w:t>
      </w:r>
    </w:p>
    <w:p>
      <w:pPr>
        <w:autoSpaceDE w:val="0"/>
        <w:autoSpaceDN w:val="0"/>
        <w:adjustRightInd w:val="0"/>
        <w:spacing w:line="480" w:lineRule="exact"/>
        <w:ind w:firstLine="482" w:firstLineChars="200"/>
        <w:rPr>
          <w:rFonts w:ascii="Times New Roman" w:hAnsi="Times New Roman"/>
          <w:b/>
          <w:sz w:val="24"/>
        </w:rPr>
      </w:pPr>
      <w:r>
        <w:rPr>
          <w:rFonts w:ascii="Times New Roman" w:hAnsi="Times New Roman"/>
          <w:b/>
          <w:sz w:val="24"/>
        </w:rPr>
        <w:t>2、猪舍排气扇噪声</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圈舍均设置有排气扇，选用高效低噪设备，基座加装减振弹簧等降噪、减振措施。</w:t>
      </w:r>
    </w:p>
    <w:p>
      <w:pPr>
        <w:autoSpaceDE w:val="0"/>
        <w:autoSpaceDN w:val="0"/>
        <w:adjustRightInd w:val="0"/>
        <w:spacing w:line="480" w:lineRule="exact"/>
        <w:ind w:firstLine="482" w:firstLineChars="200"/>
        <w:rPr>
          <w:rFonts w:ascii="Times New Roman" w:hAnsi="Times New Roman"/>
          <w:b/>
          <w:sz w:val="24"/>
        </w:rPr>
      </w:pPr>
      <w:r>
        <w:rPr>
          <w:rFonts w:ascii="Times New Roman" w:hAnsi="Times New Roman"/>
          <w:b/>
          <w:sz w:val="24"/>
        </w:rPr>
        <w:t>3、水泵</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污水处理系统中设置水泵，对废水进行提升，将水泵设置在水面以下，并选用高效低噪抽吸泵。</w:t>
      </w:r>
    </w:p>
    <w:p>
      <w:pPr>
        <w:autoSpaceDE w:val="0"/>
        <w:autoSpaceDN w:val="0"/>
        <w:adjustRightInd w:val="0"/>
        <w:spacing w:line="480" w:lineRule="exact"/>
        <w:ind w:firstLine="482" w:firstLineChars="200"/>
        <w:rPr>
          <w:rFonts w:ascii="Times New Roman" w:hAnsi="Times New Roman"/>
          <w:b/>
          <w:sz w:val="24"/>
        </w:rPr>
      </w:pPr>
      <w:r>
        <w:rPr>
          <w:rFonts w:ascii="Times New Roman" w:hAnsi="Times New Roman"/>
          <w:b/>
          <w:sz w:val="24"/>
        </w:rPr>
        <w:t>4、饲料破碎机</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饲料破碎机位于库房内，破碎机选用低噪声设备，对设备基座加装减震弹簧等降噪、减振措施。</w:t>
      </w:r>
    </w:p>
    <w:p>
      <w:pPr>
        <w:autoSpaceDE w:val="0"/>
        <w:autoSpaceDN w:val="0"/>
        <w:adjustRightInd w:val="0"/>
        <w:spacing w:line="480" w:lineRule="exact"/>
        <w:ind w:firstLine="482" w:firstLineChars="200"/>
        <w:rPr>
          <w:rFonts w:ascii="Times New Roman" w:hAnsi="Times New Roman"/>
          <w:b/>
          <w:sz w:val="24"/>
        </w:rPr>
      </w:pPr>
      <w:r>
        <w:rPr>
          <w:rFonts w:ascii="Times New Roman" w:hAnsi="Times New Roman"/>
          <w:b/>
          <w:sz w:val="24"/>
        </w:rPr>
        <w:t>以上措施简单易行，在养猪场中实施有例可循，经济技术可行。</w:t>
      </w:r>
    </w:p>
    <w:p>
      <w:pPr>
        <w:pStyle w:val="108"/>
      </w:pPr>
      <w:bookmarkStart w:id="325" w:name="_Toc9873429"/>
      <w:bookmarkStart w:id="326" w:name="_Toc461986208"/>
      <w:r>
        <w:t>8.2.5 固体废弃物处置措施</w:t>
      </w:r>
      <w:bookmarkEnd w:id="325"/>
      <w:bookmarkEnd w:id="326"/>
    </w:p>
    <w:p>
      <w:pPr>
        <w:pStyle w:val="104"/>
      </w:pPr>
      <w:r>
        <w:t>1、猪粪</w:t>
      </w:r>
    </w:p>
    <w:p>
      <w:pPr>
        <w:spacing w:line="480" w:lineRule="exact"/>
        <w:ind w:firstLine="482"/>
        <w:rPr>
          <w:rFonts w:ascii="Times New Roman" w:hAnsi="Times New Roman"/>
          <w:sz w:val="24"/>
        </w:rPr>
      </w:pPr>
      <w:r>
        <w:rPr>
          <w:rFonts w:ascii="Times New Roman" w:hAnsi="Times New Roman"/>
          <w:sz w:val="24"/>
        </w:rPr>
        <w:t>猪粪采用干清粪工艺收集，尿液中混入的猪粪进入固液分离机脱水处理，干猪粪外送有机肥厂堆肥；</w:t>
      </w:r>
    </w:p>
    <w:p>
      <w:pPr>
        <w:pStyle w:val="104"/>
      </w:pPr>
      <w:r>
        <w:t>2、病死猪</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病死猪若处理不当，将对环境造成严重影响。根据《中华人民共和国动物防疫法》第16条“染疫动物及其排泄物、染病动物产品、病死或者死因不明的动物尸体，必须按国务院畜牧兽医行政管理部门的有关规定处理，不得随意处置”。按照上述要求，本项目对病死猪必须及时处理，严禁随意丢弃、出售或作为饲料再利用。</w:t>
      </w:r>
      <w:r>
        <w:rPr>
          <w:rFonts w:ascii="Times New Roman" w:hAnsi="Times New Roman"/>
          <w:sz w:val="24"/>
          <w:lang w:val="zh-CN"/>
        </w:rPr>
        <w:t>建设单位拟将本项目产生的病死猪拟交由成都市科农动物无害化处置公司处置（协议见附件）。</w:t>
      </w:r>
      <w:r>
        <w:rPr>
          <w:rFonts w:ascii="Times New Roman" w:hAnsi="Times New Roman"/>
          <w:sz w:val="24"/>
        </w:rPr>
        <w:t>评价要求病死猪必须严格按照技术规范中无害化处理要求，并在当地畜牧主管部门的监督下进行无害化处理，同时建立病死猪处理台账，便于当地畜牧主管部门进行监管。</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通过以上措施，建设项目产生的固体废物均得到了妥善处置和利用，符合《畜禽养殖业污染防治技术政策》，不会对环境产生有害影响。</w:t>
      </w:r>
    </w:p>
    <w:p>
      <w:pPr>
        <w:pStyle w:val="104"/>
      </w:pPr>
      <w:r>
        <w:t>3、生活垃圾</w:t>
      </w:r>
    </w:p>
    <w:p>
      <w:pPr>
        <w:spacing w:line="480" w:lineRule="exact"/>
        <w:ind w:firstLine="482"/>
        <w:rPr>
          <w:rFonts w:ascii="Times New Roman" w:hAnsi="Times New Roman"/>
          <w:snapToGrid w:val="0"/>
          <w:sz w:val="24"/>
        </w:rPr>
      </w:pPr>
      <w:r>
        <w:rPr>
          <w:rFonts w:ascii="Times New Roman" w:hAnsi="Times New Roman"/>
          <w:sz w:val="24"/>
        </w:rPr>
        <w:t>项目生活区设置垃圾桶，统一收集后交由当地环卫部门统一处理。厂区设置职工食堂，产生的餐厨</w:t>
      </w:r>
      <w:r>
        <w:rPr>
          <w:rFonts w:ascii="Times New Roman" w:hAnsi="Times New Roman"/>
          <w:snapToGrid w:val="0"/>
          <w:sz w:val="24"/>
        </w:rPr>
        <w:t>由有资质的餐厨回收机构进行处理。</w:t>
      </w:r>
    </w:p>
    <w:p>
      <w:pPr>
        <w:pStyle w:val="104"/>
      </w:pPr>
      <w:r>
        <w:t>4、医疗废物</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废弃药品、废弃兽药包装袋、过期兽药等医疗废物统一收集至密闭且防泄露的专用贮存容器中后堆放在厂区西南角危废暂存间间，杜绝混入生活垃圾中，医疗废物暂存点和垃圾桶分开设置，保持环境整洁，夏季应采取灭蝇措施。医疗废物收集一定量后交由具有医疗废物处理资质的单位收集处置，运输过程中，必须保证贮存容器的密闭性，且运输设备需做好防泄露措施。</w:t>
      </w:r>
    </w:p>
    <w:p>
      <w:pPr>
        <w:pStyle w:val="104"/>
      </w:pPr>
      <w:r>
        <w:t>5、废活性炭</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圈舍废气净化废活性炭送有资质的单位处置。</w:t>
      </w:r>
    </w:p>
    <w:p>
      <w:pPr>
        <w:autoSpaceDE w:val="0"/>
        <w:autoSpaceDN w:val="0"/>
        <w:adjustRightInd w:val="0"/>
        <w:spacing w:line="480" w:lineRule="exact"/>
        <w:ind w:firstLine="480" w:firstLineChars="200"/>
        <w:rPr>
          <w:rFonts w:ascii="Times New Roman" w:hAnsi="Times New Roman"/>
          <w:sz w:val="24"/>
        </w:rPr>
      </w:pPr>
      <w:bookmarkStart w:id="327" w:name="_Toc396141853"/>
      <w:bookmarkStart w:id="328" w:name="_Toc397074580"/>
      <w:bookmarkStart w:id="329" w:name="_Toc461986209"/>
      <w:r>
        <w:rPr>
          <w:rFonts w:ascii="Times New Roman" w:hAnsi="Times New Roman"/>
          <w:sz w:val="24"/>
        </w:rPr>
        <w:t xml:space="preserve">   全厂固体废弃物产生及处置情况见下表。</w:t>
      </w:r>
    </w:p>
    <w:p>
      <w:pPr>
        <w:autoSpaceDE w:val="0"/>
        <w:autoSpaceDN w:val="0"/>
        <w:adjustRightInd w:val="0"/>
        <w:spacing w:line="480" w:lineRule="exact"/>
        <w:ind w:firstLine="420" w:firstLineChars="200"/>
        <w:jc w:val="center"/>
        <w:rPr>
          <w:rFonts w:ascii="Times New Roman" w:hAnsi="Times New Roman" w:eastAsia="黑体"/>
          <w:sz w:val="21"/>
          <w:szCs w:val="21"/>
        </w:rPr>
      </w:pPr>
      <w:r>
        <w:rPr>
          <w:rFonts w:ascii="Times New Roman" w:hAnsi="Times New Roman" w:eastAsia="黑体"/>
          <w:sz w:val="21"/>
          <w:szCs w:val="21"/>
        </w:rPr>
        <w:t>表8.2-1 全厂固体废物产生及处置情况一览表</w:t>
      </w:r>
    </w:p>
    <w:tbl>
      <w:tblPr>
        <w:tblStyle w:val="90"/>
        <w:tblW w:w="8062"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268"/>
        <w:gridCol w:w="1830"/>
        <w:gridCol w:w="1458"/>
        <w:gridCol w:w="2506"/>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226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污染源</w:t>
            </w:r>
          </w:p>
        </w:tc>
        <w:tc>
          <w:tcPr>
            <w:tcW w:w="1830"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名称</w:t>
            </w:r>
          </w:p>
        </w:tc>
        <w:tc>
          <w:tcPr>
            <w:tcW w:w="145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产生量（t/a）</w:t>
            </w:r>
          </w:p>
        </w:tc>
        <w:tc>
          <w:tcPr>
            <w:tcW w:w="2506"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处置处理方法及去向</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25" w:hRule="atLeast"/>
          <w:jc w:val="center"/>
        </w:trPr>
        <w:tc>
          <w:tcPr>
            <w:tcW w:w="226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圈舍</w:t>
            </w:r>
          </w:p>
        </w:tc>
        <w:tc>
          <w:tcPr>
            <w:tcW w:w="1830"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干猪粪</w:t>
            </w:r>
          </w:p>
        </w:tc>
        <w:tc>
          <w:tcPr>
            <w:tcW w:w="145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10168.9</w:t>
            </w:r>
          </w:p>
        </w:tc>
        <w:tc>
          <w:tcPr>
            <w:tcW w:w="2506" w:type="dxa"/>
          </w:tcPr>
          <w:p>
            <w:pPr>
              <w:pStyle w:val="113"/>
              <w:spacing w:line="320" w:lineRule="exact"/>
              <w:rPr>
                <w:rFonts w:ascii="Times New Roman" w:hAnsi="Times New Roman" w:eastAsia="宋体"/>
                <w:sz w:val="21"/>
                <w:szCs w:val="21"/>
              </w:rPr>
            </w:pPr>
            <w:r>
              <w:rPr>
                <w:rFonts w:ascii="Times New Roman" w:hAnsi="Times New Roman" w:eastAsia="宋体"/>
                <w:sz w:val="21"/>
                <w:szCs w:val="21"/>
              </w:rPr>
              <w:t>外卖有机肥厂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25" w:hRule="atLeast"/>
          <w:jc w:val="center"/>
        </w:trPr>
        <w:tc>
          <w:tcPr>
            <w:tcW w:w="2268"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圈舍</w:t>
            </w:r>
          </w:p>
        </w:tc>
        <w:tc>
          <w:tcPr>
            <w:tcW w:w="1830"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病死猪</w:t>
            </w:r>
          </w:p>
        </w:tc>
        <w:tc>
          <w:tcPr>
            <w:tcW w:w="1458"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w:t>
            </w:r>
          </w:p>
        </w:tc>
        <w:tc>
          <w:tcPr>
            <w:tcW w:w="2506"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冷冻暂存，送有资质单位处理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25" w:hRule="atLeast"/>
          <w:jc w:val="center"/>
        </w:trPr>
        <w:tc>
          <w:tcPr>
            <w:tcW w:w="2268"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隔离圈舍、兽医室</w:t>
            </w:r>
          </w:p>
        </w:tc>
        <w:tc>
          <w:tcPr>
            <w:tcW w:w="1830"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废医疗器具</w:t>
            </w:r>
          </w:p>
        </w:tc>
        <w:tc>
          <w:tcPr>
            <w:tcW w:w="1458"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w:t>
            </w:r>
          </w:p>
        </w:tc>
        <w:tc>
          <w:tcPr>
            <w:tcW w:w="2506" w:type="dxa"/>
            <w:vAlign w:val="center"/>
          </w:tcPr>
          <w:p>
            <w:pPr>
              <w:snapToGrid w:val="0"/>
              <w:spacing w:line="320" w:lineRule="exact"/>
              <w:jc w:val="center"/>
              <w:rPr>
                <w:rFonts w:ascii="Times New Roman" w:hAnsi="Times New Roman"/>
                <w:sz w:val="21"/>
                <w:szCs w:val="21"/>
              </w:rPr>
            </w:pPr>
            <w:r>
              <w:rPr>
                <w:rFonts w:ascii="Times New Roman" w:hAnsi="Times New Roman"/>
                <w:sz w:val="21"/>
                <w:szCs w:val="21"/>
              </w:rPr>
              <w:t>送有资质的单位处置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5" w:hRule="atLeast"/>
          <w:jc w:val="center"/>
        </w:trPr>
        <w:tc>
          <w:tcPr>
            <w:tcW w:w="226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办公生活区</w:t>
            </w:r>
          </w:p>
        </w:tc>
        <w:tc>
          <w:tcPr>
            <w:tcW w:w="1830"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生活垃圾</w:t>
            </w:r>
          </w:p>
        </w:tc>
        <w:tc>
          <w:tcPr>
            <w:tcW w:w="145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0.5</w:t>
            </w:r>
          </w:p>
        </w:tc>
        <w:tc>
          <w:tcPr>
            <w:tcW w:w="2506" w:type="dxa"/>
          </w:tcPr>
          <w:p>
            <w:pPr>
              <w:pStyle w:val="113"/>
              <w:spacing w:line="320" w:lineRule="exact"/>
              <w:ind w:firstLine="19"/>
              <w:rPr>
                <w:rFonts w:ascii="Times New Roman" w:hAnsi="Times New Roman" w:eastAsia="宋体"/>
                <w:sz w:val="21"/>
                <w:szCs w:val="21"/>
              </w:rPr>
            </w:pPr>
            <w:r>
              <w:rPr>
                <w:rFonts w:ascii="Times New Roman" w:hAnsi="Times New Roman" w:eastAsia="宋体"/>
                <w:sz w:val="21"/>
                <w:szCs w:val="21"/>
              </w:rPr>
              <w:t>送垃圾场处置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5" w:hRule="atLeast"/>
          <w:jc w:val="center"/>
        </w:trPr>
        <w:tc>
          <w:tcPr>
            <w:tcW w:w="226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圈舍废气净化</w:t>
            </w:r>
          </w:p>
        </w:tc>
        <w:tc>
          <w:tcPr>
            <w:tcW w:w="1830"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废活性炭</w:t>
            </w:r>
          </w:p>
        </w:tc>
        <w:tc>
          <w:tcPr>
            <w:tcW w:w="145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1</w:t>
            </w:r>
          </w:p>
        </w:tc>
        <w:tc>
          <w:tcPr>
            <w:tcW w:w="2506" w:type="dxa"/>
          </w:tcPr>
          <w:p>
            <w:pPr>
              <w:pStyle w:val="113"/>
              <w:spacing w:line="320" w:lineRule="exact"/>
              <w:ind w:firstLine="19"/>
              <w:rPr>
                <w:rFonts w:ascii="Times New Roman" w:hAnsi="Times New Roman" w:eastAsia="宋体"/>
                <w:sz w:val="21"/>
                <w:szCs w:val="21"/>
              </w:rPr>
            </w:pPr>
            <w:r>
              <w:rPr>
                <w:rFonts w:ascii="Times New Roman" w:hAnsi="Times New Roman" w:eastAsia="宋体"/>
                <w:sz w:val="21"/>
                <w:szCs w:val="21"/>
              </w:rPr>
              <w:t>送有资质的单位处置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65" w:hRule="atLeast"/>
          <w:jc w:val="center"/>
        </w:trPr>
        <w:tc>
          <w:tcPr>
            <w:tcW w:w="2268" w:type="dxa"/>
            <w:vAlign w:val="center"/>
          </w:tcPr>
          <w:p>
            <w:pPr>
              <w:pStyle w:val="113"/>
              <w:spacing w:line="320" w:lineRule="exact"/>
              <w:rPr>
                <w:rFonts w:ascii="Times New Roman" w:hAnsi="Times New Roman" w:eastAsia="宋体"/>
                <w:sz w:val="21"/>
                <w:szCs w:val="21"/>
              </w:rPr>
            </w:pPr>
            <w:r>
              <w:rPr>
                <w:rFonts w:ascii="Times New Roman" w:hAnsi="Times New Roman" w:eastAsia="宋体"/>
                <w:sz w:val="21"/>
                <w:szCs w:val="21"/>
              </w:rPr>
              <w:t>合计</w:t>
            </w:r>
          </w:p>
        </w:tc>
        <w:tc>
          <w:tcPr>
            <w:tcW w:w="5794" w:type="dxa"/>
            <w:gridSpan w:val="3"/>
            <w:vAlign w:val="center"/>
          </w:tcPr>
          <w:p>
            <w:pPr>
              <w:pStyle w:val="113"/>
              <w:spacing w:line="320" w:lineRule="exact"/>
              <w:jc w:val="both"/>
              <w:rPr>
                <w:rFonts w:ascii="Times New Roman" w:hAnsi="Times New Roman" w:eastAsia="宋体"/>
                <w:sz w:val="21"/>
                <w:szCs w:val="21"/>
              </w:rPr>
            </w:pPr>
            <w:r>
              <w:rPr>
                <w:rFonts w:ascii="Times New Roman" w:hAnsi="Times New Roman" w:eastAsia="宋体"/>
                <w:sz w:val="21"/>
                <w:szCs w:val="21"/>
              </w:rPr>
              <w:t>产生量：10170.4t/a，处理量：10170.4t/a，排放量：0t/a</w:t>
            </w:r>
          </w:p>
        </w:tc>
      </w:tr>
    </w:tbl>
    <w:p>
      <w:pPr>
        <w:pStyle w:val="108"/>
      </w:pPr>
      <w:bookmarkStart w:id="330" w:name="_Toc9873430"/>
      <w:r>
        <w:t>8.2.6 绿化措施</w:t>
      </w:r>
      <w:bookmarkEnd w:id="327"/>
      <w:bookmarkEnd w:id="328"/>
      <w:bookmarkEnd w:id="329"/>
      <w:bookmarkEnd w:id="330"/>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养殖场营运期间大气的污染主要为恶臭气体，在场区内外采取有效的绿化措施是非常必要的。选择绿化植物的原则为：拥有较强抗污染和净化空气能力的植物；适应性强，易栽易管，容易繁殖；以当地土生植物为主；在必要地点可栽培抗性弱和敏感性强的指示性植物；草皮应选择用适应性强、耐践踏、耐修剪、生长期长、植株低矮、繁殖快、再生力强的草种。</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场界拟设置2m~5m绿化带，宜选择香樟，广玉兰等植物；场区内道路两侧及圈舍周围修建约2m宽绿化带，宜采用乔木为主，灌木搭配种植，如选种杜松等四季常青树种。</w:t>
      </w:r>
    </w:p>
    <w:p>
      <w:pPr>
        <w:spacing w:line="480" w:lineRule="exact"/>
        <w:ind w:firstLine="480" w:firstLineChars="200"/>
        <w:rPr>
          <w:rFonts w:ascii="Times New Roman" w:hAnsi="Times New Roman"/>
          <w:sz w:val="24"/>
        </w:rPr>
      </w:pPr>
      <w:r>
        <w:rPr>
          <w:rFonts w:ascii="Times New Roman" w:hAnsi="Times New Roman"/>
          <w:sz w:val="24"/>
        </w:rPr>
        <w:t>（1）场界</w:t>
      </w:r>
    </w:p>
    <w:p>
      <w:pPr>
        <w:spacing w:line="480" w:lineRule="exact"/>
        <w:ind w:firstLine="480" w:firstLineChars="200"/>
        <w:rPr>
          <w:rFonts w:ascii="Times New Roman" w:hAnsi="Times New Roman"/>
          <w:sz w:val="24"/>
        </w:rPr>
      </w:pPr>
      <w:r>
        <w:rPr>
          <w:rFonts w:ascii="Times New Roman" w:hAnsi="Times New Roman"/>
          <w:sz w:val="24"/>
        </w:rPr>
        <w:t>场界拟设置2m~5m绿化带，在厂界附近根据用地情况适当设置观赏绿化带。采用乔、灌、草立体绿化方式，乔木可选择桑树、梧桐、日本女贞、刺槐等树种，灌木可选择夹竹桃、冬青等树种，地面采用耐践踏、长势好的草种，形成集防尘、隔声、美化为一体的绿化隔离带。</w:t>
      </w:r>
    </w:p>
    <w:p>
      <w:pPr>
        <w:spacing w:line="480" w:lineRule="exact"/>
        <w:ind w:firstLine="480" w:firstLineChars="200"/>
        <w:rPr>
          <w:rFonts w:ascii="Times New Roman" w:hAnsi="Times New Roman"/>
          <w:sz w:val="24"/>
        </w:rPr>
      </w:pPr>
      <w:r>
        <w:rPr>
          <w:rFonts w:ascii="Times New Roman" w:hAnsi="Times New Roman"/>
          <w:sz w:val="24"/>
        </w:rPr>
        <w:t>（2）场区内</w:t>
      </w:r>
    </w:p>
    <w:p>
      <w:pPr>
        <w:spacing w:line="480" w:lineRule="exact"/>
        <w:ind w:firstLine="480" w:firstLineChars="200"/>
        <w:rPr>
          <w:rFonts w:ascii="Times New Roman" w:hAnsi="Times New Roman"/>
          <w:sz w:val="24"/>
        </w:rPr>
      </w:pPr>
      <w:r>
        <w:rPr>
          <w:rFonts w:ascii="Times New Roman" w:hAnsi="Times New Roman"/>
          <w:sz w:val="24"/>
        </w:rPr>
        <w:t>对场区内部闲置空地进行绿化美化，在场区空地、办公楼旁边的空地上种植草坪，草坪四周种香樟，广玉兰等植物。在圈舍、污水处理设施、堆肥场地等主要恶臭污染源圈舍周围修建约2m宽绿化带，种植一些吸附能力较强的灌木，如夹竹桃、冬青等树种。另外，对场区预留发展用也应进行绿化。</w:t>
      </w:r>
    </w:p>
    <w:p>
      <w:pPr>
        <w:spacing w:line="480" w:lineRule="exact"/>
        <w:ind w:firstLine="480" w:firstLineChars="200"/>
        <w:rPr>
          <w:rFonts w:ascii="Times New Roman" w:hAnsi="Times New Roman"/>
          <w:sz w:val="24"/>
        </w:rPr>
      </w:pPr>
      <w:r>
        <w:rPr>
          <w:rFonts w:ascii="Times New Roman" w:hAnsi="Times New Roman"/>
          <w:sz w:val="24"/>
        </w:rPr>
        <w:t>（3）场外</w:t>
      </w:r>
    </w:p>
    <w:p>
      <w:pPr>
        <w:autoSpaceDE w:val="0"/>
        <w:autoSpaceDN w:val="0"/>
        <w:adjustRightInd w:val="0"/>
        <w:spacing w:line="480" w:lineRule="exact"/>
        <w:ind w:firstLine="480" w:firstLineChars="200"/>
        <w:rPr>
          <w:rFonts w:ascii="Times New Roman" w:hAnsi="Times New Roman"/>
          <w:sz w:val="24"/>
        </w:rPr>
      </w:pPr>
      <w:r>
        <w:rPr>
          <w:rFonts w:ascii="Times New Roman" w:hAnsi="Times New Roman"/>
          <w:sz w:val="24"/>
        </w:rPr>
        <w:t>项目在征地范围外，另外租用100亩用于种植绿化，租用地位于场区东面和南面。可以起到良好的绿化隔离效果。</w:t>
      </w:r>
    </w:p>
    <w:p>
      <w:pPr>
        <w:pStyle w:val="103"/>
        <w:numPr>
          <w:ilvl w:val="0"/>
          <w:numId w:val="0"/>
        </w:numPr>
        <w:rPr>
          <w:rFonts w:ascii="Times New Roman" w:hAnsi="Times New Roman"/>
          <w:sz w:val="28"/>
        </w:rPr>
      </w:pPr>
      <w:bookmarkStart w:id="331" w:name="_Toc9873431"/>
      <w:r>
        <w:rPr>
          <w:rFonts w:ascii="Times New Roman" w:hAnsi="Times New Roman"/>
          <w:b w:val="0"/>
          <w:bCs/>
          <w:kern w:val="28"/>
          <w:sz w:val="32"/>
          <w:szCs w:val="32"/>
        </w:rPr>
        <w:t>8.3  环保投资</w:t>
      </w:r>
      <w:bookmarkEnd w:id="331"/>
    </w:p>
    <w:p>
      <w:pPr>
        <w:spacing w:line="480" w:lineRule="exact"/>
        <w:ind w:firstLine="480" w:firstLineChars="200"/>
        <w:rPr>
          <w:rFonts w:ascii="Times New Roman" w:hAnsi="Times New Roman"/>
          <w:sz w:val="24"/>
        </w:rPr>
      </w:pPr>
      <w:r>
        <w:rPr>
          <w:rFonts w:ascii="Times New Roman" w:hAnsi="Times New Roman"/>
          <w:sz w:val="24"/>
        </w:rPr>
        <w:t>通过对工程所需的环境污染治理分析，环保投资325万元，占项目总投资3000万元的10.8%。环保设施投资估算见表8.3-1。</w:t>
      </w:r>
    </w:p>
    <w:p>
      <w:pPr>
        <w:widowControl/>
        <w:spacing w:line="240" w:lineRule="auto"/>
        <w:jc w:val="left"/>
        <w:rPr>
          <w:rFonts w:ascii="Times New Roman" w:hAnsi="Times New Roman" w:eastAsia="黑体"/>
          <w:sz w:val="21"/>
          <w:szCs w:val="21"/>
        </w:rPr>
      </w:pPr>
      <w:r>
        <w:rPr>
          <w:rFonts w:ascii="Times New Roman" w:hAnsi="Times New Roman" w:eastAsia="黑体"/>
          <w:sz w:val="21"/>
          <w:szCs w:val="21"/>
        </w:rPr>
        <w:br w:type="page"/>
      </w:r>
    </w:p>
    <w:p>
      <w:pPr>
        <w:spacing w:line="480" w:lineRule="exact"/>
        <w:ind w:firstLine="420" w:firstLineChars="200"/>
        <w:jc w:val="center"/>
        <w:rPr>
          <w:rFonts w:ascii="Times New Roman" w:hAnsi="Times New Roman" w:eastAsia="黑体"/>
          <w:sz w:val="21"/>
          <w:szCs w:val="21"/>
        </w:rPr>
      </w:pPr>
      <w:r>
        <w:rPr>
          <w:rFonts w:ascii="Times New Roman" w:hAnsi="Times New Roman" w:eastAsia="黑体"/>
          <w:sz w:val="21"/>
          <w:szCs w:val="21"/>
        </w:rPr>
        <w:t>表8.3-1  项目环保投资一览表</w:t>
      </w:r>
    </w:p>
    <w:tbl>
      <w:tblPr>
        <w:tblStyle w:val="90"/>
        <w:tblW w:w="8528"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385"/>
        <w:gridCol w:w="5391"/>
        <w:gridCol w:w="1752"/>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Align w:val="center"/>
          </w:tcPr>
          <w:p>
            <w:pPr>
              <w:autoSpaceDE w:val="0"/>
              <w:autoSpaceDN w:val="0"/>
              <w:adjustRightInd w:val="0"/>
              <w:spacing w:line="460" w:lineRule="exact"/>
              <w:jc w:val="center"/>
              <w:rPr>
                <w:rFonts w:ascii="Times New Roman" w:hAnsi="Times New Roman" w:eastAsiaTheme="minorEastAsia"/>
                <w:b/>
                <w:sz w:val="21"/>
                <w:szCs w:val="21"/>
              </w:rPr>
            </w:pPr>
            <w:r>
              <w:rPr>
                <w:rFonts w:ascii="Times New Roman" w:hAnsi="Times New Roman" w:eastAsiaTheme="minorEastAsia"/>
                <w:b/>
                <w:sz w:val="21"/>
                <w:szCs w:val="21"/>
              </w:rPr>
              <w:t>类型</w:t>
            </w:r>
          </w:p>
        </w:tc>
        <w:tc>
          <w:tcPr>
            <w:tcW w:w="5391" w:type="dxa"/>
            <w:vAlign w:val="center"/>
          </w:tcPr>
          <w:p>
            <w:pPr>
              <w:autoSpaceDE w:val="0"/>
              <w:autoSpaceDN w:val="0"/>
              <w:adjustRightInd w:val="0"/>
              <w:spacing w:line="460" w:lineRule="exact"/>
              <w:jc w:val="center"/>
              <w:rPr>
                <w:rFonts w:ascii="Times New Roman" w:hAnsi="Times New Roman" w:eastAsiaTheme="minorEastAsia"/>
                <w:b/>
                <w:sz w:val="21"/>
                <w:szCs w:val="21"/>
              </w:rPr>
            </w:pPr>
            <w:r>
              <w:rPr>
                <w:rFonts w:ascii="Times New Roman" w:hAnsi="Times New Roman" w:eastAsiaTheme="minorEastAsia"/>
                <w:b/>
                <w:sz w:val="21"/>
                <w:szCs w:val="21"/>
              </w:rPr>
              <w:t>环保措施</w:t>
            </w:r>
          </w:p>
        </w:tc>
        <w:tc>
          <w:tcPr>
            <w:tcW w:w="1752" w:type="dxa"/>
            <w:vAlign w:val="center"/>
          </w:tcPr>
          <w:p>
            <w:pPr>
              <w:autoSpaceDE w:val="0"/>
              <w:autoSpaceDN w:val="0"/>
              <w:adjustRightInd w:val="0"/>
              <w:spacing w:line="460" w:lineRule="exact"/>
              <w:jc w:val="center"/>
              <w:rPr>
                <w:rFonts w:ascii="Times New Roman" w:hAnsi="Times New Roman" w:eastAsiaTheme="minorEastAsia"/>
                <w:b/>
                <w:sz w:val="21"/>
                <w:szCs w:val="21"/>
              </w:rPr>
            </w:pPr>
            <w:r>
              <w:rPr>
                <w:rFonts w:ascii="Times New Roman" w:hAnsi="Times New Roman" w:eastAsiaTheme="minorEastAsia"/>
                <w:b/>
                <w:sz w:val="21"/>
                <w:szCs w:val="21"/>
              </w:rPr>
              <w:t>投资额（万元）</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Merge w:val="restart"/>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废水治理</w:t>
            </w: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场区雨污分流，管网建设</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计入主体工程</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Merge w:val="continue"/>
            <w:vAlign w:val="center"/>
          </w:tcPr>
          <w:p>
            <w:pPr>
              <w:autoSpaceDE w:val="0"/>
              <w:autoSpaceDN w:val="0"/>
              <w:adjustRightInd w:val="0"/>
              <w:jc w:val="center"/>
              <w:rPr>
                <w:rFonts w:ascii="Times New Roman" w:hAnsi="Times New Roman" w:eastAsiaTheme="minorEastAsia"/>
                <w:sz w:val="21"/>
                <w:szCs w:val="21"/>
              </w:rPr>
            </w:pP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污水处理发酵深坑：65000m</w:t>
            </w:r>
            <w:r>
              <w:rPr>
                <w:rFonts w:ascii="Times New Roman" w:hAnsi="Times New Roman" w:eastAsiaTheme="minorEastAsia"/>
                <w:sz w:val="21"/>
                <w:szCs w:val="21"/>
                <w:vertAlign w:val="superscript"/>
              </w:rPr>
              <w:t>3</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200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地下水防渗措施</w:t>
            </w:r>
          </w:p>
        </w:tc>
        <w:tc>
          <w:tcPr>
            <w:tcW w:w="5391" w:type="dxa"/>
            <w:vAlign w:val="center"/>
          </w:tcPr>
          <w:p>
            <w:pPr>
              <w:pStyle w:val="32"/>
              <w:spacing w:line="320" w:lineRule="exact"/>
              <w:ind w:left="31" w:leftChars="11"/>
              <w:jc w:val="center"/>
              <w:rPr>
                <w:rFonts w:cs="Times New Roman"/>
                <w:sz w:val="21"/>
                <w:szCs w:val="21"/>
              </w:rPr>
            </w:pPr>
            <w:r>
              <w:rPr>
                <w:rFonts w:cs="Times New Roman"/>
                <w:sz w:val="21"/>
                <w:szCs w:val="21"/>
              </w:rPr>
              <w:t>场区防渗处理，重点防渗区等效黏土防渗层Mb≥6.0m，K≤1×10</w:t>
            </w:r>
            <w:r>
              <w:rPr>
                <w:rFonts w:cs="Times New Roman"/>
                <w:sz w:val="21"/>
                <w:szCs w:val="21"/>
                <w:vertAlign w:val="superscript"/>
              </w:rPr>
              <w:t>-7</w:t>
            </w:r>
            <w:r>
              <w:rPr>
                <w:rFonts w:cs="Times New Roman"/>
                <w:sz w:val="21"/>
                <w:szCs w:val="21"/>
              </w:rPr>
              <w:t>cm/s，建议采用采用粘土加HDPE膜进行防渗；一般防渗区地面采取粘土铺底，等效黏土防渗层Mb≥1.5m，K≤1×10</w:t>
            </w:r>
            <w:r>
              <w:rPr>
                <w:rFonts w:cs="Times New Roman"/>
                <w:sz w:val="21"/>
                <w:szCs w:val="21"/>
                <w:vertAlign w:val="superscript"/>
              </w:rPr>
              <w:t>-7</w:t>
            </w:r>
            <w:r>
              <w:rPr>
                <w:rFonts w:cs="Times New Roman"/>
                <w:sz w:val="21"/>
                <w:szCs w:val="21"/>
              </w:rPr>
              <w:t>cm/s，再在上层铺10~15cm的水泥进行硬化。圈舍下方发酵深坑为重点防渗。</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100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trPr>
        <w:tc>
          <w:tcPr>
            <w:tcW w:w="1385"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废气治理</w:t>
            </w: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圈舍恶臭气体经收集，活性炭处理后排放；划定防护距离</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计入主体工程</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噪声</w:t>
            </w: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构筑物隔声，部分噪声设备安装消音器、减震垫等措施</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Merge w:val="restart"/>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固体废物</w:t>
            </w: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医疗废物由资质单位回收处置</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Merge w:val="continue"/>
            <w:vAlign w:val="center"/>
          </w:tcPr>
          <w:p>
            <w:pPr>
              <w:autoSpaceDE w:val="0"/>
              <w:autoSpaceDN w:val="0"/>
              <w:adjustRightInd w:val="0"/>
              <w:jc w:val="center"/>
              <w:rPr>
                <w:rFonts w:ascii="Times New Roman" w:hAnsi="Times New Roman" w:eastAsiaTheme="minorEastAsia"/>
                <w:sz w:val="21"/>
                <w:szCs w:val="21"/>
              </w:rPr>
            </w:pP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病死猪只外委处置</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2</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Merge w:val="continue"/>
            <w:vAlign w:val="center"/>
          </w:tcPr>
          <w:p>
            <w:pPr>
              <w:autoSpaceDE w:val="0"/>
              <w:autoSpaceDN w:val="0"/>
              <w:adjustRightInd w:val="0"/>
              <w:jc w:val="center"/>
              <w:rPr>
                <w:rFonts w:ascii="Times New Roman" w:hAnsi="Times New Roman" w:eastAsiaTheme="minorEastAsia"/>
                <w:sz w:val="21"/>
                <w:szCs w:val="21"/>
              </w:rPr>
            </w:pP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生活垃圾由环卫部门定期清运</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1</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Merge w:val="continue"/>
            <w:vAlign w:val="center"/>
          </w:tcPr>
          <w:p>
            <w:pPr>
              <w:autoSpaceDE w:val="0"/>
              <w:autoSpaceDN w:val="0"/>
              <w:adjustRightInd w:val="0"/>
              <w:jc w:val="center"/>
              <w:rPr>
                <w:rFonts w:ascii="Times New Roman" w:hAnsi="Times New Roman" w:eastAsiaTheme="minorEastAsia"/>
                <w:sz w:val="21"/>
                <w:szCs w:val="21"/>
              </w:rPr>
            </w:pP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废活性炭交有资质单位处置</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10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85"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绿化</w:t>
            </w:r>
          </w:p>
        </w:tc>
        <w:tc>
          <w:tcPr>
            <w:tcW w:w="5391"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生态保护及绿化措施，场界及场区内道路两侧及圈舍周围</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计入主体工程</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6776" w:type="dxa"/>
            <w:gridSpan w:val="2"/>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合计</w:t>
            </w:r>
          </w:p>
        </w:tc>
        <w:tc>
          <w:tcPr>
            <w:tcW w:w="1752" w:type="dxa"/>
            <w:vAlign w:val="center"/>
          </w:tcPr>
          <w:p>
            <w:pPr>
              <w:autoSpaceDE w:val="0"/>
              <w:autoSpaceDN w:val="0"/>
              <w:adjustRightInd w:val="0"/>
              <w:jc w:val="center"/>
              <w:rPr>
                <w:rFonts w:ascii="Times New Roman" w:hAnsi="Times New Roman" w:eastAsiaTheme="minorEastAsia"/>
                <w:sz w:val="21"/>
                <w:szCs w:val="21"/>
              </w:rPr>
            </w:pPr>
            <w:r>
              <w:rPr>
                <w:rFonts w:ascii="Times New Roman" w:hAnsi="Times New Roman" w:eastAsiaTheme="minorEastAsia"/>
                <w:sz w:val="21"/>
                <w:szCs w:val="21"/>
              </w:rPr>
              <w:t>325</w:t>
            </w:r>
          </w:p>
        </w:tc>
      </w:tr>
    </w:tbl>
    <w:p>
      <w:pPr>
        <w:widowControl/>
        <w:adjustRightInd w:val="0"/>
        <w:snapToGrid w:val="0"/>
        <w:spacing w:line="500" w:lineRule="exact"/>
        <w:rPr>
          <w:rFonts w:ascii="Times New Roman" w:hAnsi="Times New Roman"/>
          <w:b/>
          <w:sz w:val="24"/>
        </w:rPr>
      </w:pPr>
    </w:p>
    <w:p>
      <w:pPr>
        <w:widowControl/>
        <w:spacing w:line="240" w:lineRule="auto"/>
        <w:jc w:val="left"/>
        <w:rPr>
          <w:rFonts w:ascii="Times New Roman" w:hAnsi="Times New Roman"/>
          <w:sz w:val="24"/>
        </w:rPr>
      </w:pPr>
      <w:r>
        <w:rPr>
          <w:rFonts w:ascii="Times New Roman" w:hAnsi="Times New Roman"/>
          <w:sz w:val="24"/>
        </w:rPr>
        <w:br w:type="page"/>
      </w:r>
    </w:p>
    <w:p>
      <w:pPr>
        <w:pStyle w:val="101"/>
        <w:spacing w:before="780" w:after="780"/>
        <w:rPr>
          <w:rFonts w:ascii="Times New Roman" w:hAnsi="Times New Roman"/>
        </w:rPr>
      </w:pPr>
      <w:bookmarkStart w:id="332" w:name="_Toc9873432"/>
      <w:r>
        <w:rPr>
          <w:rFonts w:ascii="Times New Roman" w:hAnsi="Times New Roman"/>
        </w:rPr>
        <w:t>第九章  环境影响经济损益分析</w:t>
      </w:r>
      <w:bookmarkEnd w:id="332"/>
    </w:p>
    <w:p>
      <w:pPr>
        <w:pStyle w:val="103"/>
        <w:numPr>
          <w:ilvl w:val="0"/>
          <w:numId w:val="0"/>
        </w:numPr>
        <w:rPr>
          <w:rFonts w:ascii="Times New Roman" w:hAnsi="Times New Roman"/>
          <w:sz w:val="28"/>
          <w:szCs w:val="28"/>
        </w:rPr>
      </w:pPr>
      <w:bookmarkStart w:id="333" w:name="_Toc9873433"/>
      <w:r>
        <w:rPr>
          <w:rFonts w:ascii="Times New Roman" w:hAnsi="Times New Roman"/>
          <w:b w:val="0"/>
          <w:bCs/>
          <w:kern w:val="28"/>
          <w:sz w:val="32"/>
          <w:szCs w:val="32"/>
        </w:rPr>
        <w:t>9.1 环境影响经济损益分析的目的和重点</w:t>
      </w:r>
      <w:bookmarkEnd w:id="333"/>
    </w:p>
    <w:p>
      <w:pPr>
        <w:pStyle w:val="108"/>
      </w:pPr>
      <w:bookmarkStart w:id="334" w:name="_Toc9873434"/>
      <w:r>
        <w:t>9.1.1 环境影响经济损益分析的目的</w:t>
      </w:r>
      <w:bookmarkEnd w:id="334"/>
    </w:p>
    <w:p>
      <w:pPr>
        <w:pStyle w:val="32"/>
        <w:spacing w:after="0"/>
        <w:ind w:left="0" w:leftChars="0" w:firstLine="600" w:firstLineChars="250"/>
        <w:rPr>
          <w:rFonts w:cs="Times New Roman"/>
          <w:kern w:val="0"/>
        </w:rPr>
      </w:pPr>
      <w:r>
        <w:rPr>
          <w:rFonts w:cs="Times New Roman"/>
          <w:kern w:val="0"/>
        </w:rPr>
        <w:t>环境经济损益分析旨在衡量拟建项目投入环保资金和取得的环保效果之间的得失，以评判项目的环境经济可行性。</w:t>
      </w:r>
    </w:p>
    <w:p>
      <w:pPr>
        <w:pStyle w:val="32"/>
        <w:spacing w:after="0"/>
        <w:ind w:left="0" w:leftChars="0" w:firstLine="600" w:firstLineChars="250"/>
        <w:rPr>
          <w:rFonts w:cs="Times New Roman"/>
          <w:kern w:val="0"/>
        </w:rPr>
      </w:pPr>
      <w:r>
        <w:rPr>
          <w:rFonts w:cs="Times New Roman"/>
          <w:kern w:val="0"/>
        </w:rPr>
        <w:t>环境影响经济损益分析目的是为了衡量该建设项目投入的环保资金所能收到的环保效果，及可能产生的环境和社会效益，从而合理安排环保投资，在必要资金的支持下，最大限度地控制污染源，合理利用自然资源，以最少的环境代价取得最大的经济效益和社会效益。</w:t>
      </w:r>
    </w:p>
    <w:p>
      <w:pPr>
        <w:pStyle w:val="108"/>
      </w:pPr>
      <w:bookmarkStart w:id="335" w:name="_Toc9873435"/>
      <w:r>
        <w:t>9.1.2 环境影响经济损益分析的重点</w:t>
      </w:r>
      <w:bookmarkEnd w:id="335"/>
    </w:p>
    <w:p>
      <w:pPr>
        <w:pStyle w:val="32"/>
        <w:spacing w:after="0"/>
        <w:ind w:left="0" w:leftChars="0" w:firstLine="600" w:firstLineChars="250"/>
        <w:rPr>
          <w:rFonts w:cs="Times New Roman"/>
          <w:kern w:val="0"/>
        </w:rPr>
      </w:pPr>
      <w:r>
        <w:rPr>
          <w:rFonts w:cs="Times New Roman"/>
          <w:kern w:val="0"/>
        </w:rPr>
        <w:t>环境影响经济损益分析的重点，是对工程的主要环境影响因子作出投资费用和经济损益的评价，即项目的环境保护措施投资费用和经济效益、环境效益和社会效益以及项目环境影响的费用——效益总体分析评价。</w:t>
      </w:r>
    </w:p>
    <w:p>
      <w:pPr>
        <w:pStyle w:val="103"/>
        <w:numPr>
          <w:ilvl w:val="0"/>
          <w:numId w:val="0"/>
        </w:numPr>
        <w:rPr>
          <w:rFonts w:ascii="Times New Roman" w:hAnsi="Times New Roman"/>
          <w:b w:val="0"/>
          <w:bCs/>
          <w:kern w:val="28"/>
          <w:sz w:val="32"/>
          <w:szCs w:val="32"/>
        </w:rPr>
      </w:pPr>
      <w:bookmarkStart w:id="336" w:name="_Toc9873436"/>
      <w:r>
        <w:rPr>
          <w:rFonts w:ascii="Times New Roman" w:hAnsi="Times New Roman"/>
          <w:b w:val="0"/>
          <w:bCs/>
          <w:kern w:val="28"/>
          <w:sz w:val="32"/>
          <w:szCs w:val="32"/>
        </w:rPr>
        <w:t>9.2 建设项目经济效益</w:t>
      </w:r>
      <w:bookmarkEnd w:id="336"/>
    </w:p>
    <w:p>
      <w:pPr>
        <w:spacing w:line="480" w:lineRule="exact"/>
        <w:ind w:firstLine="480"/>
        <w:rPr>
          <w:rFonts w:ascii="Times New Roman" w:hAnsi="Times New Roman"/>
          <w:sz w:val="24"/>
          <w:szCs w:val="24"/>
        </w:rPr>
      </w:pPr>
      <w:r>
        <w:rPr>
          <w:rFonts w:ascii="Times New Roman" w:hAnsi="Times New Roman"/>
          <w:sz w:val="24"/>
          <w:szCs w:val="24"/>
        </w:rPr>
        <w:t>项目实施后，正常投产年，年出售合格的商品猪约57720头，按一头猪重量110公斤，售价22元/公斤（2016年综合价格）计算，则商品猪年销售额约14000万元，另外还有有机肥产值，由于农业项目免税，企业经济技术可行。</w:t>
      </w:r>
    </w:p>
    <w:p>
      <w:pPr>
        <w:pStyle w:val="103"/>
        <w:numPr>
          <w:ilvl w:val="0"/>
          <w:numId w:val="0"/>
        </w:numPr>
        <w:rPr>
          <w:rFonts w:ascii="Times New Roman" w:hAnsi="Times New Roman"/>
          <w:b w:val="0"/>
          <w:bCs/>
          <w:kern w:val="28"/>
          <w:sz w:val="32"/>
          <w:szCs w:val="32"/>
        </w:rPr>
      </w:pPr>
      <w:bookmarkStart w:id="337" w:name="_Toc9873437"/>
      <w:r>
        <w:rPr>
          <w:rFonts w:ascii="Times New Roman" w:hAnsi="Times New Roman"/>
          <w:b w:val="0"/>
          <w:bCs/>
          <w:kern w:val="28"/>
          <w:sz w:val="32"/>
          <w:szCs w:val="32"/>
        </w:rPr>
        <w:t>9.3 建设项目社会效益</w:t>
      </w:r>
      <w:bookmarkEnd w:id="337"/>
    </w:p>
    <w:p>
      <w:pPr>
        <w:spacing w:line="480" w:lineRule="exact"/>
        <w:ind w:firstLine="480"/>
        <w:rPr>
          <w:rFonts w:ascii="Times New Roman" w:hAnsi="Times New Roman"/>
          <w:sz w:val="24"/>
          <w:szCs w:val="24"/>
        </w:rPr>
      </w:pPr>
      <w:r>
        <w:rPr>
          <w:rFonts w:ascii="Times New Roman" w:hAnsi="Times New Roman"/>
          <w:sz w:val="24"/>
          <w:szCs w:val="24"/>
        </w:rPr>
        <w:t>项目建成后将每年提供商品猪约57720头，对成都市和邛崃市的仔猪供应起到了一定的保障作用。此外，项目投产后可吸收当地农民成为养殖场职工，解决当地农民的就业问题，增加当地农民收入，增强社会安定因素起到了积极作用。</w:t>
      </w:r>
    </w:p>
    <w:p>
      <w:pPr>
        <w:spacing w:line="480" w:lineRule="exact"/>
        <w:ind w:firstLine="480"/>
        <w:rPr>
          <w:rFonts w:ascii="Times New Roman" w:hAnsi="Times New Roman"/>
        </w:rPr>
      </w:pPr>
      <w:r>
        <w:rPr>
          <w:rFonts w:ascii="Times New Roman" w:hAnsi="Times New Roman"/>
        </w:rPr>
        <w:t>因此，本项目具有一定的社会效益。</w:t>
      </w:r>
    </w:p>
    <w:p>
      <w:pPr>
        <w:pStyle w:val="103"/>
        <w:numPr>
          <w:ilvl w:val="0"/>
          <w:numId w:val="0"/>
        </w:numPr>
        <w:rPr>
          <w:rFonts w:ascii="Times New Roman" w:hAnsi="Times New Roman"/>
          <w:b w:val="0"/>
          <w:bCs/>
          <w:kern w:val="28"/>
          <w:sz w:val="32"/>
          <w:szCs w:val="32"/>
        </w:rPr>
      </w:pPr>
      <w:bookmarkStart w:id="338" w:name="_Toc9873438"/>
      <w:r>
        <w:rPr>
          <w:rFonts w:ascii="Times New Roman" w:hAnsi="Times New Roman"/>
          <w:b w:val="0"/>
          <w:bCs/>
          <w:kern w:val="28"/>
          <w:sz w:val="32"/>
          <w:szCs w:val="32"/>
        </w:rPr>
        <w:t>9.4 建设项目环境影响经济损益分析</w:t>
      </w:r>
      <w:bookmarkEnd w:id="338"/>
    </w:p>
    <w:p>
      <w:pPr>
        <w:pStyle w:val="108"/>
      </w:pPr>
      <w:bookmarkStart w:id="339" w:name="_Toc9873439"/>
      <w:r>
        <w:t>9.4.1 项目环保投资</w:t>
      </w:r>
      <w:bookmarkEnd w:id="339"/>
    </w:p>
    <w:p>
      <w:pPr>
        <w:pStyle w:val="32"/>
        <w:spacing w:after="0" w:line="480" w:lineRule="exact"/>
        <w:ind w:left="0" w:leftChars="0" w:firstLine="480" w:firstLineChars="200"/>
        <w:rPr>
          <w:rFonts w:cs="Times New Roman"/>
          <w:kern w:val="0"/>
        </w:rPr>
      </w:pPr>
      <w:r>
        <w:rPr>
          <w:rFonts w:cs="Times New Roman"/>
          <w:kern w:val="0"/>
        </w:rPr>
        <w:t>项目总投资3000万元，其中，投入环境保护设施的费用约325万元，环保投入占总投资的10.8%，该投资满足项目环保措施经费需求。</w:t>
      </w:r>
    </w:p>
    <w:p>
      <w:pPr>
        <w:pStyle w:val="32"/>
        <w:spacing w:after="0" w:line="480" w:lineRule="exact"/>
        <w:ind w:left="0" w:leftChars="0" w:firstLine="480" w:firstLineChars="200"/>
        <w:rPr>
          <w:rFonts w:cs="Times New Roman"/>
          <w:kern w:val="0"/>
        </w:rPr>
      </w:pPr>
      <w:r>
        <w:rPr>
          <w:rFonts w:cs="Times New Roman"/>
          <w:kern w:val="0"/>
        </w:rPr>
        <w:t>项目环保投资一览表详见表</w:t>
      </w:r>
      <w:r>
        <w:rPr>
          <w:rFonts w:cs="Times New Roman"/>
        </w:rPr>
        <w:t>8.3-1</w:t>
      </w:r>
      <w:r>
        <w:rPr>
          <w:rFonts w:cs="Times New Roman"/>
          <w:kern w:val="0"/>
        </w:rPr>
        <w:t>。</w:t>
      </w:r>
    </w:p>
    <w:p>
      <w:pPr>
        <w:pStyle w:val="108"/>
      </w:pPr>
      <w:bookmarkStart w:id="340" w:name="_Toc9873440"/>
      <w:bookmarkStart w:id="341" w:name="_Toc395250497"/>
      <w:r>
        <w:t>9.4.2 环保投资效益分析</w:t>
      </w:r>
      <w:bookmarkEnd w:id="340"/>
      <w:bookmarkEnd w:id="341"/>
    </w:p>
    <w:p>
      <w:pPr>
        <w:pStyle w:val="32"/>
        <w:ind w:leftChars="150" w:firstLine="118" w:firstLineChars="49"/>
        <w:rPr>
          <w:rFonts w:cs="Times New Roman"/>
          <w:b/>
          <w:kern w:val="0"/>
          <w:szCs w:val="24"/>
        </w:rPr>
      </w:pPr>
      <w:r>
        <w:rPr>
          <w:rFonts w:cs="Times New Roman"/>
          <w:b/>
          <w:kern w:val="0"/>
          <w:szCs w:val="24"/>
        </w:rPr>
        <w:t>1、环保投资的直接效益</w:t>
      </w:r>
    </w:p>
    <w:p>
      <w:pPr>
        <w:pStyle w:val="48"/>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本项目采取“种养循环—农田肥料”的环保养殖方式，废物资源化，产生一定的经济效益。全部综合利用，不排放。此措施可减少项目的排污费。</w:t>
      </w:r>
    </w:p>
    <w:p>
      <w:pPr>
        <w:pStyle w:val="48"/>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2、环保投资的间接效益</w:t>
      </w:r>
    </w:p>
    <w:p>
      <w:pPr>
        <w:ind w:firstLine="480"/>
        <w:rPr>
          <w:rFonts w:ascii="Times New Roman" w:hAnsi="Times New Roman" w:eastAsiaTheme="minorEastAsia"/>
          <w:sz w:val="24"/>
          <w:szCs w:val="24"/>
        </w:rPr>
      </w:pPr>
      <w:r>
        <w:rPr>
          <w:rFonts w:ascii="Times New Roman" w:hAnsi="Times New Roman" w:eastAsiaTheme="minorEastAsia"/>
          <w:sz w:val="24"/>
          <w:szCs w:val="24"/>
        </w:rPr>
        <w:t>本项目采取了废水、废气、噪声处理设施等环境保护措施后的环境效益，主要体现在环境质量得到适当的保护，可使污染物排放大大减少，环境效益较好。具体有以下几个方面：</w:t>
      </w:r>
    </w:p>
    <w:p>
      <w:pPr>
        <w:ind w:firstLine="482"/>
        <w:rPr>
          <w:rFonts w:ascii="Times New Roman" w:hAnsi="Times New Roman" w:eastAsiaTheme="minorEastAsia"/>
          <w:b/>
          <w:sz w:val="24"/>
          <w:szCs w:val="24"/>
        </w:rPr>
      </w:pPr>
      <w:r>
        <w:rPr>
          <w:rFonts w:ascii="Times New Roman" w:hAnsi="Times New Roman" w:eastAsiaTheme="minorEastAsia"/>
          <w:b/>
          <w:sz w:val="24"/>
          <w:szCs w:val="24"/>
        </w:rPr>
        <w:t>（1）废水处理的间接效益</w:t>
      </w:r>
    </w:p>
    <w:p>
      <w:pPr>
        <w:ind w:firstLine="480"/>
        <w:rPr>
          <w:rFonts w:ascii="Times New Roman" w:hAnsi="Times New Roman" w:eastAsiaTheme="minorEastAsia"/>
          <w:sz w:val="24"/>
          <w:szCs w:val="24"/>
        </w:rPr>
      </w:pPr>
      <w:r>
        <w:rPr>
          <w:rFonts w:ascii="Times New Roman" w:hAnsi="Times New Roman" w:eastAsiaTheme="minorEastAsia"/>
          <w:sz w:val="24"/>
          <w:szCs w:val="24"/>
        </w:rPr>
        <w:t>本项目污水经处理后作为有机肥料资源化利用，不排入地表水体，因此可减少对地表水体的环境影响。</w:t>
      </w:r>
    </w:p>
    <w:p>
      <w:pPr>
        <w:ind w:firstLine="482"/>
        <w:rPr>
          <w:rFonts w:ascii="Times New Roman" w:hAnsi="Times New Roman" w:eastAsiaTheme="minorEastAsia"/>
          <w:b/>
          <w:sz w:val="24"/>
          <w:szCs w:val="24"/>
        </w:rPr>
      </w:pPr>
      <w:r>
        <w:rPr>
          <w:rFonts w:ascii="Times New Roman" w:hAnsi="Times New Roman" w:eastAsiaTheme="minorEastAsia"/>
          <w:b/>
          <w:sz w:val="24"/>
          <w:szCs w:val="24"/>
        </w:rPr>
        <w:t>（2）沼气池废液、干粪用作农田肥料</w:t>
      </w:r>
    </w:p>
    <w:p>
      <w:pPr>
        <w:ind w:firstLine="480"/>
        <w:rPr>
          <w:rFonts w:ascii="Times New Roman" w:hAnsi="Times New Roman" w:eastAsiaTheme="minorEastAsia"/>
          <w:sz w:val="24"/>
          <w:szCs w:val="24"/>
        </w:rPr>
      </w:pPr>
      <w:r>
        <w:rPr>
          <w:rFonts w:ascii="Times New Roman" w:hAnsi="Times New Roman" w:eastAsiaTheme="minorEastAsia"/>
          <w:sz w:val="24"/>
          <w:szCs w:val="24"/>
        </w:rPr>
        <w:t>沼气池处理后的废液，按照项目《粪肥（污）消纳协议书》，项目沼液由邛崃巿洁环畜禽粪便收集服务专业合作社负责农肥使用；干粪经堆肥处理后外售用作农肥，全部综合利用。</w:t>
      </w:r>
    </w:p>
    <w:p>
      <w:pPr>
        <w:ind w:firstLine="482"/>
        <w:rPr>
          <w:rFonts w:ascii="Times New Roman" w:hAnsi="Times New Roman" w:eastAsiaTheme="minorEastAsia"/>
          <w:b/>
          <w:sz w:val="24"/>
          <w:szCs w:val="24"/>
        </w:rPr>
      </w:pPr>
      <w:r>
        <w:rPr>
          <w:rFonts w:ascii="Times New Roman" w:hAnsi="Times New Roman" w:eastAsiaTheme="minorEastAsia"/>
          <w:b/>
          <w:sz w:val="24"/>
          <w:szCs w:val="24"/>
        </w:rPr>
        <w:t>（3）废气治理的环境间接效益</w:t>
      </w:r>
    </w:p>
    <w:p>
      <w:pPr>
        <w:ind w:firstLine="480"/>
        <w:rPr>
          <w:rFonts w:ascii="Times New Roman" w:hAnsi="Times New Roman" w:eastAsiaTheme="minorEastAsia"/>
          <w:sz w:val="24"/>
          <w:szCs w:val="24"/>
        </w:rPr>
      </w:pPr>
      <w:r>
        <w:rPr>
          <w:rFonts w:ascii="Times New Roman" w:hAnsi="Times New Roman" w:eastAsiaTheme="minorEastAsia"/>
          <w:sz w:val="24"/>
          <w:szCs w:val="24"/>
        </w:rPr>
        <w:t>养殖恶臭经除臭措施处理后达到《畜禽养殖业污染物排放标准》（GB18596-2001）标准限值要求，不会对周围大气环境产生明显的影响。</w:t>
      </w:r>
    </w:p>
    <w:p>
      <w:pPr>
        <w:pStyle w:val="108"/>
      </w:pPr>
      <w:bookmarkStart w:id="342" w:name="_Toc9873441"/>
      <w:bookmarkStart w:id="343" w:name="_Toc161196269"/>
      <w:r>
        <w:t>9.4.3 环境效益损益综合分析</w:t>
      </w:r>
      <w:bookmarkEnd w:id="342"/>
      <w:bookmarkEnd w:id="343"/>
    </w:p>
    <w:p>
      <w:pPr>
        <w:ind w:firstLine="480"/>
        <w:rPr>
          <w:rFonts w:ascii="Times New Roman" w:hAnsi="Times New Roman"/>
          <w:sz w:val="24"/>
          <w:szCs w:val="24"/>
        </w:rPr>
      </w:pPr>
      <w:r>
        <w:rPr>
          <w:rFonts w:ascii="Times New Roman" w:hAnsi="Times New Roman"/>
          <w:sz w:val="24"/>
          <w:szCs w:val="24"/>
        </w:rPr>
        <w:t>本项目拟建污水处理系统、固废处理、噪声治理、绿化等，以保证对环境的影响降低到最小程度，满足建设项目环境保护管理的要求。</w:t>
      </w:r>
    </w:p>
    <w:p>
      <w:pPr>
        <w:ind w:firstLine="480"/>
        <w:rPr>
          <w:rFonts w:ascii="Times New Roman" w:hAnsi="Times New Roman"/>
          <w:sz w:val="24"/>
          <w:szCs w:val="24"/>
        </w:rPr>
      </w:pPr>
      <w:r>
        <w:rPr>
          <w:rFonts w:ascii="Times New Roman" w:hAnsi="Times New Roman"/>
          <w:sz w:val="24"/>
          <w:szCs w:val="24"/>
        </w:rPr>
        <w:t>粪便经堆肥发酵、污水经过厌氧处理，达到无害化。</w:t>
      </w:r>
    </w:p>
    <w:p>
      <w:pPr>
        <w:ind w:firstLine="480"/>
        <w:rPr>
          <w:rFonts w:ascii="Times New Roman" w:hAnsi="Times New Roman"/>
          <w:sz w:val="24"/>
          <w:szCs w:val="24"/>
        </w:rPr>
      </w:pPr>
      <w:r>
        <w:rPr>
          <w:rFonts w:ascii="Times New Roman" w:hAnsi="Times New Roman"/>
          <w:sz w:val="24"/>
          <w:szCs w:val="24"/>
        </w:rPr>
        <w:t>该项目通过利用畜禽养殖场污水和固体粪便，利用沼气作燃气将养殖业、种植业和工业有机结合起来，达到农业废弃物的无害化、资源化、减量化的目标；通过生产可再生能源缓解能源供需矛盾，降低不可再生能源的消耗；使项目区走上能源生态可持续发展的良性循环轨道，极大的促进了农村经济的可持续发展。</w:t>
      </w:r>
    </w:p>
    <w:p>
      <w:pPr>
        <w:ind w:firstLine="480"/>
        <w:rPr>
          <w:rFonts w:ascii="Times New Roman" w:hAnsi="Times New Roman"/>
          <w:sz w:val="24"/>
          <w:szCs w:val="24"/>
        </w:rPr>
      </w:pPr>
      <w:r>
        <w:rPr>
          <w:rFonts w:ascii="Times New Roman" w:hAnsi="Times New Roman"/>
          <w:sz w:val="24"/>
          <w:szCs w:val="24"/>
        </w:rPr>
        <w:t>本项目环保措施主要是体现国家环保政策，贯彻“总量控制”、“达标排放”污染控制原则，达到保护环境的目的。通过治理措施，项目废水和固废可以实现全部资源化利用并做到达标排放，场界噪声达标。这些措施的实施产生的环境效益较明显。</w:t>
      </w:r>
    </w:p>
    <w:p>
      <w:pPr>
        <w:widowControl/>
        <w:spacing w:line="240" w:lineRule="auto"/>
        <w:jc w:val="left"/>
        <w:rPr>
          <w:rFonts w:ascii="Times New Roman" w:hAnsi="Times New Roman" w:eastAsia="黑体"/>
          <w:sz w:val="36"/>
        </w:rPr>
      </w:pPr>
      <w:r>
        <w:rPr>
          <w:rFonts w:ascii="Times New Roman" w:hAnsi="Times New Roman" w:eastAsia="黑体"/>
          <w:sz w:val="36"/>
        </w:rPr>
        <w:br w:type="page"/>
      </w:r>
    </w:p>
    <w:p>
      <w:pPr>
        <w:pStyle w:val="101"/>
        <w:spacing w:before="780" w:after="780"/>
        <w:rPr>
          <w:rFonts w:ascii="Times New Roman" w:hAnsi="Times New Roman"/>
        </w:rPr>
      </w:pPr>
      <w:bookmarkStart w:id="344" w:name="_Toc9873442"/>
      <w:r>
        <w:rPr>
          <w:rFonts w:ascii="Times New Roman" w:hAnsi="Times New Roman"/>
        </w:rPr>
        <w:t>第十章  环境管理与监测计划</w:t>
      </w:r>
      <w:bookmarkEnd w:id="344"/>
    </w:p>
    <w:p>
      <w:pPr>
        <w:pStyle w:val="103"/>
        <w:numPr>
          <w:ilvl w:val="0"/>
          <w:numId w:val="0"/>
        </w:numPr>
        <w:rPr>
          <w:rFonts w:ascii="Times New Roman" w:hAnsi="Times New Roman"/>
          <w:b w:val="0"/>
          <w:bCs/>
          <w:kern w:val="28"/>
          <w:sz w:val="32"/>
          <w:szCs w:val="32"/>
        </w:rPr>
      </w:pPr>
      <w:bookmarkStart w:id="345" w:name="_Toc461986231"/>
      <w:bookmarkStart w:id="346" w:name="_Toc9873443"/>
      <w:r>
        <w:rPr>
          <w:rFonts w:ascii="Times New Roman" w:hAnsi="Times New Roman"/>
          <w:b w:val="0"/>
          <w:bCs/>
          <w:kern w:val="28"/>
          <w:sz w:val="32"/>
          <w:szCs w:val="32"/>
        </w:rPr>
        <w:t>10.1 环境管理</w:t>
      </w:r>
      <w:bookmarkEnd w:id="345"/>
      <w:bookmarkEnd w:id="346"/>
    </w:p>
    <w:p>
      <w:pPr>
        <w:rPr>
          <w:rFonts w:ascii="Times New Roman" w:hAnsi="Times New Roman" w:eastAsia="黑体"/>
        </w:rPr>
      </w:pPr>
      <w:r>
        <w:rPr>
          <w:rFonts w:ascii="Times New Roman" w:hAnsi="Times New Roman" w:eastAsia="黑体"/>
        </w:rPr>
        <w:t>10.1.1 机构组成</w:t>
      </w:r>
    </w:p>
    <w:p>
      <w:pPr>
        <w:adjustRightInd w:val="0"/>
        <w:snapToGrid w:val="0"/>
        <w:ind w:firstLine="480"/>
        <w:rPr>
          <w:rFonts w:ascii="Times New Roman" w:hAnsi="Times New Roman"/>
          <w:sz w:val="24"/>
          <w:szCs w:val="24"/>
        </w:rPr>
      </w:pPr>
      <w:r>
        <w:rPr>
          <w:rFonts w:ascii="Times New Roman" w:hAnsi="Times New Roman"/>
          <w:sz w:val="24"/>
          <w:szCs w:val="24"/>
        </w:rPr>
        <w:t>公司的环境保护工作由总经理负总责，副总经理具体分管，日常工作由安全环保科组织实施，其职责是贯彻执行环保方针、政策，制定、实施环保工作计划、规划，审查、监督建设项目的“三同时”工作，组织全厂环保工作的实施、验收及考核，监督“三废”的达标排放，负责污染事故的调查和处理，编制环保统计及环保考核等报告。车间有兼职环保员负责本部门环境保护管理工作，污水处理装置产生的污泥和其它固体废物应贮存于指定场所并由专人兼职负责。</w:t>
      </w:r>
    </w:p>
    <w:p>
      <w:pPr>
        <w:adjustRightInd w:val="0"/>
        <w:snapToGrid w:val="0"/>
        <w:ind w:firstLine="480"/>
        <w:rPr>
          <w:rFonts w:ascii="Times New Roman" w:hAnsi="Times New Roman"/>
          <w:sz w:val="24"/>
          <w:szCs w:val="24"/>
        </w:rPr>
      </w:pPr>
      <w:r>
        <w:rPr>
          <w:rFonts w:ascii="Times New Roman" w:hAnsi="Times New Roman"/>
          <w:sz w:val="24"/>
          <w:szCs w:val="24"/>
        </w:rPr>
        <w:t>建设项目已配有环保工作人员2人，其中管理人员1人，环保员1人。</w:t>
      </w:r>
    </w:p>
    <w:p>
      <w:pPr>
        <w:rPr>
          <w:rFonts w:ascii="Times New Roman" w:hAnsi="Times New Roman" w:eastAsia="黑体"/>
        </w:rPr>
      </w:pPr>
      <w:r>
        <w:rPr>
          <w:rFonts w:ascii="Times New Roman" w:hAnsi="Times New Roman" w:eastAsia="黑体"/>
        </w:rPr>
        <w:t>10.1.2  机构职责</w:t>
      </w:r>
    </w:p>
    <w:p>
      <w:pPr>
        <w:ind w:firstLine="480"/>
        <w:rPr>
          <w:rFonts w:ascii="Times New Roman" w:hAnsi="Times New Roman"/>
          <w:sz w:val="24"/>
          <w:szCs w:val="24"/>
        </w:rPr>
      </w:pPr>
      <w:r>
        <w:rPr>
          <w:rFonts w:ascii="Times New Roman" w:hAnsi="Times New Roman"/>
          <w:sz w:val="24"/>
          <w:szCs w:val="24"/>
        </w:rPr>
        <w:t>环保管理机构职责在企业原有规定的基础上，经补充、完善如下：</w:t>
      </w:r>
    </w:p>
    <w:p>
      <w:pPr>
        <w:ind w:firstLine="480"/>
        <w:rPr>
          <w:rFonts w:ascii="Times New Roman" w:hAnsi="Times New Roman"/>
          <w:bCs/>
          <w:sz w:val="24"/>
          <w:szCs w:val="24"/>
        </w:rPr>
      </w:pPr>
      <w:r>
        <w:rPr>
          <w:rFonts w:ascii="Times New Roman" w:hAnsi="Times New Roman"/>
          <w:bCs/>
          <w:sz w:val="24"/>
          <w:szCs w:val="24"/>
        </w:rPr>
        <w:t>（1）贯彻执行环境保护法规及环境保护标准；</w:t>
      </w:r>
    </w:p>
    <w:p>
      <w:pPr>
        <w:ind w:firstLine="480"/>
        <w:rPr>
          <w:rFonts w:ascii="Times New Roman" w:hAnsi="Times New Roman"/>
          <w:sz w:val="24"/>
          <w:szCs w:val="24"/>
        </w:rPr>
      </w:pPr>
      <w:r>
        <w:rPr>
          <w:rFonts w:ascii="Times New Roman" w:hAnsi="Times New Roman"/>
          <w:sz w:val="24"/>
          <w:szCs w:val="24"/>
        </w:rPr>
        <w:t>（2）建立完善的企业环境保护管理制度，经常监督检查各部门、车间执行环保法规情况；</w:t>
      </w:r>
    </w:p>
    <w:p>
      <w:pPr>
        <w:ind w:firstLine="480"/>
        <w:rPr>
          <w:rFonts w:ascii="Times New Roman" w:hAnsi="Times New Roman"/>
          <w:bCs/>
          <w:sz w:val="24"/>
          <w:szCs w:val="24"/>
        </w:rPr>
      </w:pPr>
      <w:r>
        <w:rPr>
          <w:rFonts w:ascii="Times New Roman" w:hAnsi="Times New Roman"/>
          <w:bCs/>
          <w:sz w:val="24"/>
          <w:szCs w:val="24"/>
        </w:rPr>
        <w:t>（3）编制并组织实施环境保护规划和计划；</w:t>
      </w:r>
    </w:p>
    <w:p>
      <w:pPr>
        <w:ind w:firstLine="480"/>
        <w:rPr>
          <w:rFonts w:ascii="Times New Roman" w:hAnsi="Times New Roman"/>
          <w:sz w:val="24"/>
          <w:szCs w:val="24"/>
        </w:rPr>
      </w:pPr>
      <w:r>
        <w:rPr>
          <w:rFonts w:ascii="Times New Roman" w:hAnsi="Times New Roman"/>
          <w:sz w:val="24"/>
          <w:szCs w:val="24"/>
        </w:rPr>
        <w:t>（4）搞好环境保护教育和宣传，提高职工的环境保护意识；</w:t>
      </w:r>
    </w:p>
    <w:p>
      <w:pPr>
        <w:ind w:firstLine="480"/>
        <w:rPr>
          <w:rFonts w:ascii="Times New Roman" w:hAnsi="Times New Roman"/>
          <w:bCs/>
          <w:sz w:val="24"/>
          <w:szCs w:val="24"/>
        </w:rPr>
      </w:pPr>
      <w:r>
        <w:rPr>
          <w:rFonts w:ascii="Times New Roman" w:hAnsi="Times New Roman"/>
          <w:bCs/>
          <w:sz w:val="24"/>
          <w:szCs w:val="24"/>
        </w:rPr>
        <w:t>（5）组织对基层环保员的培训，提高工作素质；</w:t>
      </w:r>
    </w:p>
    <w:p>
      <w:pPr>
        <w:ind w:firstLine="480"/>
        <w:rPr>
          <w:rFonts w:ascii="Times New Roman" w:hAnsi="Times New Roman"/>
          <w:sz w:val="24"/>
          <w:szCs w:val="24"/>
        </w:rPr>
      </w:pPr>
      <w:r>
        <w:rPr>
          <w:rFonts w:ascii="Times New Roman" w:hAnsi="Times New Roman"/>
          <w:sz w:val="24"/>
          <w:szCs w:val="24"/>
        </w:rPr>
        <w:t>（6）领导并组织全公司的环境监测工作，建立环境监控档案；</w:t>
      </w:r>
    </w:p>
    <w:p>
      <w:pPr>
        <w:ind w:firstLine="480"/>
        <w:rPr>
          <w:rFonts w:ascii="Times New Roman" w:hAnsi="Times New Roman"/>
          <w:sz w:val="24"/>
          <w:szCs w:val="24"/>
        </w:rPr>
      </w:pPr>
      <w:r>
        <w:rPr>
          <w:rFonts w:ascii="Times New Roman" w:hAnsi="Times New Roman"/>
          <w:sz w:val="24"/>
          <w:szCs w:val="24"/>
        </w:rPr>
        <w:t>（7）制定各车间的污染物排放指标和治理设施的运转指标，定时考核和统计，以保证各项环保设施常年处于良好运行状态，确保公司污染物排放达到国家排放标准。</w:t>
      </w:r>
    </w:p>
    <w:p>
      <w:pPr>
        <w:pStyle w:val="103"/>
        <w:numPr>
          <w:ilvl w:val="0"/>
          <w:numId w:val="0"/>
        </w:numPr>
        <w:rPr>
          <w:rFonts w:ascii="Times New Roman" w:hAnsi="Times New Roman"/>
          <w:b w:val="0"/>
          <w:bCs/>
          <w:kern w:val="28"/>
          <w:sz w:val="32"/>
          <w:szCs w:val="32"/>
        </w:rPr>
      </w:pPr>
      <w:bookmarkStart w:id="347" w:name="_Toc9873444"/>
      <w:r>
        <w:rPr>
          <w:rFonts w:ascii="Times New Roman" w:hAnsi="Times New Roman"/>
          <w:b w:val="0"/>
          <w:bCs/>
          <w:kern w:val="28"/>
          <w:sz w:val="32"/>
          <w:szCs w:val="32"/>
        </w:rPr>
        <w:t>10.2 环境管理计划</w:t>
      </w:r>
      <w:bookmarkEnd w:id="347"/>
    </w:p>
    <w:p>
      <w:pPr>
        <w:ind w:firstLine="480"/>
        <w:rPr>
          <w:rFonts w:ascii="Times New Roman" w:hAnsi="Times New Roman"/>
          <w:sz w:val="24"/>
          <w:szCs w:val="24"/>
        </w:rPr>
      </w:pPr>
      <w:r>
        <w:rPr>
          <w:rFonts w:ascii="Times New Roman" w:hAnsi="Times New Roman"/>
          <w:sz w:val="24"/>
          <w:szCs w:val="24"/>
        </w:rPr>
        <w:t>环境管理应该贯穿于建设项目从立项到运行的整个过程，并对建设项目的不同阶段制定相应的环保条例，规定不同阶段的环保内容，明确不同部门的工作职责，详见下表。</w:t>
      </w:r>
    </w:p>
    <w:p>
      <w:pPr>
        <w:jc w:val="center"/>
        <w:rPr>
          <w:rFonts w:ascii="Times New Roman" w:hAnsi="Times New Roman" w:eastAsia="黑体"/>
          <w:sz w:val="21"/>
          <w:szCs w:val="21"/>
        </w:rPr>
      </w:pPr>
      <w:r>
        <w:rPr>
          <w:rFonts w:ascii="Times New Roman" w:hAnsi="Times New Roman" w:eastAsia="黑体"/>
          <w:sz w:val="21"/>
          <w:szCs w:val="21"/>
        </w:rPr>
        <w:t>表10.2-1  各阶段环境管理工作的具体内容</w:t>
      </w:r>
    </w:p>
    <w:tbl>
      <w:tblPr>
        <w:tblStyle w:val="90"/>
        <w:tblW w:w="8522"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32"/>
        <w:gridCol w:w="960"/>
        <w:gridCol w:w="7130"/>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blHeader/>
        </w:trPr>
        <w:tc>
          <w:tcPr>
            <w:tcW w:w="1392" w:type="dxa"/>
            <w:gridSpan w:val="2"/>
            <w:shd w:val="clear" w:color="auto" w:fill="auto"/>
            <w:vAlign w:val="center"/>
          </w:tcPr>
          <w:p>
            <w:pPr>
              <w:pStyle w:val="48"/>
              <w:snapToGrid w:val="0"/>
              <w:spacing w:line="360" w:lineRule="exact"/>
              <w:jc w:val="center"/>
              <w:rPr>
                <w:rFonts w:ascii="Times New Roman" w:hAnsi="Times New Roman"/>
                <w:b/>
                <w:sz w:val="21"/>
                <w:szCs w:val="21"/>
              </w:rPr>
            </w:pPr>
            <w:r>
              <w:rPr>
                <w:rFonts w:ascii="Times New Roman" w:hAnsi="Times New Roman"/>
                <w:b/>
                <w:sz w:val="21"/>
                <w:szCs w:val="21"/>
              </w:rPr>
              <w:t>各阶段</w:t>
            </w:r>
          </w:p>
        </w:tc>
        <w:tc>
          <w:tcPr>
            <w:tcW w:w="7130" w:type="dxa"/>
            <w:shd w:val="clear" w:color="auto" w:fill="auto"/>
            <w:vAlign w:val="center"/>
          </w:tcPr>
          <w:p>
            <w:pPr>
              <w:pStyle w:val="48"/>
              <w:snapToGrid w:val="0"/>
              <w:spacing w:line="360" w:lineRule="exact"/>
              <w:jc w:val="center"/>
              <w:rPr>
                <w:rFonts w:ascii="Times New Roman" w:hAnsi="Times New Roman"/>
                <w:b/>
                <w:sz w:val="21"/>
                <w:szCs w:val="21"/>
              </w:rPr>
            </w:pPr>
            <w:r>
              <w:rPr>
                <w:rFonts w:ascii="Times New Roman" w:hAnsi="Times New Roman"/>
                <w:b/>
                <w:sz w:val="21"/>
                <w:szCs w:val="21"/>
              </w:rPr>
              <w:t>环境管理工作计划的具体内容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392" w:type="dxa"/>
            <w:gridSpan w:val="2"/>
            <w:shd w:val="clear" w:color="auto" w:fill="auto"/>
            <w:vAlign w:val="center"/>
          </w:tcPr>
          <w:p>
            <w:pPr>
              <w:pStyle w:val="48"/>
              <w:snapToGrid w:val="0"/>
              <w:spacing w:line="360" w:lineRule="exact"/>
              <w:jc w:val="center"/>
              <w:rPr>
                <w:rFonts w:ascii="Times New Roman" w:hAnsi="Times New Roman"/>
                <w:sz w:val="21"/>
                <w:szCs w:val="21"/>
              </w:rPr>
            </w:pPr>
            <w:r>
              <w:rPr>
                <w:rFonts w:ascii="Times New Roman" w:hAnsi="Times New Roman"/>
                <w:sz w:val="21"/>
                <w:szCs w:val="21"/>
              </w:rPr>
              <w:t>环境管理</w:t>
            </w:r>
          </w:p>
          <w:p>
            <w:pPr>
              <w:pStyle w:val="48"/>
              <w:snapToGrid w:val="0"/>
              <w:spacing w:line="360" w:lineRule="exact"/>
              <w:jc w:val="center"/>
              <w:rPr>
                <w:rFonts w:ascii="Times New Roman" w:hAnsi="Times New Roman"/>
                <w:sz w:val="21"/>
                <w:szCs w:val="21"/>
              </w:rPr>
            </w:pPr>
            <w:r>
              <w:rPr>
                <w:rFonts w:ascii="Times New Roman" w:hAnsi="Times New Roman"/>
                <w:sz w:val="21"/>
                <w:szCs w:val="21"/>
              </w:rPr>
              <w:t>总要求</w:t>
            </w:r>
          </w:p>
        </w:tc>
        <w:tc>
          <w:tcPr>
            <w:tcW w:w="7130" w:type="dxa"/>
            <w:shd w:val="clear" w:color="auto" w:fill="auto"/>
            <w:vAlign w:val="center"/>
          </w:tcPr>
          <w:p>
            <w:pPr>
              <w:pStyle w:val="48"/>
              <w:snapToGrid w:val="0"/>
              <w:spacing w:line="360" w:lineRule="exact"/>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项目准备运营阶段，申请领取项目运营许可证；</w:t>
            </w:r>
          </w:p>
          <w:p>
            <w:pPr>
              <w:pStyle w:val="48"/>
              <w:snapToGrid w:val="0"/>
              <w:spacing w:line="360" w:lineRule="exact"/>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项目投运后试生产3个月内，进行环保设施竣工验收；</w:t>
            </w:r>
          </w:p>
          <w:p>
            <w:pPr>
              <w:pStyle w:val="48"/>
              <w:snapToGrid w:val="0"/>
              <w:spacing w:line="360" w:lineRule="exact"/>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运行阶段，定期请当地环保部门监督、检查，协助做好环境管理工作，对不达标装置及时整改；</w:t>
            </w:r>
          </w:p>
          <w:p>
            <w:pPr>
              <w:pStyle w:val="48"/>
              <w:snapToGrid w:val="0"/>
              <w:spacing w:line="360" w:lineRule="exact"/>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配合当地环境监测站搞好监测工作。</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432" w:type="dxa"/>
            <w:vMerge w:val="restart"/>
            <w:shd w:val="clear" w:color="auto" w:fill="auto"/>
            <w:vAlign w:val="center"/>
          </w:tcPr>
          <w:p>
            <w:pPr>
              <w:pStyle w:val="48"/>
              <w:snapToGrid w:val="0"/>
              <w:spacing w:line="360" w:lineRule="exact"/>
              <w:jc w:val="center"/>
              <w:rPr>
                <w:rFonts w:ascii="Times New Roman" w:hAnsi="Times New Roman"/>
                <w:sz w:val="21"/>
                <w:szCs w:val="21"/>
              </w:rPr>
            </w:pPr>
            <w:r>
              <w:rPr>
                <w:rFonts w:ascii="Times New Roman" w:hAnsi="Times New Roman"/>
                <w:sz w:val="21"/>
                <w:szCs w:val="21"/>
              </w:rPr>
              <w:t>竣工验收阶段</w:t>
            </w:r>
          </w:p>
        </w:tc>
        <w:tc>
          <w:tcPr>
            <w:tcW w:w="960" w:type="dxa"/>
            <w:shd w:val="clear" w:color="auto" w:fill="auto"/>
            <w:vAlign w:val="center"/>
          </w:tcPr>
          <w:p>
            <w:pPr>
              <w:pStyle w:val="48"/>
              <w:snapToGrid w:val="0"/>
              <w:spacing w:line="360" w:lineRule="exact"/>
              <w:jc w:val="center"/>
              <w:rPr>
                <w:rFonts w:ascii="Times New Roman" w:hAnsi="Times New Roman"/>
                <w:sz w:val="21"/>
                <w:szCs w:val="21"/>
              </w:rPr>
            </w:pPr>
            <w:r>
              <w:rPr>
                <w:rFonts w:ascii="Times New Roman" w:hAnsi="Times New Roman"/>
                <w:sz w:val="21"/>
                <w:szCs w:val="21"/>
              </w:rPr>
              <w:t>自检准备阶段</w:t>
            </w:r>
          </w:p>
        </w:tc>
        <w:tc>
          <w:tcPr>
            <w:tcW w:w="7130" w:type="dxa"/>
            <w:shd w:val="clear" w:color="auto" w:fill="auto"/>
            <w:vAlign w:val="center"/>
          </w:tcPr>
          <w:p>
            <w:pPr>
              <w:pStyle w:val="48"/>
              <w:snapToGrid w:val="0"/>
              <w:spacing w:line="360" w:lineRule="exact"/>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检查施工项目是否按环评要求全部完工；</w:t>
            </w:r>
          </w:p>
          <w:p>
            <w:pPr>
              <w:pStyle w:val="48"/>
              <w:snapToGrid w:val="0"/>
              <w:spacing w:line="360" w:lineRule="exact"/>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向环保部门申请试运行；</w:t>
            </w:r>
          </w:p>
          <w:p>
            <w:pPr>
              <w:pStyle w:val="48"/>
              <w:snapToGrid w:val="0"/>
              <w:spacing w:line="360" w:lineRule="exact"/>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组织检查前的各项准备工作；</w:t>
            </w:r>
          </w:p>
          <w:p>
            <w:pPr>
              <w:pStyle w:val="48"/>
              <w:snapToGrid w:val="0"/>
              <w:spacing w:line="360" w:lineRule="exact"/>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检查操作技术文件和管理制度是否健全；</w:t>
            </w:r>
          </w:p>
          <w:p>
            <w:pPr>
              <w:pStyle w:val="48"/>
              <w:snapToGrid w:val="0"/>
              <w:spacing w:line="360" w:lineRule="exact"/>
              <w:rPr>
                <w:rFonts w:ascii="Times New Roman" w:hAnsi="Times New Roman"/>
                <w:sz w:val="21"/>
                <w:szCs w:val="21"/>
              </w:rPr>
            </w:pPr>
            <w:r>
              <w:rPr>
                <w:rFonts w:hint="eastAsia" w:ascii="宋体" w:hAnsi="宋体" w:cs="宋体"/>
                <w:sz w:val="21"/>
                <w:szCs w:val="21"/>
              </w:rPr>
              <w:t>⑤</w:t>
            </w:r>
            <w:r>
              <w:rPr>
                <w:rFonts w:ascii="Times New Roman" w:hAnsi="Times New Roman"/>
                <w:sz w:val="21"/>
                <w:szCs w:val="21"/>
              </w:rPr>
              <w:t>整理技术文件资料档案；</w:t>
            </w:r>
          </w:p>
          <w:p>
            <w:pPr>
              <w:pStyle w:val="48"/>
              <w:snapToGrid w:val="0"/>
              <w:spacing w:line="360" w:lineRule="exact"/>
              <w:rPr>
                <w:rFonts w:ascii="Times New Roman" w:hAnsi="Times New Roman"/>
                <w:sz w:val="21"/>
                <w:szCs w:val="21"/>
              </w:rPr>
            </w:pPr>
            <w:r>
              <w:rPr>
                <w:rFonts w:hint="eastAsia" w:ascii="宋体" w:hAnsi="宋体" w:cs="宋体"/>
                <w:sz w:val="21"/>
                <w:szCs w:val="21"/>
              </w:rPr>
              <w:t>⑥</w:t>
            </w:r>
            <w:r>
              <w:rPr>
                <w:rFonts w:ascii="Times New Roman" w:hAnsi="Times New Roman"/>
                <w:sz w:val="21"/>
                <w:szCs w:val="21"/>
              </w:rPr>
              <w:t>建立环保档案。</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432" w:type="dxa"/>
            <w:vMerge w:val="continue"/>
            <w:shd w:val="clear" w:color="auto" w:fill="auto"/>
            <w:vAlign w:val="center"/>
          </w:tcPr>
          <w:p>
            <w:pPr>
              <w:pStyle w:val="48"/>
              <w:snapToGrid w:val="0"/>
              <w:spacing w:line="360" w:lineRule="exact"/>
              <w:jc w:val="center"/>
              <w:rPr>
                <w:rFonts w:ascii="Times New Roman" w:hAnsi="Times New Roman"/>
                <w:sz w:val="21"/>
                <w:szCs w:val="21"/>
              </w:rPr>
            </w:pPr>
          </w:p>
        </w:tc>
        <w:tc>
          <w:tcPr>
            <w:tcW w:w="960" w:type="dxa"/>
            <w:shd w:val="clear" w:color="auto" w:fill="auto"/>
            <w:vAlign w:val="center"/>
          </w:tcPr>
          <w:p>
            <w:pPr>
              <w:pStyle w:val="48"/>
              <w:snapToGrid w:val="0"/>
              <w:spacing w:line="360" w:lineRule="exact"/>
              <w:jc w:val="center"/>
              <w:rPr>
                <w:rFonts w:ascii="Times New Roman" w:hAnsi="Times New Roman"/>
                <w:sz w:val="21"/>
                <w:szCs w:val="21"/>
              </w:rPr>
            </w:pPr>
            <w:r>
              <w:rPr>
                <w:rFonts w:ascii="Times New Roman" w:hAnsi="Times New Roman"/>
                <w:sz w:val="21"/>
                <w:szCs w:val="21"/>
              </w:rPr>
              <w:t>正式验收阶段</w:t>
            </w:r>
          </w:p>
        </w:tc>
        <w:tc>
          <w:tcPr>
            <w:tcW w:w="7130" w:type="dxa"/>
            <w:shd w:val="clear" w:color="auto" w:fill="auto"/>
            <w:vAlign w:val="center"/>
          </w:tcPr>
          <w:p>
            <w:pPr>
              <w:pStyle w:val="48"/>
              <w:snapToGrid w:val="0"/>
              <w:spacing w:line="360" w:lineRule="exact"/>
              <w:rPr>
                <w:rFonts w:ascii="Times New Roman" w:hAnsi="Times New Roman"/>
                <w:sz w:val="21"/>
                <w:szCs w:val="21"/>
              </w:rPr>
            </w:pPr>
            <w:r>
              <w:rPr>
                <w:rFonts w:ascii="Times New Roman" w:hAnsi="Times New Roman"/>
                <w:sz w:val="21"/>
                <w:szCs w:val="21"/>
              </w:rPr>
              <w:t>建设单位向主持验收的市环保局提交《建设项目环境保护竣工验收申请报告》并附《环境保护竣工验收监测报告》和《环境保护工程竣工验收报告》，申请正式竣工验收。</w:t>
            </w:r>
          </w:p>
        </w:tc>
      </w:tr>
    </w:tbl>
    <w:p>
      <w:pPr>
        <w:ind w:firstLine="480"/>
        <w:rPr>
          <w:rFonts w:ascii="Times New Roman" w:hAnsi="Times New Roman"/>
          <w:szCs w:val="28"/>
        </w:rPr>
      </w:pPr>
      <w:r>
        <w:rPr>
          <w:rFonts w:ascii="Times New Roman" w:hAnsi="Times New Roman"/>
          <w:szCs w:val="28"/>
        </w:rPr>
        <w:t>本项目建设与运行过程中环境管理的重点见下表。</w:t>
      </w:r>
    </w:p>
    <w:p>
      <w:pPr>
        <w:jc w:val="center"/>
        <w:rPr>
          <w:rFonts w:ascii="Times New Roman" w:hAnsi="Times New Roman" w:eastAsia="黑体"/>
          <w:sz w:val="21"/>
          <w:szCs w:val="21"/>
        </w:rPr>
      </w:pPr>
      <w:r>
        <w:rPr>
          <w:rFonts w:ascii="Times New Roman" w:hAnsi="Times New Roman" w:eastAsia="黑体"/>
          <w:sz w:val="21"/>
          <w:szCs w:val="21"/>
        </w:rPr>
        <w:t>表10.2-2  本项目环境管理重点</w:t>
      </w:r>
    </w:p>
    <w:tbl>
      <w:tblPr>
        <w:tblStyle w:val="90"/>
        <w:tblW w:w="8757"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6288"/>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6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重点部位</w:t>
            </w:r>
          </w:p>
        </w:tc>
        <w:tc>
          <w:tcPr>
            <w:tcW w:w="6288"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重点内容</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6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生产过程的产污管理</w:t>
            </w:r>
          </w:p>
        </w:tc>
        <w:tc>
          <w:tcPr>
            <w:tcW w:w="6288" w:type="dxa"/>
            <w:shd w:val="clear" w:color="auto" w:fill="auto"/>
            <w:vAlign w:val="center"/>
          </w:tcPr>
          <w:p>
            <w:pPr>
              <w:spacing w:line="240" w:lineRule="auto"/>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物料运输、储存；</w:t>
            </w:r>
          </w:p>
          <w:p>
            <w:pPr>
              <w:spacing w:line="240" w:lineRule="auto"/>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场区猪舍的清洁、通风管理；</w:t>
            </w:r>
          </w:p>
          <w:p>
            <w:pPr>
              <w:spacing w:line="240" w:lineRule="auto"/>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各工段污染控制设施（气、水、声、渣）的管理与维护；</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6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生产工艺过程管理</w:t>
            </w:r>
          </w:p>
        </w:tc>
        <w:tc>
          <w:tcPr>
            <w:tcW w:w="6288" w:type="dxa"/>
            <w:shd w:val="clear" w:color="auto" w:fill="auto"/>
            <w:vAlign w:val="center"/>
          </w:tcPr>
          <w:p>
            <w:pPr>
              <w:spacing w:line="240" w:lineRule="auto"/>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生产设备管理；</w:t>
            </w:r>
          </w:p>
          <w:p>
            <w:pPr>
              <w:spacing w:line="240" w:lineRule="auto"/>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生产操作管理；</w:t>
            </w:r>
          </w:p>
          <w:p>
            <w:pPr>
              <w:spacing w:line="240" w:lineRule="auto"/>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物料使用、储存及运输管理；</w:t>
            </w:r>
          </w:p>
          <w:p>
            <w:pPr>
              <w:spacing w:line="240" w:lineRule="auto"/>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技术管理；</w:t>
            </w:r>
          </w:p>
          <w:p>
            <w:pPr>
              <w:spacing w:line="240" w:lineRule="auto"/>
              <w:rPr>
                <w:rFonts w:ascii="Times New Roman" w:hAnsi="Times New Roman"/>
                <w:sz w:val="21"/>
                <w:szCs w:val="21"/>
              </w:rPr>
            </w:pPr>
            <w:r>
              <w:rPr>
                <w:rFonts w:hint="eastAsia" w:ascii="宋体" w:hAnsi="宋体" w:cs="宋体"/>
                <w:sz w:val="21"/>
                <w:szCs w:val="21"/>
              </w:rPr>
              <w:t>⑤</w:t>
            </w:r>
            <w:r>
              <w:rPr>
                <w:rFonts w:ascii="Times New Roman" w:hAnsi="Times New Roman"/>
                <w:sz w:val="21"/>
                <w:szCs w:val="21"/>
              </w:rPr>
              <w:t>场区猪舍自动监控系统的维护和管理。</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6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辅助生产排污管理</w:t>
            </w:r>
          </w:p>
        </w:tc>
        <w:tc>
          <w:tcPr>
            <w:tcW w:w="6288" w:type="dxa"/>
            <w:shd w:val="clear" w:color="auto" w:fill="auto"/>
            <w:vAlign w:val="center"/>
          </w:tcPr>
          <w:p>
            <w:pPr>
              <w:spacing w:line="240" w:lineRule="auto"/>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沼气工程系统的日常管理与维护工作；</w:t>
            </w:r>
          </w:p>
          <w:p>
            <w:pPr>
              <w:spacing w:line="240" w:lineRule="auto"/>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场区内外绿化的管理；</w:t>
            </w:r>
          </w:p>
          <w:p>
            <w:pPr>
              <w:spacing w:line="240" w:lineRule="auto"/>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运输道路和运输车辆的管理；</w:t>
            </w:r>
          </w:p>
          <w:p>
            <w:pPr>
              <w:spacing w:line="240" w:lineRule="auto"/>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人员技术培训与上岗管理。</w:t>
            </w:r>
          </w:p>
        </w:tc>
      </w:tr>
    </w:tbl>
    <w:p>
      <w:pPr>
        <w:ind w:firstLine="480"/>
        <w:rPr>
          <w:rFonts w:ascii="Times New Roman" w:hAnsi="Times New Roman"/>
          <w:sz w:val="24"/>
          <w:szCs w:val="24"/>
        </w:rPr>
      </w:pPr>
      <w:r>
        <w:rPr>
          <w:rFonts w:ascii="Times New Roman" w:hAnsi="Times New Roman"/>
          <w:sz w:val="24"/>
          <w:szCs w:val="24"/>
        </w:rPr>
        <w:t>表10.2-2中各管理过程应按照ISO14000的有关要求进行（企业应尽快通过该环境管理体系的技术认证，与管理体系接轨）。</w:t>
      </w:r>
    </w:p>
    <w:p>
      <w:pPr>
        <w:pStyle w:val="103"/>
        <w:numPr>
          <w:ilvl w:val="0"/>
          <w:numId w:val="0"/>
        </w:numPr>
        <w:rPr>
          <w:rFonts w:ascii="Times New Roman" w:hAnsi="Times New Roman"/>
          <w:b w:val="0"/>
          <w:bCs/>
          <w:kern w:val="28"/>
          <w:sz w:val="32"/>
          <w:szCs w:val="32"/>
        </w:rPr>
      </w:pPr>
      <w:bookmarkStart w:id="348" w:name="_Toc461986233"/>
      <w:bookmarkStart w:id="349" w:name="_Toc9873445"/>
      <w:r>
        <w:rPr>
          <w:rFonts w:ascii="Times New Roman" w:hAnsi="Times New Roman"/>
          <w:b w:val="0"/>
          <w:bCs/>
          <w:kern w:val="28"/>
          <w:sz w:val="32"/>
          <w:szCs w:val="32"/>
        </w:rPr>
        <w:t>10.3 环境监测</w:t>
      </w:r>
      <w:bookmarkEnd w:id="348"/>
      <w:r>
        <w:rPr>
          <w:rFonts w:ascii="Times New Roman" w:hAnsi="Times New Roman"/>
          <w:b w:val="0"/>
          <w:bCs/>
          <w:kern w:val="28"/>
          <w:sz w:val="32"/>
          <w:szCs w:val="32"/>
        </w:rPr>
        <w:t>计划</w:t>
      </w:r>
      <w:bookmarkEnd w:id="349"/>
    </w:p>
    <w:p>
      <w:pPr>
        <w:ind w:firstLine="482"/>
        <w:rPr>
          <w:rFonts w:ascii="Times New Roman" w:hAnsi="Times New Roman"/>
          <w:b/>
          <w:sz w:val="24"/>
          <w:szCs w:val="24"/>
        </w:rPr>
      </w:pPr>
      <w:r>
        <w:rPr>
          <w:rFonts w:ascii="Times New Roman" w:hAnsi="Times New Roman"/>
          <w:b/>
          <w:sz w:val="24"/>
          <w:szCs w:val="24"/>
        </w:rPr>
        <w:t>（1）环境监测范围</w:t>
      </w:r>
    </w:p>
    <w:p>
      <w:pPr>
        <w:ind w:firstLine="480"/>
        <w:rPr>
          <w:rFonts w:ascii="Times New Roman" w:hAnsi="Times New Roman"/>
          <w:sz w:val="24"/>
          <w:szCs w:val="24"/>
        </w:rPr>
      </w:pPr>
      <w:r>
        <w:rPr>
          <w:rFonts w:ascii="Times New Roman" w:hAnsi="Times New Roman"/>
          <w:sz w:val="24"/>
          <w:szCs w:val="24"/>
        </w:rPr>
        <w:t>环境监测计划的制定依据工程内容和企业实际情况，制定环境监测方案，包括环境监测及污染源监测两方面。</w:t>
      </w:r>
      <w:r>
        <w:rPr>
          <w:rFonts w:ascii="Times New Roman" w:hAnsi="Times New Roman"/>
          <w:b/>
          <w:sz w:val="24"/>
          <w:szCs w:val="24"/>
        </w:rPr>
        <w:t>考虑到企业的实际情况和污染源监测的难度，为保证监测数据的准确性，可委托当地环境监测机构进行。</w:t>
      </w:r>
    </w:p>
    <w:p>
      <w:pPr>
        <w:ind w:firstLine="482"/>
        <w:rPr>
          <w:rFonts w:ascii="Times New Roman" w:hAnsi="Times New Roman"/>
          <w:b/>
          <w:sz w:val="24"/>
          <w:szCs w:val="24"/>
        </w:rPr>
      </w:pPr>
      <w:r>
        <w:rPr>
          <w:rFonts w:ascii="Times New Roman" w:hAnsi="Times New Roman"/>
          <w:b/>
          <w:sz w:val="24"/>
          <w:szCs w:val="24"/>
        </w:rPr>
        <w:t>（2）环境监测计划</w:t>
      </w:r>
    </w:p>
    <w:p>
      <w:pPr>
        <w:ind w:firstLine="480"/>
        <w:rPr>
          <w:rFonts w:ascii="Times New Roman" w:hAnsi="Times New Roman"/>
          <w:sz w:val="24"/>
          <w:szCs w:val="24"/>
        </w:rPr>
      </w:pPr>
      <w:r>
        <w:rPr>
          <w:rFonts w:ascii="Times New Roman" w:hAnsi="Times New Roman"/>
          <w:sz w:val="24"/>
          <w:szCs w:val="24"/>
        </w:rPr>
        <w:t>企业委托专业机构对厂界外废气进行监测，同时企业在运行前应在厂区内及厂区下游，设置地下水监测井。监测井由企业进行钻探和维护，在运行期委托专业机构对地下水进行跟踪监测。</w:t>
      </w:r>
    </w:p>
    <w:p>
      <w:pPr>
        <w:ind w:firstLine="480"/>
        <w:rPr>
          <w:rFonts w:ascii="Times New Roman" w:hAnsi="Times New Roman"/>
          <w:sz w:val="24"/>
          <w:szCs w:val="24"/>
        </w:rPr>
      </w:pPr>
      <w:r>
        <w:rPr>
          <w:rFonts w:ascii="Times New Roman" w:hAnsi="Times New Roman"/>
          <w:sz w:val="24"/>
          <w:szCs w:val="24"/>
        </w:rPr>
        <w:t>项目环境监测计划见下表。</w:t>
      </w:r>
    </w:p>
    <w:p>
      <w:pPr>
        <w:jc w:val="center"/>
        <w:rPr>
          <w:rFonts w:ascii="Times New Roman" w:hAnsi="Times New Roman" w:eastAsia="黑体"/>
          <w:sz w:val="21"/>
          <w:szCs w:val="21"/>
        </w:rPr>
      </w:pPr>
      <w:r>
        <w:rPr>
          <w:rFonts w:ascii="Times New Roman" w:hAnsi="Times New Roman" w:eastAsia="黑体"/>
          <w:sz w:val="21"/>
          <w:szCs w:val="21"/>
        </w:rPr>
        <w:t>10.3-1  项目监测计划建议表</w:t>
      </w:r>
    </w:p>
    <w:tbl>
      <w:tblPr>
        <w:tblStyle w:val="90"/>
        <w:tblW w:w="8539" w:type="dxa"/>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55"/>
        <w:gridCol w:w="919"/>
        <w:gridCol w:w="1651"/>
        <w:gridCol w:w="2695"/>
        <w:gridCol w:w="2319"/>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4" w:type="dxa"/>
            <w:gridSpan w:val="2"/>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类别</w:t>
            </w:r>
          </w:p>
        </w:tc>
        <w:tc>
          <w:tcPr>
            <w:tcW w:w="1651"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监测位置</w:t>
            </w:r>
          </w:p>
        </w:tc>
        <w:tc>
          <w:tcPr>
            <w:tcW w:w="501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委托监测</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1874" w:type="dxa"/>
            <w:gridSpan w:val="2"/>
            <w:vMerge w:val="continue"/>
            <w:shd w:val="clear" w:color="auto" w:fill="auto"/>
            <w:vAlign w:val="center"/>
          </w:tcPr>
          <w:p>
            <w:pPr>
              <w:spacing w:line="240" w:lineRule="auto"/>
              <w:jc w:val="center"/>
              <w:rPr>
                <w:rFonts w:ascii="Times New Roman" w:hAnsi="Times New Roman"/>
                <w:sz w:val="21"/>
                <w:szCs w:val="21"/>
              </w:rPr>
            </w:pPr>
          </w:p>
        </w:tc>
        <w:tc>
          <w:tcPr>
            <w:tcW w:w="1651" w:type="dxa"/>
            <w:vMerge w:val="continue"/>
            <w:shd w:val="clear" w:color="auto" w:fill="auto"/>
            <w:vAlign w:val="center"/>
          </w:tcPr>
          <w:p>
            <w:pPr>
              <w:spacing w:line="240" w:lineRule="auto"/>
              <w:jc w:val="center"/>
              <w:rPr>
                <w:rFonts w:ascii="Times New Roman" w:hAnsi="Times New Roman"/>
                <w:sz w:val="21"/>
                <w:szCs w:val="21"/>
              </w:rPr>
            </w:pPr>
          </w:p>
        </w:tc>
        <w:tc>
          <w:tcPr>
            <w:tcW w:w="269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监测项目</w:t>
            </w:r>
          </w:p>
        </w:tc>
        <w:tc>
          <w:tcPr>
            <w:tcW w:w="23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监测时间与频次</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5" w:hRule="atLeast"/>
        </w:trPr>
        <w:tc>
          <w:tcPr>
            <w:tcW w:w="955"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营运期</w:t>
            </w:r>
          </w:p>
        </w:tc>
        <w:tc>
          <w:tcPr>
            <w:tcW w:w="9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废气</w:t>
            </w:r>
          </w:p>
        </w:tc>
        <w:tc>
          <w:tcPr>
            <w:tcW w:w="1651"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场界外</w:t>
            </w:r>
          </w:p>
          <w:p>
            <w:pPr>
              <w:spacing w:line="240" w:lineRule="auto"/>
              <w:jc w:val="center"/>
              <w:rPr>
                <w:rFonts w:ascii="Times New Roman" w:hAnsi="Times New Roman"/>
                <w:sz w:val="21"/>
                <w:szCs w:val="21"/>
              </w:rPr>
            </w:pPr>
            <w:r>
              <w:rPr>
                <w:rFonts w:ascii="Times New Roman" w:hAnsi="Times New Roman"/>
                <w:sz w:val="21"/>
                <w:szCs w:val="21"/>
              </w:rPr>
              <w:t>（监控点设在场界下风向处）</w:t>
            </w:r>
          </w:p>
        </w:tc>
        <w:tc>
          <w:tcPr>
            <w:tcW w:w="269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p>
            <w:pPr>
              <w:spacing w:line="240" w:lineRule="auto"/>
              <w:jc w:val="center"/>
              <w:rPr>
                <w:rFonts w:ascii="Times New Roman" w:hAnsi="Times New Roman"/>
                <w:sz w:val="21"/>
                <w:szCs w:val="21"/>
              </w:rPr>
            </w:pPr>
            <w:r>
              <w:rPr>
                <w:rFonts w:ascii="Times New Roman" w:hAnsi="Times New Roman"/>
                <w:sz w:val="21"/>
                <w:szCs w:val="21"/>
              </w:rPr>
              <w:t>臭气浓度</w:t>
            </w:r>
          </w:p>
        </w:tc>
        <w:tc>
          <w:tcPr>
            <w:tcW w:w="23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每季度1次</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555" w:hRule="atLeast"/>
        </w:trPr>
        <w:tc>
          <w:tcPr>
            <w:tcW w:w="955" w:type="dxa"/>
            <w:vMerge w:val="continue"/>
            <w:shd w:val="clear" w:color="auto" w:fill="auto"/>
            <w:vAlign w:val="center"/>
          </w:tcPr>
          <w:p>
            <w:pPr>
              <w:spacing w:line="240" w:lineRule="auto"/>
              <w:jc w:val="center"/>
              <w:rPr>
                <w:rFonts w:ascii="Times New Roman" w:hAnsi="Times New Roman"/>
                <w:sz w:val="21"/>
                <w:szCs w:val="21"/>
              </w:rPr>
            </w:pPr>
          </w:p>
        </w:tc>
        <w:tc>
          <w:tcPr>
            <w:tcW w:w="9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地下水</w:t>
            </w:r>
          </w:p>
        </w:tc>
        <w:tc>
          <w:tcPr>
            <w:tcW w:w="1651"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厂区内设置地下水监视井一口，厂区外下游设地下水监测点一个</w:t>
            </w:r>
          </w:p>
        </w:tc>
        <w:tc>
          <w:tcPr>
            <w:tcW w:w="2695" w:type="dxa"/>
            <w:shd w:val="clear" w:color="auto" w:fill="auto"/>
            <w:vAlign w:val="center"/>
          </w:tcPr>
          <w:p>
            <w:pPr>
              <w:spacing w:line="240" w:lineRule="auto"/>
              <w:rPr>
                <w:rFonts w:ascii="Times New Roman" w:hAnsi="Times New Roman"/>
                <w:sz w:val="21"/>
                <w:szCs w:val="21"/>
              </w:rPr>
            </w:pPr>
            <w:r>
              <w:rPr>
                <w:rFonts w:ascii="Times New Roman" w:hAnsi="Times New Roman"/>
                <w:sz w:val="21"/>
                <w:szCs w:val="21"/>
              </w:rPr>
              <w:t>pH、总硬度、高锰酸盐指数、氯化物、TP、BOD</w:t>
            </w:r>
            <w:r>
              <w:rPr>
                <w:rFonts w:ascii="Times New Roman" w:hAnsi="Times New Roman"/>
                <w:sz w:val="21"/>
                <w:szCs w:val="21"/>
                <w:vertAlign w:val="subscript"/>
              </w:rPr>
              <w:t>5</w:t>
            </w: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-N、总大肠菌群、细菌总数。</w:t>
            </w:r>
          </w:p>
        </w:tc>
        <w:tc>
          <w:tcPr>
            <w:tcW w:w="23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每半年1次</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955" w:type="dxa"/>
            <w:vMerge w:val="continue"/>
            <w:shd w:val="clear" w:color="auto" w:fill="auto"/>
            <w:vAlign w:val="center"/>
          </w:tcPr>
          <w:p>
            <w:pPr>
              <w:spacing w:line="240" w:lineRule="auto"/>
              <w:jc w:val="center"/>
              <w:rPr>
                <w:rFonts w:ascii="Times New Roman" w:hAnsi="Times New Roman"/>
                <w:sz w:val="21"/>
                <w:szCs w:val="21"/>
              </w:rPr>
            </w:pPr>
          </w:p>
        </w:tc>
        <w:tc>
          <w:tcPr>
            <w:tcW w:w="9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噪声</w:t>
            </w:r>
          </w:p>
        </w:tc>
        <w:tc>
          <w:tcPr>
            <w:tcW w:w="1651"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场界外1m处</w:t>
            </w:r>
          </w:p>
        </w:tc>
        <w:tc>
          <w:tcPr>
            <w:tcW w:w="2695"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LAeq（等效连续A声级）</w:t>
            </w:r>
          </w:p>
        </w:tc>
        <w:tc>
          <w:tcPr>
            <w:tcW w:w="2319"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每季度1次</w:t>
            </w:r>
          </w:p>
        </w:tc>
      </w:tr>
    </w:tbl>
    <w:p>
      <w:pPr>
        <w:pStyle w:val="103"/>
        <w:numPr>
          <w:ilvl w:val="0"/>
          <w:numId w:val="0"/>
        </w:numPr>
        <w:spacing w:before="240"/>
        <w:rPr>
          <w:rFonts w:ascii="Times New Roman" w:hAnsi="Times New Roman"/>
          <w:b w:val="0"/>
          <w:bCs/>
          <w:kern w:val="28"/>
          <w:sz w:val="32"/>
          <w:szCs w:val="32"/>
        </w:rPr>
      </w:pPr>
      <w:bookmarkStart w:id="350" w:name="_Toc461986234"/>
      <w:bookmarkStart w:id="351" w:name="_Toc9873446"/>
      <w:r>
        <w:rPr>
          <w:rFonts w:ascii="Times New Roman" w:hAnsi="Times New Roman"/>
          <w:b w:val="0"/>
          <w:bCs/>
          <w:kern w:val="28"/>
          <w:sz w:val="32"/>
          <w:szCs w:val="32"/>
        </w:rPr>
        <w:t>10.4</w:t>
      </w:r>
      <w:bookmarkEnd w:id="350"/>
      <w:bookmarkStart w:id="352" w:name="_Toc461986235"/>
      <w:r>
        <w:rPr>
          <w:rFonts w:ascii="Times New Roman" w:hAnsi="Times New Roman"/>
          <w:b w:val="0"/>
          <w:bCs/>
          <w:kern w:val="28"/>
          <w:sz w:val="32"/>
          <w:szCs w:val="32"/>
        </w:rPr>
        <w:t xml:space="preserve"> 环保设施验收内容</w:t>
      </w:r>
      <w:bookmarkEnd w:id="351"/>
      <w:bookmarkEnd w:id="352"/>
    </w:p>
    <w:p>
      <w:pPr>
        <w:spacing w:before="240" w:line="240" w:lineRule="auto"/>
        <w:ind w:firstLine="360" w:firstLineChars="150"/>
        <w:jc w:val="left"/>
        <w:rPr>
          <w:rFonts w:ascii="Times New Roman" w:hAnsi="Times New Roman"/>
          <w:sz w:val="24"/>
          <w:szCs w:val="24"/>
        </w:rPr>
      </w:pPr>
      <w:r>
        <w:rPr>
          <w:rFonts w:ascii="Times New Roman" w:hAnsi="Times New Roman"/>
          <w:sz w:val="24"/>
          <w:szCs w:val="24"/>
        </w:rPr>
        <w:t>根据项目工程及环保设施特点，报告列出的环保设施竣工验收详见下表。</w:t>
      </w:r>
    </w:p>
    <w:p>
      <w:pPr>
        <w:jc w:val="center"/>
        <w:rPr>
          <w:rFonts w:ascii="Times New Roman" w:hAnsi="Times New Roman" w:eastAsia="黑体"/>
          <w:sz w:val="21"/>
          <w:szCs w:val="21"/>
        </w:rPr>
      </w:pPr>
      <w:r>
        <w:rPr>
          <w:rFonts w:ascii="Times New Roman" w:hAnsi="Times New Roman" w:eastAsia="黑体"/>
          <w:sz w:val="21"/>
          <w:szCs w:val="21"/>
        </w:rPr>
        <w:t>表10.4-1  项目环保设施、措施“三同时”验收一览表</w:t>
      </w:r>
    </w:p>
    <w:tbl>
      <w:tblPr>
        <w:tblStyle w:val="90"/>
        <w:tblW w:w="8991" w:type="dxa"/>
        <w:jc w:val="center"/>
        <w:tblInd w:w="0" w:type="dxa"/>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551"/>
        <w:gridCol w:w="764"/>
        <w:gridCol w:w="635"/>
        <w:gridCol w:w="667"/>
        <w:gridCol w:w="2584"/>
        <w:gridCol w:w="1807"/>
        <w:gridCol w:w="1983"/>
      </w:tblGrid>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blHeader/>
          <w:jc w:val="center"/>
        </w:trPr>
        <w:tc>
          <w:tcPr>
            <w:tcW w:w="551"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验收项目</w:t>
            </w:r>
          </w:p>
        </w:tc>
        <w:tc>
          <w:tcPr>
            <w:tcW w:w="764"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污染源</w:t>
            </w:r>
          </w:p>
        </w:tc>
        <w:tc>
          <w:tcPr>
            <w:tcW w:w="635"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验收</w:t>
            </w:r>
          </w:p>
          <w:p>
            <w:pPr>
              <w:spacing w:line="240" w:lineRule="exact"/>
              <w:jc w:val="center"/>
              <w:rPr>
                <w:rFonts w:ascii="Times New Roman" w:hAnsi="Times New Roman"/>
                <w:b/>
                <w:sz w:val="18"/>
                <w:szCs w:val="18"/>
              </w:rPr>
            </w:pPr>
            <w:r>
              <w:rPr>
                <w:rFonts w:ascii="Times New Roman" w:hAnsi="Times New Roman"/>
                <w:b/>
                <w:sz w:val="18"/>
                <w:szCs w:val="18"/>
              </w:rPr>
              <w:t>点位</w:t>
            </w:r>
          </w:p>
        </w:tc>
        <w:tc>
          <w:tcPr>
            <w:tcW w:w="667"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验收</w:t>
            </w:r>
          </w:p>
          <w:p>
            <w:pPr>
              <w:spacing w:line="240" w:lineRule="exact"/>
              <w:jc w:val="center"/>
              <w:rPr>
                <w:rFonts w:ascii="Times New Roman" w:hAnsi="Times New Roman"/>
                <w:b/>
                <w:sz w:val="18"/>
                <w:szCs w:val="18"/>
              </w:rPr>
            </w:pPr>
            <w:r>
              <w:rPr>
                <w:rFonts w:ascii="Times New Roman" w:hAnsi="Times New Roman"/>
                <w:b/>
                <w:sz w:val="18"/>
                <w:szCs w:val="18"/>
              </w:rPr>
              <w:t>因子</w:t>
            </w:r>
          </w:p>
        </w:tc>
        <w:tc>
          <w:tcPr>
            <w:tcW w:w="2584"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验收内容</w:t>
            </w:r>
          </w:p>
        </w:tc>
        <w:tc>
          <w:tcPr>
            <w:tcW w:w="1807"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执行标准</w:t>
            </w:r>
          </w:p>
        </w:tc>
        <w:tc>
          <w:tcPr>
            <w:tcW w:w="1983" w:type="dxa"/>
            <w:tcMar>
              <w:left w:w="28" w:type="dxa"/>
              <w:right w:w="28" w:type="dxa"/>
            </w:tcMar>
            <w:vAlign w:val="center"/>
          </w:tcPr>
          <w:p>
            <w:pPr>
              <w:spacing w:line="240" w:lineRule="exact"/>
              <w:jc w:val="center"/>
              <w:rPr>
                <w:rFonts w:ascii="Times New Roman" w:hAnsi="Times New Roman"/>
                <w:b/>
                <w:sz w:val="18"/>
                <w:szCs w:val="18"/>
              </w:rPr>
            </w:pPr>
            <w:r>
              <w:rPr>
                <w:rFonts w:ascii="Times New Roman" w:hAnsi="Times New Roman"/>
                <w:b/>
                <w:sz w:val="18"/>
                <w:szCs w:val="18"/>
              </w:rPr>
              <w:t>验收应达到的</w:t>
            </w:r>
          </w:p>
          <w:p>
            <w:pPr>
              <w:spacing w:line="240" w:lineRule="exact"/>
              <w:jc w:val="center"/>
              <w:rPr>
                <w:rFonts w:ascii="Times New Roman" w:hAnsi="Times New Roman"/>
                <w:b/>
                <w:sz w:val="18"/>
                <w:szCs w:val="18"/>
              </w:rPr>
            </w:pPr>
            <w:r>
              <w:rPr>
                <w:rFonts w:ascii="Times New Roman" w:hAnsi="Times New Roman"/>
                <w:b/>
                <w:sz w:val="18"/>
                <w:szCs w:val="18"/>
              </w:rPr>
              <w:t>技术指标</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551" w:type="dxa"/>
            <w:vMerge w:val="restart"/>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大气</w:t>
            </w: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猪舍</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场界</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臭气浓度</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猪舍安装防臭设施及排风装置。种植绿化带。设置氨气、硫化氢气体报警器。</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《畜禽养殖业污染物排放标准》（GB18596-2001）</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臭气浓度≤70</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养殖场</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敏感点</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NH</w:t>
            </w:r>
            <w:r>
              <w:rPr>
                <w:rFonts w:ascii="Times New Roman" w:hAnsi="Times New Roman"/>
                <w:sz w:val="18"/>
                <w:szCs w:val="18"/>
                <w:vertAlign w:val="subscript"/>
              </w:rPr>
              <w:t>3</w:t>
            </w:r>
          </w:p>
          <w:p>
            <w:pPr>
              <w:spacing w:line="240" w:lineRule="exact"/>
              <w:jc w:val="center"/>
              <w:rPr>
                <w:rFonts w:ascii="Times New Roman" w:hAnsi="Times New Roman"/>
                <w:sz w:val="18"/>
                <w:szCs w:val="18"/>
              </w:rPr>
            </w:pPr>
            <w:r>
              <w:rPr>
                <w:rFonts w:ascii="Times New Roman" w:hAnsi="Times New Roman"/>
                <w:sz w:val="18"/>
                <w:szCs w:val="18"/>
              </w:rPr>
              <w:t>H</w:t>
            </w:r>
            <w:r>
              <w:rPr>
                <w:rFonts w:ascii="Times New Roman" w:hAnsi="Times New Roman"/>
                <w:sz w:val="18"/>
                <w:szCs w:val="18"/>
                <w:vertAlign w:val="subscript"/>
              </w:rPr>
              <w:t>2</w:t>
            </w:r>
            <w:r>
              <w:rPr>
                <w:rFonts w:ascii="Times New Roman" w:hAnsi="Times New Roman"/>
                <w:sz w:val="18"/>
                <w:szCs w:val="18"/>
              </w:rPr>
              <w:t>S</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养殖区100米环境防护距离内无敏感点分布</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《工业企业设计卫生标准》</w:t>
            </w:r>
          </w:p>
          <w:p>
            <w:pPr>
              <w:spacing w:line="240" w:lineRule="exact"/>
              <w:jc w:val="center"/>
              <w:rPr>
                <w:rFonts w:ascii="Times New Roman" w:hAnsi="Times New Roman"/>
                <w:sz w:val="18"/>
                <w:szCs w:val="18"/>
              </w:rPr>
            </w:pPr>
            <w:r>
              <w:rPr>
                <w:rFonts w:ascii="Times New Roman" w:hAnsi="Times New Roman"/>
                <w:sz w:val="18"/>
                <w:szCs w:val="18"/>
              </w:rPr>
              <w:t>（TJ36-79）</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NH</w:t>
            </w:r>
            <w:r>
              <w:rPr>
                <w:rFonts w:ascii="Times New Roman" w:hAnsi="Times New Roman"/>
                <w:sz w:val="18"/>
                <w:szCs w:val="18"/>
                <w:vertAlign w:val="subscript"/>
              </w:rPr>
              <w:t>3</w:t>
            </w:r>
            <w:r>
              <w:rPr>
                <w:rFonts w:ascii="Times New Roman" w:hAnsi="Times New Roman"/>
                <w:sz w:val="18"/>
                <w:szCs w:val="18"/>
              </w:rPr>
              <w:t>≤0.20mg/m</w:t>
            </w:r>
            <w:r>
              <w:rPr>
                <w:rFonts w:ascii="Times New Roman" w:hAnsi="Times New Roman"/>
                <w:sz w:val="18"/>
                <w:szCs w:val="18"/>
                <w:vertAlign w:val="superscript"/>
              </w:rPr>
              <w:t>3</w:t>
            </w:r>
          </w:p>
          <w:p>
            <w:pPr>
              <w:spacing w:line="240" w:lineRule="exact"/>
              <w:jc w:val="center"/>
              <w:rPr>
                <w:rFonts w:ascii="Times New Roman" w:hAnsi="Times New Roman"/>
                <w:sz w:val="18"/>
                <w:szCs w:val="18"/>
              </w:rPr>
            </w:pPr>
            <w:r>
              <w:rPr>
                <w:rFonts w:ascii="Times New Roman" w:hAnsi="Times New Roman"/>
                <w:sz w:val="18"/>
                <w:szCs w:val="18"/>
              </w:rPr>
              <w:t>H</w:t>
            </w:r>
            <w:r>
              <w:rPr>
                <w:rFonts w:ascii="Times New Roman" w:hAnsi="Times New Roman"/>
                <w:sz w:val="18"/>
                <w:szCs w:val="18"/>
                <w:vertAlign w:val="subscript"/>
              </w:rPr>
              <w:t>2</w:t>
            </w:r>
            <w:r>
              <w:rPr>
                <w:rFonts w:ascii="Times New Roman" w:hAnsi="Times New Roman"/>
                <w:sz w:val="18"/>
                <w:szCs w:val="18"/>
              </w:rPr>
              <w:t>S≤0.01mg/m</w:t>
            </w:r>
            <w:r>
              <w:rPr>
                <w:rFonts w:ascii="Times New Roman" w:hAnsi="Times New Roman"/>
                <w:sz w:val="18"/>
                <w:szCs w:val="18"/>
                <w:vertAlign w:val="superscript"/>
              </w:rPr>
              <w:t>3</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794" w:hRule="atLeast"/>
          <w:jc w:val="center"/>
        </w:trPr>
        <w:tc>
          <w:tcPr>
            <w:tcW w:w="551" w:type="dxa"/>
            <w:vMerge w:val="restart"/>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水</w:t>
            </w: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养殖</w:t>
            </w:r>
          </w:p>
          <w:p>
            <w:pPr>
              <w:spacing w:line="240" w:lineRule="exact"/>
              <w:jc w:val="center"/>
              <w:rPr>
                <w:rFonts w:ascii="Times New Roman" w:hAnsi="Times New Roman"/>
                <w:sz w:val="18"/>
                <w:szCs w:val="18"/>
              </w:rPr>
            </w:pPr>
            <w:r>
              <w:rPr>
                <w:rFonts w:ascii="Times New Roman" w:hAnsi="Times New Roman"/>
                <w:sz w:val="18"/>
                <w:szCs w:val="18"/>
              </w:rPr>
              <w:t>污水</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污水处理系统</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污水处理采用“固液分离+深坑发酵”的处理工艺。废水处理规模50m</w:t>
            </w:r>
            <w:r>
              <w:rPr>
                <w:rFonts w:ascii="Times New Roman" w:hAnsi="Times New Roman"/>
                <w:sz w:val="18"/>
                <w:szCs w:val="18"/>
                <w:vertAlign w:val="superscript"/>
              </w:rPr>
              <w:t>3</w:t>
            </w:r>
            <w:r>
              <w:rPr>
                <w:rFonts w:ascii="Times New Roman" w:hAnsi="Times New Roman"/>
                <w:sz w:val="18"/>
                <w:szCs w:val="18"/>
              </w:rPr>
              <w:t>/d。猪舍地面、装卸台、运猪通道等均进行地表硬化，设置防雨棚设施；发酵深坑等污水处理设施做好防渗措施；等效防渗层：Mb≥6.0m，K≤1×10</w:t>
            </w:r>
            <w:r>
              <w:rPr>
                <w:rFonts w:ascii="Times New Roman" w:hAnsi="Times New Roman"/>
                <w:sz w:val="18"/>
                <w:szCs w:val="18"/>
                <w:vertAlign w:val="superscript"/>
              </w:rPr>
              <w:t>-7</w:t>
            </w:r>
            <w:r>
              <w:rPr>
                <w:rFonts w:ascii="Times New Roman" w:hAnsi="Times New Roman"/>
                <w:sz w:val="18"/>
                <w:szCs w:val="18"/>
              </w:rPr>
              <w:t>cm/s。</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vMerge w:val="restart"/>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本项目废水处理后作为农田施肥肥料使用，不能直接排放和作为农田灌溉用水。按照项目《粪肥（污）消纳协议书》，项目干粪由邛崃巿洁环畜禽粪便收集服务专业合作社负责农肥使用。</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5"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生活</w:t>
            </w:r>
          </w:p>
          <w:p>
            <w:pPr>
              <w:spacing w:line="240" w:lineRule="exact"/>
              <w:jc w:val="center"/>
              <w:rPr>
                <w:rFonts w:ascii="Times New Roman" w:hAnsi="Times New Roman"/>
                <w:sz w:val="18"/>
                <w:szCs w:val="18"/>
              </w:rPr>
            </w:pPr>
            <w:r>
              <w:rPr>
                <w:rFonts w:ascii="Times New Roman" w:hAnsi="Times New Roman"/>
                <w:sz w:val="18"/>
                <w:szCs w:val="18"/>
              </w:rPr>
              <w:t>废水</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污水处理系统</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pacing w:val="-4"/>
                <w:sz w:val="18"/>
                <w:szCs w:val="18"/>
              </w:rPr>
              <w:t>生活废水经化粪池处理后进入养殖废水系统处理。</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vMerge w:val="continue"/>
            <w:tcMar>
              <w:left w:w="28" w:type="dxa"/>
              <w:right w:w="28" w:type="dxa"/>
            </w:tcMar>
            <w:vAlign w:val="center"/>
          </w:tcPr>
          <w:p>
            <w:pPr>
              <w:spacing w:line="240" w:lineRule="exact"/>
              <w:rPr>
                <w:rFonts w:ascii="Times New Roman" w:hAnsi="Times New Roman"/>
                <w:sz w:val="18"/>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5"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2066" w:type="dxa"/>
            <w:gridSpan w:val="3"/>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地下水防渗区</w:t>
            </w:r>
          </w:p>
        </w:tc>
        <w:tc>
          <w:tcPr>
            <w:tcW w:w="2584" w:type="dxa"/>
            <w:tcMar>
              <w:left w:w="28" w:type="dxa"/>
              <w:right w:w="28" w:type="dxa"/>
            </w:tcMar>
            <w:vAlign w:val="center"/>
          </w:tcPr>
          <w:p>
            <w:pPr>
              <w:spacing w:line="240" w:lineRule="exact"/>
              <w:jc w:val="center"/>
              <w:rPr>
                <w:rFonts w:ascii="Times New Roman" w:hAnsi="Times New Roman"/>
                <w:spacing w:val="-4"/>
                <w:sz w:val="18"/>
                <w:szCs w:val="18"/>
              </w:rPr>
            </w:pPr>
            <w:r>
              <w:rPr>
                <w:rFonts w:ascii="Times New Roman" w:hAnsi="Times New Roman"/>
                <w:sz w:val="18"/>
                <w:szCs w:val="18"/>
              </w:rPr>
              <w:t>场区防渗处理。</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重点防渗区等效黏土防渗层Mb≥6.0m，K≤1×10</w:t>
            </w:r>
            <w:r>
              <w:rPr>
                <w:rFonts w:ascii="Times New Roman" w:hAnsi="Times New Roman"/>
                <w:sz w:val="18"/>
                <w:szCs w:val="18"/>
                <w:vertAlign w:val="superscript"/>
              </w:rPr>
              <w:t>-7</w:t>
            </w:r>
            <w:r>
              <w:rPr>
                <w:rFonts w:ascii="Times New Roman" w:hAnsi="Times New Roman"/>
                <w:sz w:val="18"/>
                <w:szCs w:val="18"/>
              </w:rPr>
              <w:t>cm/s；一般防渗区地面采取粘土铺底，等效黏土防渗层：Mb≥1.5m，K≤1×10</w:t>
            </w:r>
            <w:r>
              <w:rPr>
                <w:rFonts w:ascii="Times New Roman" w:hAnsi="Times New Roman"/>
                <w:sz w:val="18"/>
                <w:szCs w:val="18"/>
                <w:vertAlign w:val="superscript"/>
              </w:rPr>
              <w:t>-7</w:t>
            </w:r>
            <w:r>
              <w:rPr>
                <w:rFonts w:ascii="Times New Roman" w:hAnsi="Times New Roman"/>
                <w:sz w:val="18"/>
                <w:szCs w:val="18"/>
              </w:rPr>
              <w:t xml:space="preserve">cm/s，再在上层铺10~15cm的水泥进行硬化。 </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雨水</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雨水</w:t>
            </w:r>
          </w:p>
          <w:p>
            <w:pPr>
              <w:spacing w:line="240" w:lineRule="exact"/>
              <w:jc w:val="center"/>
              <w:rPr>
                <w:rFonts w:ascii="Times New Roman" w:hAnsi="Times New Roman"/>
                <w:sz w:val="18"/>
                <w:szCs w:val="18"/>
              </w:rPr>
            </w:pPr>
            <w:r>
              <w:rPr>
                <w:rFonts w:ascii="Times New Roman" w:hAnsi="Times New Roman"/>
                <w:sz w:val="18"/>
                <w:szCs w:val="18"/>
              </w:rPr>
              <w:t>沟渠</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258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实施雨污分流</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修建雨水渠</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551"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噪声</w:t>
            </w: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养殖场</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场界外1m处</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厂界</w:t>
            </w:r>
          </w:p>
          <w:p>
            <w:pPr>
              <w:spacing w:line="240" w:lineRule="exact"/>
              <w:jc w:val="center"/>
              <w:rPr>
                <w:rFonts w:ascii="Times New Roman" w:hAnsi="Times New Roman"/>
                <w:sz w:val="18"/>
                <w:szCs w:val="18"/>
              </w:rPr>
            </w:pPr>
            <w:r>
              <w:rPr>
                <w:rFonts w:ascii="Times New Roman" w:hAnsi="Times New Roman"/>
                <w:sz w:val="18"/>
                <w:szCs w:val="18"/>
              </w:rPr>
              <w:t>噪声</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高噪设备应加防振、隔声设施，隔声量25～35dB（A）；排气扇、风机和水泵选用低噪设备，同时采取隔音措施；修建场界围墙</w:t>
            </w:r>
            <w:r>
              <w:rPr>
                <w:rFonts w:ascii="Times New Roman" w:hAnsi="Times New Roman"/>
                <w:spacing w:val="-4"/>
                <w:sz w:val="18"/>
                <w:szCs w:val="18"/>
              </w:rPr>
              <w:t>。</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《工业企业厂界环境噪声排放标准》（GB12348-2008）</w:t>
            </w:r>
          </w:p>
          <w:p>
            <w:pPr>
              <w:spacing w:line="240" w:lineRule="exact"/>
              <w:jc w:val="center"/>
              <w:rPr>
                <w:rFonts w:ascii="Times New Roman" w:hAnsi="Times New Roman"/>
                <w:sz w:val="18"/>
                <w:szCs w:val="18"/>
              </w:rPr>
            </w:pPr>
            <w:r>
              <w:rPr>
                <w:rFonts w:ascii="Times New Roman" w:hAnsi="Times New Roman"/>
                <w:sz w:val="18"/>
                <w:szCs w:val="18"/>
              </w:rPr>
              <w:t>2类</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昼间：60dB(A)</w:t>
            </w:r>
          </w:p>
          <w:p>
            <w:pPr>
              <w:spacing w:line="240" w:lineRule="exact"/>
              <w:jc w:val="center"/>
              <w:rPr>
                <w:rFonts w:ascii="Times New Roman" w:hAnsi="Times New Roman"/>
                <w:sz w:val="18"/>
                <w:szCs w:val="18"/>
              </w:rPr>
            </w:pPr>
            <w:r>
              <w:rPr>
                <w:rFonts w:ascii="Times New Roman" w:hAnsi="Times New Roman"/>
                <w:sz w:val="18"/>
                <w:szCs w:val="18"/>
              </w:rPr>
              <w:t>夜间：50dB(A)</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851" w:hRule="atLeast"/>
          <w:jc w:val="center"/>
        </w:trPr>
        <w:tc>
          <w:tcPr>
            <w:tcW w:w="551" w:type="dxa"/>
            <w:vMerge w:val="restart"/>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固体废物</w:t>
            </w: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生活</w:t>
            </w:r>
          </w:p>
          <w:p>
            <w:pPr>
              <w:spacing w:line="240" w:lineRule="exact"/>
              <w:jc w:val="center"/>
              <w:rPr>
                <w:rFonts w:ascii="Times New Roman" w:hAnsi="Times New Roman"/>
                <w:sz w:val="18"/>
                <w:szCs w:val="18"/>
              </w:rPr>
            </w:pPr>
            <w:r>
              <w:rPr>
                <w:rFonts w:ascii="Times New Roman" w:hAnsi="Times New Roman"/>
                <w:sz w:val="18"/>
                <w:szCs w:val="18"/>
              </w:rPr>
              <w:t>垃圾</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垃圾桶</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收集点</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设置固定垃圾收集点，收集的生活垃圾送垃圾场处置</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环卫统一清运</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197"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堆肥</w:t>
            </w:r>
          </w:p>
          <w:p>
            <w:pPr>
              <w:spacing w:line="240" w:lineRule="exact"/>
              <w:jc w:val="center"/>
              <w:rPr>
                <w:rFonts w:ascii="Times New Roman" w:hAnsi="Times New Roman"/>
                <w:sz w:val="18"/>
                <w:szCs w:val="18"/>
              </w:rPr>
            </w:pPr>
            <w:r>
              <w:rPr>
                <w:rFonts w:ascii="Times New Roman" w:hAnsi="Times New Roman"/>
                <w:sz w:val="18"/>
                <w:szCs w:val="18"/>
              </w:rPr>
              <w:t>车间</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堆肥</w:t>
            </w:r>
          </w:p>
          <w:p>
            <w:pPr>
              <w:spacing w:line="240" w:lineRule="exact"/>
              <w:jc w:val="center"/>
              <w:rPr>
                <w:rFonts w:ascii="Times New Roman" w:hAnsi="Times New Roman"/>
                <w:sz w:val="18"/>
                <w:szCs w:val="18"/>
              </w:rPr>
            </w:pPr>
            <w:r>
              <w:rPr>
                <w:rFonts w:ascii="Times New Roman" w:hAnsi="Times New Roman"/>
                <w:sz w:val="18"/>
                <w:szCs w:val="18"/>
              </w:rPr>
              <w:t>车间</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猪粪</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堆肥车间200 m</w:t>
            </w:r>
            <w:r>
              <w:rPr>
                <w:rFonts w:ascii="Times New Roman" w:hAnsi="Times New Roman"/>
                <w:sz w:val="18"/>
                <w:szCs w:val="18"/>
                <w:vertAlign w:val="superscript"/>
              </w:rPr>
              <w:t>3</w:t>
            </w:r>
            <w:r>
              <w:rPr>
                <w:rFonts w:ascii="Times New Roman" w:hAnsi="Times New Roman"/>
                <w:sz w:val="18"/>
                <w:szCs w:val="18"/>
              </w:rPr>
              <w:t>，配置固液分离装置等。本项目采用干清粪工艺，猪粪送干粪堆场堆肥发酵处理后用作周边农田肥料。</w:t>
            </w:r>
          </w:p>
        </w:tc>
        <w:tc>
          <w:tcPr>
            <w:tcW w:w="1807"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《一般工业固体废物贮存、处置场污染控制标准》（GB18599-2013）</w:t>
            </w:r>
          </w:p>
          <w:p>
            <w:pPr>
              <w:spacing w:line="240" w:lineRule="exact"/>
              <w:rPr>
                <w:rFonts w:ascii="Times New Roman" w:hAnsi="Times New Roman"/>
                <w:sz w:val="18"/>
                <w:szCs w:val="18"/>
              </w:rPr>
            </w:pPr>
            <w:r>
              <w:rPr>
                <w:rFonts w:ascii="Times New Roman" w:hAnsi="Times New Roman"/>
                <w:sz w:val="18"/>
                <w:szCs w:val="18"/>
              </w:rPr>
              <w:t>《畜禽养殖业污染物排放标准》（GB18596-2001）表6</w:t>
            </w:r>
          </w:p>
        </w:tc>
        <w:tc>
          <w:tcPr>
            <w:tcW w:w="1983"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1、有固定的储存设施和场所，并要有防渗措施。2、成品堆肥外售（蛔虫卵死亡率≥95%，粪大肠菌群≤10</w:t>
            </w:r>
            <w:r>
              <w:rPr>
                <w:rFonts w:ascii="Times New Roman" w:hAnsi="Times New Roman"/>
                <w:sz w:val="18"/>
                <w:szCs w:val="18"/>
                <w:vertAlign w:val="superscript"/>
              </w:rPr>
              <w:t>5</w:t>
            </w:r>
            <w:r>
              <w:rPr>
                <w:rFonts w:ascii="Times New Roman" w:hAnsi="Times New Roman"/>
                <w:sz w:val="18"/>
                <w:szCs w:val="18"/>
              </w:rPr>
              <w:t>个/kg）。</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162"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猪尸体</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冷藏室</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设置病死猪暂存室，病死猪只委托有资质的单位处置。</w:t>
            </w:r>
          </w:p>
        </w:tc>
        <w:tc>
          <w:tcPr>
            <w:tcW w:w="1807" w:type="dxa"/>
            <w:vMerge w:val="restart"/>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《危险废物贮存</w:t>
            </w:r>
          </w:p>
          <w:p>
            <w:pPr>
              <w:spacing w:line="240" w:lineRule="exact"/>
              <w:jc w:val="center"/>
              <w:rPr>
                <w:rFonts w:ascii="Times New Roman" w:hAnsi="Times New Roman"/>
                <w:sz w:val="18"/>
                <w:szCs w:val="18"/>
              </w:rPr>
            </w:pPr>
            <w:r>
              <w:rPr>
                <w:rFonts w:ascii="Times New Roman" w:hAnsi="Times New Roman"/>
                <w:sz w:val="18"/>
                <w:szCs w:val="18"/>
              </w:rPr>
              <w:t>污染控制标准》（GB18597-2001）</w:t>
            </w:r>
          </w:p>
        </w:tc>
        <w:tc>
          <w:tcPr>
            <w:tcW w:w="1983" w:type="dxa"/>
            <w:vMerge w:val="restart"/>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属于危废，冷藏室和危废暂存间地面须做防渗处理，做好“防风、防雨、防晒”三防工作。危废必须按照相关规范要求，做到安全处置。</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医疗</w:t>
            </w:r>
          </w:p>
          <w:p>
            <w:pPr>
              <w:spacing w:line="240" w:lineRule="exact"/>
              <w:jc w:val="center"/>
              <w:rPr>
                <w:rFonts w:ascii="Times New Roman" w:hAnsi="Times New Roman"/>
                <w:sz w:val="18"/>
                <w:szCs w:val="18"/>
              </w:rPr>
            </w:pPr>
            <w:r>
              <w:rPr>
                <w:rFonts w:ascii="Times New Roman" w:hAnsi="Times New Roman"/>
                <w:sz w:val="18"/>
                <w:szCs w:val="18"/>
              </w:rPr>
              <w:t>废物</w:t>
            </w:r>
          </w:p>
        </w:tc>
        <w:tc>
          <w:tcPr>
            <w:tcW w:w="635"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兽医间</w:t>
            </w:r>
          </w:p>
        </w:tc>
        <w:tc>
          <w:tcPr>
            <w:tcW w:w="66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医疗</w:t>
            </w:r>
          </w:p>
          <w:p>
            <w:pPr>
              <w:spacing w:line="240" w:lineRule="exact"/>
              <w:jc w:val="center"/>
              <w:rPr>
                <w:rFonts w:ascii="Times New Roman" w:hAnsi="Times New Roman"/>
                <w:sz w:val="18"/>
                <w:szCs w:val="18"/>
              </w:rPr>
            </w:pPr>
            <w:r>
              <w:rPr>
                <w:rFonts w:ascii="Times New Roman" w:hAnsi="Times New Roman"/>
                <w:sz w:val="18"/>
                <w:szCs w:val="18"/>
              </w:rPr>
              <w:t>废物</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交由医疗废物收集处理资质的单位统一收运处置</w:t>
            </w:r>
          </w:p>
        </w:tc>
        <w:tc>
          <w:tcPr>
            <w:tcW w:w="1807" w:type="dxa"/>
            <w:vMerge w:val="continue"/>
            <w:tcMar>
              <w:left w:w="28" w:type="dxa"/>
              <w:right w:w="28" w:type="dxa"/>
            </w:tcMar>
            <w:vAlign w:val="center"/>
          </w:tcPr>
          <w:p>
            <w:pPr>
              <w:spacing w:line="240" w:lineRule="exact"/>
              <w:rPr>
                <w:rFonts w:ascii="Times New Roman" w:hAnsi="Times New Roman"/>
                <w:sz w:val="18"/>
                <w:szCs w:val="18"/>
              </w:rPr>
            </w:pPr>
          </w:p>
        </w:tc>
        <w:tc>
          <w:tcPr>
            <w:tcW w:w="1983" w:type="dxa"/>
            <w:vMerge w:val="continue"/>
            <w:tcMar>
              <w:left w:w="28" w:type="dxa"/>
              <w:right w:w="28" w:type="dxa"/>
            </w:tcMar>
            <w:vAlign w:val="center"/>
          </w:tcPr>
          <w:p>
            <w:pPr>
              <w:spacing w:line="240" w:lineRule="exact"/>
              <w:rPr>
                <w:rFonts w:ascii="Times New Roman" w:hAnsi="Times New Roman"/>
                <w:sz w:val="18"/>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855" w:hRule="atLeast"/>
          <w:jc w:val="center"/>
        </w:trPr>
        <w:tc>
          <w:tcPr>
            <w:tcW w:w="551" w:type="dxa"/>
            <w:vMerge w:val="restart"/>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风险</w:t>
            </w: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沼气</w:t>
            </w:r>
          </w:p>
        </w:tc>
        <w:tc>
          <w:tcPr>
            <w:tcW w:w="1302" w:type="dxa"/>
            <w:gridSpan w:val="2"/>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沼气袋</w:t>
            </w:r>
          </w:p>
          <w:p>
            <w:pPr>
              <w:spacing w:line="240" w:lineRule="exact"/>
              <w:jc w:val="center"/>
              <w:rPr>
                <w:rFonts w:ascii="Times New Roman" w:hAnsi="Times New Roman"/>
                <w:sz w:val="18"/>
                <w:szCs w:val="18"/>
              </w:rPr>
            </w:pPr>
            <w:r>
              <w:rPr>
                <w:rFonts w:ascii="Times New Roman" w:hAnsi="Times New Roman"/>
                <w:sz w:val="18"/>
                <w:szCs w:val="18"/>
              </w:rPr>
              <w:t>及管道</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沼气相关管件等采用可靠的密封技术，设消防通道，设置安全防火距离</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按要求执行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18" w:hRule="atLeast"/>
          <w:jc w:val="center"/>
        </w:trPr>
        <w:tc>
          <w:tcPr>
            <w:tcW w:w="551" w:type="dxa"/>
            <w:vMerge w:val="continue"/>
            <w:tcMar>
              <w:left w:w="28" w:type="dxa"/>
              <w:right w:w="28" w:type="dxa"/>
            </w:tcMar>
            <w:vAlign w:val="center"/>
          </w:tcPr>
          <w:p>
            <w:pPr>
              <w:spacing w:line="240" w:lineRule="exact"/>
              <w:jc w:val="center"/>
              <w:rPr>
                <w:rFonts w:ascii="Times New Roman" w:hAnsi="Times New Roman"/>
                <w:sz w:val="18"/>
                <w:szCs w:val="18"/>
              </w:rPr>
            </w:pPr>
          </w:p>
        </w:tc>
        <w:tc>
          <w:tcPr>
            <w:tcW w:w="764"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病死</w:t>
            </w:r>
          </w:p>
          <w:p>
            <w:pPr>
              <w:spacing w:line="240" w:lineRule="exact"/>
              <w:jc w:val="center"/>
              <w:rPr>
                <w:rFonts w:ascii="Times New Roman" w:hAnsi="Times New Roman"/>
                <w:sz w:val="18"/>
                <w:szCs w:val="18"/>
              </w:rPr>
            </w:pPr>
            <w:r>
              <w:rPr>
                <w:rFonts w:ascii="Times New Roman" w:hAnsi="Times New Roman"/>
                <w:sz w:val="18"/>
                <w:szCs w:val="18"/>
              </w:rPr>
              <w:t>猪只</w:t>
            </w:r>
          </w:p>
        </w:tc>
        <w:tc>
          <w:tcPr>
            <w:tcW w:w="1302" w:type="dxa"/>
            <w:gridSpan w:val="2"/>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运输</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运输前后必须做好消毒工作，保证车辆的密闭性</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按要求执行</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617" w:type="dxa"/>
            <w:gridSpan w:val="4"/>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绿化工程</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场区及场界植树种草绿化</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绿化面积达到场区面积的15%以上</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80" w:hRule="atLeast"/>
          <w:jc w:val="center"/>
        </w:trPr>
        <w:tc>
          <w:tcPr>
            <w:tcW w:w="2617" w:type="dxa"/>
            <w:gridSpan w:val="4"/>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水土保持</w:t>
            </w:r>
          </w:p>
        </w:tc>
        <w:tc>
          <w:tcPr>
            <w:tcW w:w="2584" w:type="dxa"/>
            <w:tcMar>
              <w:left w:w="28" w:type="dxa"/>
              <w:right w:w="28" w:type="dxa"/>
            </w:tcMar>
            <w:vAlign w:val="center"/>
          </w:tcPr>
          <w:p>
            <w:pPr>
              <w:spacing w:line="240" w:lineRule="exact"/>
              <w:jc w:val="left"/>
              <w:rPr>
                <w:rFonts w:ascii="Times New Roman" w:hAnsi="Times New Roman"/>
                <w:sz w:val="18"/>
                <w:szCs w:val="18"/>
              </w:rPr>
            </w:pPr>
            <w:r>
              <w:rPr>
                <w:rFonts w:ascii="Times New Roman" w:hAnsi="Times New Roman"/>
                <w:sz w:val="18"/>
                <w:szCs w:val="18"/>
              </w:rPr>
              <w:t>工程措施、植物措施</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满足水土保持要求</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26" w:hRule="atLeast"/>
          <w:jc w:val="center"/>
        </w:trPr>
        <w:tc>
          <w:tcPr>
            <w:tcW w:w="2617" w:type="dxa"/>
            <w:gridSpan w:val="4"/>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环境监测</w:t>
            </w:r>
          </w:p>
        </w:tc>
        <w:tc>
          <w:tcPr>
            <w:tcW w:w="2584" w:type="dxa"/>
            <w:tcMar>
              <w:left w:w="28" w:type="dxa"/>
              <w:right w:w="28" w:type="dxa"/>
            </w:tcMar>
            <w:vAlign w:val="center"/>
          </w:tcPr>
          <w:p>
            <w:pPr>
              <w:spacing w:line="240" w:lineRule="exact"/>
              <w:jc w:val="left"/>
              <w:rPr>
                <w:rFonts w:ascii="Times New Roman" w:hAnsi="Times New Roman"/>
                <w:sz w:val="18"/>
                <w:szCs w:val="18"/>
              </w:rPr>
            </w:pPr>
            <w:r>
              <w:rPr>
                <w:rFonts w:ascii="Times New Roman" w:hAnsi="Times New Roman"/>
                <w:sz w:val="18"/>
                <w:szCs w:val="18"/>
              </w:rPr>
              <w:t>与当地环境监测部门达成协议</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13" w:hRule="atLeast"/>
          <w:jc w:val="center"/>
        </w:trPr>
        <w:tc>
          <w:tcPr>
            <w:tcW w:w="2617" w:type="dxa"/>
            <w:gridSpan w:val="4"/>
            <w:vMerge w:val="restart"/>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环境管理</w:t>
            </w: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执行环境影响评价制度、环境保护“三同时”制度及环境保护竣工验收制度</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严格执行</w:t>
            </w:r>
          </w:p>
          <w:p>
            <w:pPr>
              <w:spacing w:line="240" w:lineRule="exact"/>
              <w:jc w:val="center"/>
              <w:rPr>
                <w:rFonts w:ascii="Times New Roman" w:hAnsi="Times New Roman"/>
                <w:sz w:val="18"/>
                <w:szCs w:val="18"/>
              </w:rPr>
            </w:pPr>
            <w:r>
              <w:rPr>
                <w:rFonts w:ascii="Times New Roman" w:hAnsi="Times New Roman"/>
                <w:sz w:val="18"/>
                <w:szCs w:val="18"/>
              </w:rPr>
              <w:t>环境管理制度</w:t>
            </w:r>
          </w:p>
        </w:tc>
      </w:tr>
      <w:tr>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2617" w:type="dxa"/>
            <w:gridSpan w:val="4"/>
            <w:vMerge w:val="continue"/>
            <w:tcMar>
              <w:left w:w="28" w:type="dxa"/>
              <w:right w:w="28" w:type="dxa"/>
            </w:tcMar>
            <w:vAlign w:val="center"/>
          </w:tcPr>
          <w:p>
            <w:pPr>
              <w:spacing w:line="240" w:lineRule="exact"/>
              <w:jc w:val="center"/>
              <w:rPr>
                <w:rFonts w:ascii="Times New Roman" w:hAnsi="Times New Roman"/>
                <w:sz w:val="18"/>
                <w:szCs w:val="18"/>
              </w:rPr>
            </w:pPr>
          </w:p>
        </w:tc>
        <w:tc>
          <w:tcPr>
            <w:tcW w:w="2584" w:type="dxa"/>
            <w:tcMar>
              <w:left w:w="28" w:type="dxa"/>
              <w:right w:w="28" w:type="dxa"/>
            </w:tcMar>
            <w:vAlign w:val="center"/>
          </w:tcPr>
          <w:p>
            <w:pPr>
              <w:spacing w:line="240" w:lineRule="exact"/>
              <w:rPr>
                <w:rFonts w:ascii="Times New Roman" w:hAnsi="Times New Roman"/>
                <w:sz w:val="18"/>
                <w:szCs w:val="18"/>
              </w:rPr>
            </w:pPr>
            <w:r>
              <w:rPr>
                <w:rFonts w:ascii="Times New Roman" w:hAnsi="Times New Roman"/>
                <w:sz w:val="18"/>
                <w:szCs w:val="18"/>
              </w:rPr>
              <w:t>加强员工培训及干清粪运营管理干清粪比例不得低于90%</w:t>
            </w:r>
          </w:p>
        </w:tc>
        <w:tc>
          <w:tcPr>
            <w:tcW w:w="1807"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w:t>
            </w:r>
          </w:p>
        </w:tc>
        <w:tc>
          <w:tcPr>
            <w:tcW w:w="1983" w:type="dxa"/>
            <w:tcMar>
              <w:left w:w="28" w:type="dxa"/>
              <w:right w:w="28" w:type="dxa"/>
            </w:tcMar>
            <w:vAlign w:val="center"/>
          </w:tcPr>
          <w:p>
            <w:pPr>
              <w:spacing w:line="240" w:lineRule="exact"/>
              <w:jc w:val="center"/>
              <w:rPr>
                <w:rFonts w:ascii="Times New Roman" w:hAnsi="Times New Roman"/>
                <w:sz w:val="18"/>
                <w:szCs w:val="18"/>
              </w:rPr>
            </w:pPr>
            <w:r>
              <w:rPr>
                <w:rFonts w:ascii="Times New Roman" w:hAnsi="Times New Roman"/>
                <w:sz w:val="18"/>
                <w:szCs w:val="18"/>
              </w:rPr>
              <w:t>加强管理</w:t>
            </w:r>
          </w:p>
        </w:tc>
      </w:tr>
    </w:tbl>
    <w:p>
      <w:pPr>
        <w:widowControl/>
        <w:spacing w:line="240" w:lineRule="auto"/>
        <w:jc w:val="left"/>
        <w:rPr>
          <w:rFonts w:ascii="Times New Roman" w:hAnsi="Times New Roman" w:eastAsia="黑体"/>
          <w:sz w:val="36"/>
        </w:rPr>
      </w:pPr>
    </w:p>
    <w:p>
      <w:pPr>
        <w:widowControl/>
        <w:spacing w:line="240" w:lineRule="auto"/>
        <w:jc w:val="left"/>
        <w:rPr>
          <w:rFonts w:ascii="Times New Roman" w:hAnsi="Times New Roman" w:eastAsia="黑体"/>
          <w:sz w:val="36"/>
        </w:rPr>
      </w:pPr>
      <w:r>
        <w:rPr>
          <w:rFonts w:ascii="Times New Roman" w:hAnsi="Times New Roman" w:eastAsia="黑体"/>
          <w:sz w:val="36"/>
        </w:rPr>
        <w:br w:type="page"/>
      </w:r>
    </w:p>
    <w:p>
      <w:pPr>
        <w:pStyle w:val="101"/>
        <w:spacing w:before="780" w:after="780"/>
        <w:rPr>
          <w:rFonts w:ascii="Times New Roman" w:hAnsi="Times New Roman"/>
        </w:rPr>
      </w:pPr>
      <w:bookmarkStart w:id="353" w:name="_Toc9873447"/>
      <w:r>
        <w:rPr>
          <w:rFonts w:ascii="Times New Roman" w:hAnsi="Times New Roman"/>
        </w:rPr>
        <w:t>第十一章  环境影响评价结论</w:t>
      </w:r>
      <w:bookmarkEnd w:id="353"/>
    </w:p>
    <w:p>
      <w:pPr>
        <w:pStyle w:val="103"/>
        <w:numPr>
          <w:ilvl w:val="0"/>
          <w:numId w:val="0"/>
        </w:numPr>
        <w:rPr>
          <w:rFonts w:ascii="Times New Roman" w:hAnsi="Times New Roman"/>
          <w:b w:val="0"/>
          <w:bCs/>
          <w:kern w:val="28"/>
          <w:sz w:val="32"/>
          <w:szCs w:val="32"/>
        </w:rPr>
      </w:pPr>
      <w:bookmarkStart w:id="354" w:name="_Toc9873448"/>
      <w:r>
        <w:rPr>
          <w:rFonts w:ascii="Times New Roman" w:hAnsi="Times New Roman"/>
          <w:b w:val="0"/>
          <w:bCs/>
          <w:kern w:val="28"/>
          <w:sz w:val="32"/>
          <w:szCs w:val="32"/>
        </w:rPr>
        <w:t>11.1 项目概况</w:t>
      </w:r>
      <w:bookmarkEnd w:id="354"/>
    </w:p>
    <w:p>
      <w:pPr>
        <w:spacing w:line="480" w:lineRule="exact"/>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旺江农牧冉义现代化生猪养殖基地二期建设项目位于</w:t>
      </w:r>
      <w:r>
        <w:rPr>
          <w:rFonts w:ascii="Times New Roman" w:hAnsi="Times New Roman"/>
          <w:sz w:val="24"/>
          <w:szCs w:val="24"/>
        </w:rPr>
        <w:t>邛崃市冉义镇园林村35组，利用一期剩余土地面积约60亩建设育肥舍、保育舍，建成后二期生猪存栏量为19900头，年出栏量为57720头。项目由成都旺江农牧科技有限公司总投资3000万元建设，其中环保投资325万元。</w:t>
      </w:r>
    </w:p>
    <w:p>
      <w:pPr>
        <w:pStyle w:val="103"/>
        <w:numPr>
          <w:ilvl w:val="0"/>
          <w:numId w:val="0"/>
        </w:numPr>
        <w:rPr>
          <w:rFonts w:ascii="Times New Roman" w:hAnsi="Times New Roman"/>
          <w:b w:val="0"/>
          <w:bCs/>
          <w:kern w:val="28"/>
          <w:sz w:val="32"/>
          <w:szCs w:val="32"/>
        </w:rPr>
      </w:pPr>
      <w:bookmarkStart w:id="355" w:name="_Toc9873449"/>
      <w:r>
        <w:rPr>
          <w:rFonts w:ascii="Times New Roman" w:hAnsi="Times New Roman"/>
          <w:b w:val="0"/>
          <w:bCs/>
          <w:kern w:val="28"/>
          <w:sz w:val="32"/>
          <w:szCs w:val="32"/>
        </w:rPr>
        <w:t>11.2 产业政策及规划符合性结论</w:t>
      </w:r>
      <w:bookmarkEnd w:id="355"/>
    </w:p>
    <w:p>
      <w:pPr>
        <w:pStyle w:val="108"/>
      </w:pPr>
      <w:bookmarkStart w:id="356" w:name="_Toc9873450"/>
      <w:r>
        <w:t>11.2.1　产业政策符合性结论</w:t>
      </w:r>
      <w:bookmarkEnd w:id="356"/>
    </w:p>
    <w:p>
      <w:pPr>
        <w:ind w:firstLine="480" w:firstLineChars="200"/>
        <w:rPr>
          <w:rFonts w:ascii="Times New Roman" w:hAnsi="Times New Roman"/>
          <w:sz w:val="24"/>
        </w:rPr>
      </w:pPr>
      <w:r>
        <w:rPr>
          <w:rFonts w:ascii="Times New Roman" w:hAnsi="Times New Roman"/>
          <w:sz w:val="24"/>
        </w:rPr>
        <w:t>本项目为旺江农牧冉义现代化生猪养殖基地二期建设项目，根据《产业结构调整指导目录（2011 年本）》（2013 年修正），生猪养殖项目属于“第一类鼓励类”“一、农林业”中的 “5、畜禽标准化规模养殖技术开发与应用”。</w:t>
      </w:r>
    </w:p>
    <w:p>
      <w:pPr>
        <w:ind w:firstLine="480" w:firstLineChars="200"/>
        <w:rPr>
          <w:rFonts w:ascii="Times New Roman" w:hAnsi="Times New Roman"/>
          <w:sz w:val="24"/>
        </w:rPr>
      </w:pPr>
      <w:r>
        <w:rPr>
          <w:rFonts w:ascii="Times New Roman" w:hAnsi="Times New Roman"/>
          <w:sz w:val="24"/>
        </w:rPr>
        <w:t>2018年11月，本项目取得了邛崃市发展和改革局出具的《四川省固定资产投资项目备案表》（川投资备【2018-510183-03-03-311051】FGQB-0274号）。</w:t>
      </w:r>
    </w:p>
    <w:p>
      <w:pPr>
        <w:ind w:firstLine="480" w:firstLineChars="200"/>
        <w:rPr>
          <w:rFonts w:ascii="Times New Roman" w:hAnsi="Times New Roman"/>
        </w:rPr>
      </w:pPr>
      <w:r>
        <w:rPr>
          <w:rFonts w:ascii="Times New Roman" w:hAnsi="Times New Roman"/>
          <w:sz w:val="24"/>
        </w:rPr>
        <w:t>因此，本项目与国家现行产业政策相符。</w:t>
      </w:r>
    </w:p>
    <w:p>
      <w:pPr>
        <w:pStyle w:val="108"/>
      </w:pPr>
      <w:bookmarkStart w:id="357" w:name="_Toc9873451"/>
      <w:r>
        <w:t>11.2.2　规划符合性结论</w:t>
      </w:r>
      <w:bookmarkEnd w:id="357"/>
    </w:p>
    <w:p>
      <w:pPr>
        <w:autoSpaceDE w:val="0"/>
        <w:autoSpaceDN w:val="0"/>
        <w:adjustRightInd w:val="0"/>
        <w:ind w:firstLine="480" w:firstLineChars="200"/>
        <w:jc w:val="left"/>
        <w:rPr>
          <w:rFonts w:ascii="Times New Roman" w:hAnsi="Times New Roman"/>
          <w:sz w:val="24"/>
        </w:rPr>
      </w:pPr>
      <w:r>
        <w:rPr>
          <w:rFonts w:ascii="Times New Roman" w:hAnsi="Times New Roman"/>
          <w:sz w:val="24"/>
          <w:szCs w:val="24"/>
        </w:rPr>
        <w:t>旺江农牧冉义现代化生猪养殖基地二期建设项目</w:t>
      </w:r>
      <w:r>
        <w:rPr>
          <w:rFonts w:ascii="Times New Roman" w:hAnsi="Times New Roman"/>
          <w:sz w:val="24"/>
        </w:rPr>
        <w:t>位于</w:t>
      </w:r>
      <w:r>
        <w:rPr>
          <w:rFonts w:ascii="Times New Roman" w:hAnsi="Times New Roman"/>
          <w:sz w:val="24"/>
          <w:szCs w:val="24"/>
        </w:rPr>
        <w:t>邛崃市冉义镇园林村35组</w:t>
      </w:r>
      <w:r>
        <w:rPr>
          <w:rFonts w:ascii="Times New Roman" w:hAnsi="Times New Roman"/>
          <w:sz w:val="24"/>
        </w:rPr>
        <w:t>，本项目的建设符合《四川省畜牧业发展“十三五”规划》、《成都市现代农业发展规划（2010—2020）》、《成都市畜禽养殖管理办法》、《邛崃市国民经济和社会发展第十三个五年规划纲要》及《冉义镇万亩高标准农田新型社区规划》等相关要求。</w:t>
      </w:r>
    </w:p>
    <w:p>
      <w:pPr>
        <w:pStyle w:val="108"/>
      </w:pPr>
      <w:bookmarkStart w:id="358" w:name="_Toc9873452"/>
      <w:r>
        <w:t>11.2.3 选址合理性分析</w:t>
      </w:r>
      <w:bookmarkEnd w:id="358"/>
    </w:p>
    <w:p>
      <w:pPr>
        <w:ind w:firstLine="480" w:firstLineChars="200"/>
        <w:rPr>
          <w:rFonts w:ascii="Times New Roman" w:hAnsi="Times New Roman"/>
          <w:sz w:val="24"/>
          <w:szCs w:val="24"/>
        </w:rPr>
      </w:pPr>
      <w:r>
        <w:rPr>
          <w:rFonts w:ascii="Times New Roman" w:hAnsi="Times New Roman"/>
          <w:sz w:val="24"/>
          <w:szCs w:val="24"/>
        </w:rPr>
        <w:t>旺江农牧冉义现代化生猪养殖基地二期建设项目</w:t>
      </w:r>
      <w:r>
        <w:rPr>
          <w:rFonts w:ascii="Times New Roman" w:hAnsi="Times New Roman"/>
          <w:sz w:val="24"/>
        </w:rPr>
        <w:t>位于</w:t>
      </w:r>
      <w:r>
        <w:rPr>
          <w:rFonts w:ascii="Times New Roman" w:hAnsi="Times New Roman"/>
          <w:sz w:val="24"/>
          <w:szCs w:val="24"/>
        </w:rPr>
        <w:t>邛崃市冉义镇园林村35组</w:t>
      </w:r>
      <w:r>
        <w:rPr>
          <w:rFonts w:ascii="Times New Roman" w:hAnsi="Times New Roman"/>
          <w:sz w:val="24"/>
        </w:rPr>
        <w:t>，</w:t>
      </w:r>
      <w:r>
        <w:rPr>
          <w:rFonts w:ascii="Times New Roman" w:hAnsi="Times New Roman"/>
          <w:sz w:val="24"/>
          <w:szCs w:val="24"/>
        </w:rPr>
        <w:t>项目选址符合《畜禽养殖业污染防治技术规范》、《农产品安全质量—无公害畜禽肉产地环境要求》及《畜禽规模养殖污染防治条例》相关要求，不属于城镇居民生活区内，项目周围属农村环境，不涉及水源保护区、风景名胜区、自然保护区等环境敏感区，外环境较为单一，场址周围无明显环境制约因素，不在邛崃市划定的畜禽养殖禁养区范围内。</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sz w:val="24"/>
          <w:szCs w:val="24"/>
        </w:rPr>
        <w:t>综上分析，项目选址基本合理。</w:t>
      </w:r>
    </w:p>
    <w:p>
      <w:pPr>
        <w:pStyle w:val="103"/>
        <w:numPr>
          <w:ilvl w:val="0"/>
          <w:numId w:val="0"/>
        </w:numPr>
        <w:rPr>
          <w:rFonts w:ascii="Times New Roman" w:hAnsi="Times New Roman"/>
          <w:b w:val="0"/>
          <w:bCs/>
          <w:kern w:val="28"/>
          <w:sz w:val="32"/>
          <w:szCs w:val="32"/>
        </w:rPr>
      </w:pPr>
      <w:bookmarkStart w:id="359" w:name="_Toc520883886"/>
      <w:bookmarkStart w:id="360" w:name="_Toc9873453"/>
      <w:r>
        <w:rPr>
          <w:rFonts w:ascii="Times New Roman" w:hAnsi="Times New Roman"/>
          <w:b w:val="0"/>
          <w:bCs/>
          <w:kern w:val="28"/>
          <w:sz w:val="32"/>
          <w:szCs w:val="32"/>
        </w:rPr>
        <w:t>11.</w:t>
      </w:r>
      <w:bookmarkStart w:id="361" w:name="_Toc479347895"/>
      <w:r>
        <w:rPr>
          <w:rFonts w:ascii="Times New Roman" w:hAnsi="Times New Roman"/>
          <w:b w:val="0"/>
          <w:bCs/>
          <w:kern w:val="28"/>
          <w:sz w:val="32"/>
          <w:szCs w:val="32"/>
        </w:rPr>
        <w:t>3　环境质量现状评价结论</w:t>
      </w:r>
      <w:bookmarkEnd w:id="359"/>
      <w:bookmarkEnd w:id="360"/>
      <w:bookmarkEnd w:id="361"/>
    </w:p>
    <w:p>
      <w:pPr>
        <w:autoSpaceDE w:val="0"/>
        <w:autoSpaceDN w:val="0"/>
        <w:adjustRightInd w:val="0"/>
        <w:ind w:firstLine="602" w:firstLineChars="25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（1）环境空气质量</w:t>
      </w:r>
    </w:p>
    <w:p>
      <w:pPr>
        <w:autoSpaceDE w:val="0"/>
        <w:autoSpaceDN w:val="0"/>
        <w:adjustRightInd w:val="0"/>
        <w:ind w:firstLine="600" w:firstLineChars="250"/>
        <w:jc w:val="left"/>
        <w:rPr>
          <w:rFonts w:ascii="Times New Roman" w:hAnsi="Times New Roman"/>
          <w:sz w:val="24"/>
          <w:szCs w:val="24"/>
        </w:rPr>
      </w:pPr>
      <w:r>
        <w:rPr>
          <w:rFonts w:ascii="Times New Roman" w:hAnsi="Times New Roman"/>
          <w:sz w:val="24"/>
          <w:szCs w:val="24"/>
        </w:rPr>
        <w:t>本项目位于成都崇州市冉义镇，项目所在区域内SO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年均值，CO日均值能满足《环境空气质量标准》（GB3095-2012）二级标准；PM</w:t>
      </w:r>
      <w:r>
        <w:rPr>
          <w:rFonts w:ascii="Times New Roman" w:hAnsi="Times New Roman"/>
          <w:sz w:val="24"/>
          <w:szCs w:val="24"/>
          <w:vertAlign w:val="subscript"/>
        </w:rPr>
        <w:t>2.5</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年均值，O</w:t>
      </w:r>
      <w:r>
        <w:rPr>
          <w:rFonts w:ascii="Times New Roman" w:hAnsi="Times New Roman"/>
          <w:sz w:val="24"/>
          <w:szCs w:val="24"/>
          <w:vertAlign w:val="subscript"/>
        </w:rPr>
        <w:t>3</w:t>
      </w:r>
      <w:r>
        <w:rPr>
          <w:rFonts w:ascii="Times New Roman" w:hAnsi="Times New Roman"/>
          <w:sz w:val="24"/>
          <w:szCs w:val="24"/>
        </w:rPr>
        <w:t>日最大8小时均值不能满足《环境空气质量标准》（GB3095-2012）二级标准</w:t>
      </w:r>
      <w:r>
        <w:rPr>
          <w:rFonts w:ascii="Times New Roman" w:hAnsi="Times New Roman" w:eastAsiaTheme="minorEastAsia"/>
          <w:kern w:val="0"/>
          <w:sz w:val="24"/>
          <w:szCs w:val="24"/>
        </w:rPr>
        <w:t>；环境空气中NH</w:t>
      </w:r>
      <w:r>
        <w:rPr>
          <w:rFonts w:ascii="Times New Roman" w:hAnsi="Times New Roman" w:eastAsiaTheme="minorEastAsia"/>
          <w:kern w:val="0"/>
          <w:sz w:val="24"/>
          <w:szCs w:val="24"/>
          <w:vertAlign w:val="subscript"/>
        </w:rPr>
        <w:t>3</w:t>
      </w:r>
      <w:r>
        <w:rPr>
          <w:rFonts w:ascii="Times New Roman" w:hAnsi="Times New Roman" w:eastAsiaTheme="minorEastAsia"/>
          <w:kern w:val="0"/>
          <w:sz w:val="24"/>
          <w:szCs w:val="24"/>
        </w:rPr>
        <w:t>、H</w:t>
      </w:r>
      <w:r>
        <w:rPr>
          <w:rFonts w:ascii="Times New Roman" w:hAnsi="Times New Roman" w:eastAsiaTheme="minorEastAsia"/>
          <w:kern w:val="0"/>
          <w:sz w:val="24"/>
          <w:szCs w:val="24"/>
          <w:vertAlign w:val="subscript"/>
        </w:rPr>
        <w:t>2</w:t>
      </w:r>
      <w:r>
        <w:rPr>
          <w:rFonts w:ascii="Times New Roman" w:hAnsi="Times New Roman" w:eastAsiaTheme="minorEastAsia"/>
          <w:kern w:val="0"/>
          <w:sz w:val="24"/>
          <w:szCs w:val="24"/>
        </w:rPr>
        <w:t xml:space="preserve">S </w:t>
      </w:r>
      <w:r>
        <w:rPr>
          <w:rFonts w:ascii="Times New Roman" w:hAnsi="Times New Roman"/>
          <w:sz w:val="24"/>
          <w:szCs w:val="24"/>
        </w:rPr>
        <w:t>均满足《环境影响评价技术导则-大气环境》（HJ2.2-</w:t>
      </w:r>
    </w:p>
    <w:p>
      <w:pPr>
        <w:autoSpaceDE w:val="0"/>
        <w:autoSpaceDN w:val="0"/>
        <w:adjustRightInd w:val="0"/>
        <w:jc w:val="left"/>
        <w:rPr>
          <w:rFonts w:ascii="Times New Roman" w:hAnsi="Times New Roman" w:eastAsiaTheme="minorEastAsia"/>
          <w:kern w:val="0"/>
          <w:sz w:val="24"/>
          <w:szCs w:val="24"/>
        </w:rPr>
      </w:pPr>
      <w:r>
        <w:rPr>
          <w:rFonts w:ascii="Times New Roman" w:hAnsi="Times New Roman"/>
          <w:sz w:val="24"/>
          <w:szCs w:val="24"/>
        </w:rPr>
        <w:t>2018）附录D相应浓度限值要求</w:t>
      </w:r>
      <w:r>
        <w:rPr>
          <w:rFonts w:ascii="Times New Roman" w:hAnsi="Times New Roman" w:eastAsiaTheme="minorEastAsia"/>
          <w:kern w:val="0"/>
          <w:sz w:val="24"/>
          <w:szCs w:val="24"/>
        </w:rPr>
        <w:t>。</w:t>
      </w:r>
    </w:p>
    <w:p>
      <w:pPr>
        <w:autoSpaceDE w:val="0"/>
        <w:autoSpaceDN w:val="0"/>
        <w:adjustRightInd w:val="0"/>
        <w:ind w:firstLine="482" w:firstLineChars="20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（2）地表水环境质量</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评价区域内地表水除各监测断面监测指标除总氮和粪大肠菌群外，均满足《地表水环境质量标准》（GB3838-2002）III类标准要求。</w:t>
      </w:r>
    </w:p>
    <w:p>
      <w:pPr>
        <w:autoSpaceDE w:val="0"/>
        <w:autoSpaceDN w:val="0"/>
        <w:adjustRightInd w:val="0"/>
        <w:ind w:firstLine="482" w:firstLineChars="20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（3）地下水环境质量</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评价区域地下水地下水各采样点的各项监测因子均满足《地下水质量标准》</w:t>
      </w:r>
    </w:p>
    <w:p>
      <w:pPr>
        <w:autoSpaceDE w:val="0"/>
        <w:autoSpaceDN w:val="0"/>
        <w:adjustRightIn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（GB/T 14848-2017）</w:t>
      </w:r>
      <w:r>
        <w:rPr>
          <w:rFonts w:hint="eastAsia" w:ascii="宋体" w:hAnsi="宋体" w:cs="宋体"/>
          <w:kern w:val="0"/>
          <w:sz w:val="24"/>
          <w:szCs w:val="24"/>
        </w:rPr>
        <w:t>Ⅲ</w:t>
      </w:r>
      <w:r>
        <w:rPr>
          <w:rFonts w:ascii="Times New Roman" w:hAnsi="Times New Roman" w:eastAsiaTheme="minorEastAsia"/>
          <w:kern w:val="0"/>
          <w:sz w:val="24"/>
          <w:szCs w:val="24"/>
        </w:rPr>
        <w:t>类标准要求。</w:t>
      </w:r>
    </w:p>
    <w:p>
      <w:pPr>
        <w:autoSpaceDE w:val="0"/>
        <w:autoSpaceDN w:val="0"/>
        <w:adjustRightInd w:val="0"/>
        <w:ind w:firstLine="482" w:firstLineChars="20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（4）声环境质量</w:t>
      </w:r>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本项目评价区域声环境4 个监测点昼夜间测值均能满足《声环境质量标准》GB3096—2008 中的2 类标准。</w:t>
      </w:r>
    </w:p>
    <w:p>
      <w:pPr>
        <w:autoSpaceDE w:val="0"/>
        <w:autoSpaceDN w:val="0"/>
        <w:adjustRightInd w:val="0"/>
        <w:ind w:firstLine="480"/>
        <w:jc w:val="left"/>
        <w:rPr>
          <w:rFonts w:ascii="Times New Roman" w:hAnsi="Times New Roman" w:eastAsiaTheme="minorEastAsia"/>
          <w:b/>
          <w:kern w:val="0"/>
          <w:sz w:val="24"/>
          <w:szCs w:val="24"/>
        </w:rPr>
      </w:pPr>
      <w:r>
        <w:rPr>
          <w:rFonts w:ascii="Times New Roman" w:hAnsi="Times New Roman" w:eastAsiaTheme="minorEastAsia"/>
          <w:b/>
          <w:kern w:val="0"/>
          <w:sz w:val="24"/>
          <w:szCs w:val="24"/>
        </w:rPr>
        <w:t>（5）土壤环境质量</w:t>
      </w:r>
    </w:p>
    <w:p>
      <w:pPr>
        <w:autoSpaceDE w:val="0"/>
        <w:autoSpaceDN w:val="0"/>
        <w:adjustRightInd w:val="0"/>
        <w:ind w:firstLine="480"/>
        <w:jc w:val="left"/>
        <w:rPr>
          <w:rFonts w:ascii="Times New Roman" w:hAnsi="Times New Roman" w:eastAsiaTheme="minorEastAsia"/>
          <w:kern w:val="0"/>
          <w:sz w:val="24"/>
          <w:szCs w:val="24"/>
        </w:rPr>
      </w:pPr>
      <w:r>
        <w:rPr>
          <w:rFonts w:ascii="Times New Roman" w:hAnsi="Times New Roman"/>
          <w:sz w:val="24"/>
          <w:szCs w:val="24"/>
        </w:rPr>
        <w:t>项目区域土壤环境中各项因子的监测浓度值均满足《土壤环境质量 建设用地土壤污染风险管控标准（试行）》（GB36600-2018）中表1中第二类用地筛选值。</w:t>
      </w:r>
    </w:p>
    <w:p>
      <w:pPr>
        <w:pStyle w:val="103"/>
        <w:numPr>
          <w:ilvl w:val="0"/>
          <w:numId w:val="0"/>
        </w:numPr>
        <w:rPr>
          <w:rFonts w:ascii="Times New Roman" w:hAnsi="Times New Roman"/>
          <w:b w:val="0"/>
          <w:bCs/>
          <w:kern w:val="28"/>
          <w:sz w:val="32"/>
          <w:szCs w:val="32"/>
        </w:rPr>
      </w:pPr>
      <w:bookmarkStart w:id="362" w:name="_Toc520883888"/>
      <w:bookmarkStart w:id="363" w:name="_Toc9873454"/>
      <w:bookmarkStart w:id="364" w:name="_Toc485577764"/>
      <w:bookmarkStart w:id="365" w:name="_Toc490333054"/>
      <w:r>
        <w:rPr>
          <w:rFonts w:ascii="Times New Roman" w:hAnsi="Times New Roman"/>
          <w:b w:val="0"/>
          <w:bCs/>
          <w:kern w:val="28"/>
          <w:sz w:val="32"/>
          <w:szCs w:val="32"/>
        </w:rPr>
        <w:t>11.4　环保措施及环境影响结论</w:t>
      </w:r>
      <w:bookmarkEnd w:id="362"/>
      <w:bookmarkEnd w:id="363"/>
      <w:bookmarkEnd w:id="364"/>
      <w:bookmarkEnd w:id="365"/>
    </w:p>
    <w:p>
      <w:pPr>
        <w:spacing w:line="480" w:lineRule="exact"/>
        <w:ind w:firstLine="472" w:firstLineChars="196"/>
        <w:rPr>
          <w:rFonts w:ascii="Times New Roman" w:hAnsi="Times New Roman"/>
          <w:b/>
          <w:sz w:val="24"/>
        </w:rPr>
      </w:pPr>
      <w:r>
        <w:rPr>
          <w:rFonts w:ascii="Times New Roman" w:hAnsi="Times New Roman"/>
          <w:b/>
          <w:sz w:val="24"/>
        </w:rPr>
        <w:t>1、废气处置</w:t>
      </w:r>
    </w:p>
    <w:p>
      <w:pPr>
        <w:spacing w:line="480" w:lineRule="exact"/>
        <w:ind w:firstLine="480" w:firstLineChars="200"/>
        <w:rPr>
          <w:rFonts w:ascii="Times New Roman" w:hAnsi="Times New Roman"/>
          <w:sz w:val="24"/>
        </w:rPr>
      </w:pPr>
      <w:r>
        <w:rPr>
          <w:rFonts w:ascii="Times New Roman" w:hAnsi="Times New Roman"/>
          <w:sz w:val="24"/>
        </w:rPr>
        <w:t>本项目大气污染物主要是猪舍产生的氨、硫化氢等恶臭气体。项目恶臭气体以无组织面源形式排放，建设项目拟采取的恶臭气体治理措施主要为：</w:t>
      </w:r>
    </w:p>
    <w:p>
      <w:pPr>
        <w:spacing w:line="480" w:lineRule="exact"/>
        <w:ind w:firstLine="480" w:firstLineChars="200"/>
        <w:rPr>
          <w:rFonts w:ascii="Times New Roman" w:hAnsi="Times New Roman"/>
          <w:sz w:val="24"/>
        </w:rPr>
      </w:pPr>
      <w:r>
        <w:rPr>
          <w:rFonts w:ascii="Times New Roman" w:hAnsi="Times New Roman"/>
          <w:sz w:val="24"/>
        </w:rPr>
        <w:t>（1）圈舍整体为负压封闭状态，减少废气溢出。</w:t>
      </w:r>
    </w:p>
    <w:p>
      <w:pPr>
        <w:spacing w:line="480" w:lineRule="exact"/>
        <w:ind w:firstLine="480" w:firstLineChars="200"/>
        <w:rPr>
          <w:rFonts w:ascii="Times New Roman" w:hAnsi="Times New Roman"/>
          <w:sz w:val="24"/>
        </w:rPr>
      </w:pPr>
      <w:r>
        <w:rPr>
          <w:rFonts w:ascii="Times New Roman" w:hAnsi="Times New Roman"/>
          <w:sz w:val="24"/>
        </w:rPr>
        <w:t>（2）废气通过抽风系统收集，并经活性炭处理后通过圈舍耳房排放。同时圈舍耳房配置水雾喷淋，若废气浓度过高，则采取喷淋措施。</w:t>
      </w:r>
    </w:p>
    <w:p>
      <w:pPr>
        <w:spacing w:line="480" w:lineRule="exact"/>
        <w:ind w:firstLine="480" w:firstLineChars="200"/>
        <w:rPr>
          <w:rFonts w:ascii="Times New Roman" w:hAnsi="Times New Roman"/>
          <w:sz w:val="24"/>
        </w:rPr>
      </w:pPr>
      <w:r>
        <w:rPr>
          <w:rFonts w:ascii="Times New Roman" w:hAnsi="Times New Roman"/>
          <w:sz w:val="24"/>
        </w:rPr>
        <w:t>（3）加强圈舍管理，及时清理圈舍粪便，做到日产日清；通过减少粪便的停留时间和覆盖面积，可大为降低圈舍废气产生；</w:t>
      </w:r>
    </w:p>
    <w:p>
      <w:pPr>
        <w:spacing w:line="480" w:lineRule="exact"/>
        <w:ind w:firstLine="480" w:firstLineChars="200"/>
        <w:rPr>
          <w:rFonts w:ascii="Times New Roman" w:hAnsi="Times New Roman"/>
          <w:sz w:val="24"/>
        </w:rPr>
      </w:pPr>
      <w:r>
        <w:rPr>
          <w:rFonts w:ascii="Times New Roman" w:hAnsi="Times New Roman"/>
          <w:sz w:val="24"/>
        </w:rPr>
        <w:t>（4）通过划定防护距离，减轻和避免恶臭气体对外环境的影响。</w:t>
      </w:r>
    </w:p>
    <w:p>
      <w:pPr>
        <w:spacing w:line="480" w:lineRule="exact"/>
        <w:ind w:firstLine="480" w:firstLineChars="200"/>
        <w:rPr>
          <w:rFonts w:ascii="Times New Roman" w:hAnsi="Times New Roman"/>
          <w:sz w:val="24"/>
        </w:rPr>
      </w:pPr>
      <w:r>
        <w:rPr>
          <w:rFonts w:ascii="Times New Roman" w:hAnsi="Times New Roman"/>
          <w:sz w:val="24"/>
        </w:rPr>
        <w:t>（5）圈舍增加通风次数，向粪便或舍内投放吸附剂减少臭气的散发，可采用沸石、膨润土以及秸秆等含纤维素和木质素较多的材料，使用高锰酸钾等氧化剂及一些杀菌剂，可杀死厌氧发酵的细菌，达到除臭目的；每5天喷雾一次500倍稀释的EM（有效生物菌群）液等措施；</w:t>
      </w:r>
    </w:p>
    <w:p>
      <w:pPr>
        <w:spacing w:line="480" w:lineRule="exact"/>
        <w:ind w:firstLine="480" w:firstLineChars="200"/>
        <w:rPr>
          <w:rFonts w:ascii="Times New Roman" w:hAnsi="Times New Roman"/>
          <w:sz w:val="24"/>
        </w:rPr>
      </w:pPr>
      <w:r>
        <w:rPr>
          <w:rFonts w:ascii="Times New Roman" w:hAnsi="Times New Roman"/>
          <w:sz w:val="24"/>
        </w:rPr>
        <w:t>（6）猪只在饲喂过程中采用本集团公司生产的全价饲料，恶臭气体从源头上得到减少。</w:t>
      </w:r>
    </w:p>
    <w:p>
      <w:pPr>
        <w:spacing w:line="480" w:lineRule="exact"/>
        <w:ind w:firstLine="480" w:firstLineChars="200"/>
        <w:rPr>
          <w:rFonts w:ascii="Times New Roman" w:hAnsi="Times New Roman"/>
          <w:sz w:val="24"/>
        </w:rPr>
      </w:pPr>
      <w:r>
        <w:rPr>
          <w:rFonts w:ascii="Times New Roman" w:hAnsi="Times New Roman"/>
          <w:sz w:val="24"/>
        </w:rPr>
        <w:t>（7）加强厂区及厂界周围环境绿化。在项目场区内部及周围进行绿化和种植防护林，特别是加强场区东北面绿化高度和密度，加强绿化林对恶臭的阻隔效果，阻挡圈舍臭气扩散；场区道路两边种植乔灌木、夹竹桃、松柏等，场界边缘地带种植杨、槐等高大树种形成多层防护林带，以降低恶臭污染的影响程度。</w:t>
      </w:r>
    </w:p>
    <w:p>
      <w:pPr>
        <w:spacing w:line="470" w:lineRule="exact"/>
        <w:ind w:firstLine="480" w:firstLineChars="200"/>
        <w:rPr>
          <w:rFonts w:ascii="Times New Roman" w:hAnsi="Times New Roman"/>
          <w:sz w:val="24"/>
        </w:rPr>
      </w:pPr>
      <w:r>
        <w:rPr>
          <w:rFonts w:ascii="Times New Roman" w:hAnsi="Times New Roman"/>
          <w:sz w:val="24"/>
        </w:rPr>
        <w:t>本项目环境保护距离以恶臭源圈舍、干粪堆场边界外起100m 包络线划定。从养殖场总平面布局以及场址周围敏感点分布情况看，在100m范围内，仅有项目南侧1户白玉村村民、北侧1户泉水村村民不愿意搬迁，还在此居住，目前与本项目建设单位签署了知情同意书，对项目建设无意见。</w:t>
      </w:r>
    </w:p>
    <w:p>
      <w:pPr>
        <w:tabs>
          <w:tab w:val="left" w:pos="2644"/>
        </w:tabs>
        <w:spacing w:line="480" w:lineRule="exact"/>
        <w:rPr>
          <w:rFonts w:ascii="Times New Roman" w:hAnsi="Times New Roman"/>
          <w:b/>
          <w:sz w:val="24"/>
        </w:rPr>
      </w:pPr>
      <w:r>
        <w:rPr>
          <w:rFonts w:ascii="Times New Roman" w:hAnsi="Times New Roman"/>
          <w:b/>
          <w:sz w:val="24"/>
        </w:rPr>
        <w:t>2、废水处置</w:t>
      </w:r>
      <w:r>
        <w:rPr>
          <w:rFonts w:ascii="Times New Roman" w:hAnsi="Times New Roman"/>
          <w:b/>
          <w:sz w:val="24"/>
        </w:rPr>
        <w:tab/>
      </w:r>
    </w:p>
    <w:p>
      <w:pPr>
        <w:spacing w:line="480" w:lineRule="exact"/>
        <w:ind w:firstLine="480" w:firstLineChars="200"/>
        <w:rPr>
          <w:rFonts w:ascii="Times New Roman" w:hAnsi="Times New Roman"/>
          <w:sz w:val="24"/>
        </w:rPr>
      </w:pPr>
      <w:r>
        <w:rPr>
          <w:rFonts w:ascii="Times New Roman" w:hAnsi="Times New Roman"/>
          <w:sz w:val="24"/>
        </w:rPr>
        <w:t>本项目产生的废水主要为猪尿、猪舍冲洗废水、设备冲洗水和职工生活污水。</w:t>
      </w:r>
    </w:p>
    <w:p>
      <w:pPr>
        <w:spacing w:line="480" w:lineRule="exact"/>
        <w:rPr>
          <w:rFonts w:ascii="Times New Roman" w:hAnsi="Times New Roman"/>
          <w:sz w:val="24"/>
        </w:rPr>
      </w:pPr>
      <w:r>
        <w:rPr>
          <w:rFonts w:ascii="Times New Roman" w:hAnsi="Times New Roman"/>
          <w:sz w:val="24"/>
        </w:rPr>
        <w:t>建设单位拟自建污水处理工程处理上述废水，采用工艺为“固液分离+</w:t>
      </w:r>
      <w:r>
        <w:rPr>
          <w:rFonts w:ascii="Times New Roman" w:hAnsi="Times New Roman" w:eastAsiaTheme="minorEastAsia"/>
          <w:sz w:val="24"/>
        </w:rPr>
        <w:t>深坑发酵</w:t>
      </w:r>
      <w:r>
        <w:rPr>
          <w:rFonts w:ascii="Times New Roman" w:hAnsi="Times New Roman"/>
          <w:sz w:val="24"/>
        </w:rPr>
        <w:t>”，废水经处理降低污染物浓度后，用作周围农田施肥，不外排，不会对地表水环境产生影响</w:t>
      </w:r>
    </w:p>
    <w:p>
      <w:pPr>
        <w:spacing w:line="480" w:lineRule="exact"/>
        <w:rPr>
          <w:rFonts w:ascii="Times New Roman" w:hAnsi="Times New Roman"/>
          <w:b/>
          <w:sz w:val="24"/>
        </w:rPr>
      </w:pPr>
      <w:r>
        <w:rPr>
          <w:rFonts w:ascii="Times New Roman" w:hAnsi="Times New Roman"/>
          <w:b/>
          <w:sz w:val="24"/>
        </w:rPr>
        <w:t>3、噪声防治</w:t>
      </w:r>
    </w:p>
    <w:p>
      <w:pPr>
        <w:spacing w:line="480" w:lineRule="exact"/>
        <w:ind w:firstLine="480" w:firstLineChars="200"/>
        <w:rPr>
          <w:rFonts w:ascii="Times New Roman" w:hAnsi="Times New Roman"/>
          <w:sz w:val="24"/>
        </w:rPr>
      </w:pPr>
      <w:r>
        <w:rPr>
          <w:rFonts w:ascii="Times New Roman" w:hAnsi="Times New Roman"/>
          <w:sz w:val="24"/>
        </w:rPr>
        <w:t>本项目噪声主要来源于猪群叫声及水泵、通风设备产生的噪声。建设单位征对猪叫声主要采取猪舍隔声的方式减少猪群叫声对外环境的影响。通过选用低噪声设备并采取减振、消声、隔声等措施治理设备运行噪声。</w:t>
      </w:r>
    </w:p>
    <w:p>
      <w:pPr>
        <w:spacing w:line="480" w:lineRule="exact"/>
        <w:ind w:firstLine="480" w:firstLineChars="200"/>
        <w:rPr>
          <w:rFonts w:ascii="Times New Roman" w:hAnsi="Times New Roman"/>
          <w:sz w:val="24"/>
        </w:rPr>
      </w:pPr>
      <w:r>
        <w:rPr>
          <w:rFonts w:ascii="Times New Roman" w:hAnsi="Times New Roman"/>
          <w:sz w:val="24"/>
        </w:rPr>
        <w:t>项目产生的噪声通过相应治理措施治理后，经距离衰减，厂界噪声可满足《工业企业厂界环境噪声排放标准》（GB12348-2008）中 2 类区排放标准，对周围声环境质量影响不大。</w:t>
      </w:r>
    </w:p>
    <w:p>
      <w:pPr>
        <w:spacing w:line="480" w:lineRule="exact"/>
        <w:rPr>
          <w:rFonts w:ascii="Times New Roman" w:hAnsi="Times New Roman"/>
          <w:b/>
          <w:sz w:val="24"/>
        </w:rPr>
      </w:pPr>
      <w:r>
        <w:rPr>
          <w:rFonts w:ascii="Times New Roman" w:hAnsi="Times New Roman"/>
          <w:b/>
          <w:sz w:val="24"/>
        </w:rPr>
        <w:t>4、固废处置</w:t>
      </w:r>
    </w:p>
    <w:p>
      <w:pPr>
        <w:spacing w:line="480" w:lineRule="exact"/>
        <w:ind w:firstLine="480" w:firstLineChars="200"/>
        <w:rPr>
          <w:rFonts w:ascii="Times New Roman" w:hAnsi="Times New Roman"/>
          <w:sz w:val="24"/>
        </w:rPr>
      </w:pPr>
      <w:r>
        <w:rPr>
          <w:rFonts w:ascii="Times New Roman" w:hAnsi="Times New Roman"/>
          <w:sz w:val="24"/>
        </w:rPr>
        <w:t>养殖场的猪粪、粪渣送干粪堆放场，由成都市敬华农业有限公司清运用作堆肥，项目场区内不进行堆肥；生活垃圾由环卫部门定期清运送往当地垃圾卫生填埋场统一处置；病死猪送成都市科农动物无害化处置有限公司安全处置；废脱硫器由厂家回收；少量医疗废物</w:t>
      </w:r>
      <w:r>
        <w:rPr>
          <w:rFonts w:ascii="Times New Roman" w:hAnsi="Times New Roman"/>
          <w:sz w:val="24"/>
          <w:szCs w:val="24"/>
        </w:rPr>
        <w:t>交由成都瀚洋环保实业有限公司</w:t>
      </w:r>
      <w:r>
        <w:rPr>
          <w:rFonts w:ascii="Times New Roman" w:hAnsi="Times New Roman"/>
          <w:sz w:val="24"/>
        </w:rPr>
        <w:t>收集处理；</w:t>
      </w:r>
      <w:r>
        <w:rPr>
          <w:rFonts w:ascii="Times New Roman" w:hAnsi="Times New Roman"/>
          <w:sz w:val="24"/>
          <w:szCs w:val="24"/>
        </w:rPr>
        <w:t>产生的餐厨</w:t>
      </w:r>
      <w:r>
        <w:rPr>
          <w:rFonts w:ascii="Times New Roman" w:hAnsi="Times New Roman"/>
          <w:snapToGrid w:val="0"/>
          <w:sz w:val="24"/>
          <w:szCs w:val="24"/>
        </w:rPr>
        <w:t>由成都德新饲料油脂有限公司进行处理。</w:t>
      </w:r>
      <w:r>
        <w:rPr>
          <w:rFonts w:ascii="Times New Roman" w:hAnsi="Times New Roman"/>
          <w:sz w:val="24"/>
        </w:rPr>
        <w:t>本项目固废经分类处理处置后对环境影响小。</w:t>
      </w:r>
    </w:p>
    <w:p>
      <w:pPr>
        <w:spacing w:line="480" w:lineRule="exact"/>
        <w:rPr>
          <w:rFonts w:ascii="Times New Roman" w:hAnsi="Times New Roman"/>
          <w:b/>
          <w:sz w:val="24"/>
        </w:rPr>
      </w:pPr>
      <w:r>
        <w:rPr>
          <w:rFonts w:ascii="Times New Roman" w:hAnsi="Times New Roman"/>
          <w:b/>
          <w:sz w:val="24"/>
        </w:rPr>
        <w:t>5、地下水防治</w:t>
      </w:r>
    </w:p>
    <w:p>
      <w:pPr>
        <w:autoSpaceDE w:val="0"/>
        <w:autoSpaceDN w:val="0"/>
        <w:adjustRightInd w:val="0"/>
        <w:ind w:firstLine="480" w:firstLineChars="200"/>
        <w:jc w:val="left"/>
        <w:rPr>
          <w:rFonts w:ascii="Times New Roman" w:hAnsi="Times New Roman"/>
          <w:sz w:val="24"/>
          <w:szCs w:val="24"/>
        </w:rPr>
      </w:pPr>
      <w:r>
        <w:rPr>
          <w:rFonts w:ascii="Times New Roman" w:hAnsi="Times New Roman"/>
          <w:sz w:val="24"/>
          <w:szCs w:val="24"/>
        </w:rPr>
        <w:t>建设单位在严格执行 “源头控制、分区防治、污染监控、应急响应”措施，将圈舍划分为重点防渗区，进行重点烦死，防渗要求达到等效黏土防渗层Mb≥6.0m，K≤1×10</w:t>
      </w:r>
      <w:r>
        <w:rPr>
          <w:rFonts w:ascii="Times New Roman" w:hAnsi="Times New Roman"/>
          <w:sz w:val="24"/>
          <w:szCs w:val="24"/>
          <w:vertAlign w:val="superscript"/>
        </w:rPr>
        <w:t>-7</w:t>
      </w:r>
      <w:r>
        <w:rPr>
          <w:rFonts w:ascii="Times New Roman" w:hAnsi="Times New Roman"/>
          <w:sz w:val="24"/>
          <w:szCs w:val="24"/>
        </w:rPr>
        <w:t>cm/s；并对本项目各个建设工程单元可能泄漏污染物的地面进行防渗处理，可有效防治污染物渗入地下，并及时地将泄漏、渗漏的污染物收集并进行集中处理；并且做好风险防范工作之后，本项目运营期对地下水的环境影响较小。</w:t>
      </w:r>
    </w:p>
    <w:p>
      <w:pPr>
        <w:pStyle w:val="103"/>
        <w:numPr>
          <w:ilvl w:val="0"/>
          <w:numId w:val="0"/>
        </w:numPr>
        <w:rPr>
          <w:rFonts w:ascii="Times New Roman" w:hAnsi="Times New Roman"/>
          <w:b w:val="0"/>
          <w:bCs/>
          <w:kern w:val="28"/>
          <w:sz w:val="32"/>
          <w:szCs w:val="32"/>
        </w:rPr>
      </w:pPr>
      <w:bookmarkStart w:id="366" w:name="_Toc9873455"/>
      <w:r>
        <w:rPr>
          <w:rFonts w:ascii="Times New Roman" w:hAnsi="Times New Roman"/>
          <w:b w:val="0"/>
          <w:bCs/>
          <w:kern w:val="28"/>
          <w:sz w:val="32"/>
          <w:szCs w:val="32"/>
        </w:rPr>
        <w:t>11.5　总量控制</w:t>
      </w:r>
      <w:bookmarkEnd w:id="366"/>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本项目废气不涉及总量控制污染物；废水经沼气池处理后作为肥料，全部综合利用。因此，根据本项目的排污特征，本次评价不设总量控制指标建议。</w:t>
      </w:r>
    </w:p>
    <w:p>
      <w:pPr>
        <w:pStyle w:val="103"/>
        <w:numPr>
          <w:ilvl w:val="0"/>
          <w:numId w:val="0"/>
        </w:numPr>
        <w:rPr>
          <w:rFonts w:ascii="Times New Roman" w:hAnsi="Times New Roman"/>
          <w:b w:val="0"/>
          <w:bCs/>
          <w:kern w:val="28"/>
          <w:sz w:val="32"/>
          <w:szCs w:val="32"/>
        </w:rPr>
      </w:pPr>
      <w:bookmarkStart w:id="367" w:name="_Toc520883889"/>
      <w:bookmarkStart w:id="368" w:name="_Toc9873456"/>
      <w:bookmarkStart w:id="369" w:name="_Toc490333055"/>
      <w:bookmarkStart w:id="370" w:name="_Toc485577765"/>
      <w:bookmarkStart w:id="371" w:name="_Toc485577767"/>
      <w:bookmarkStart w:id="372" w:name="_Toc520883891"/>
      <w:bookmarkStart w:id="373" w:name="_Toc490333057"/>
      <w:bookmarkStart w:id="374" w:name="_Toc485577768"/>
      <w:bookmarkStart w:id="375" w:name="_Toc520883892"/>
      <w:bookmarkStart w:id="376" w:name="_Toc490333058"/>
      <w:r>
        <w:rPr>
          <w:rFonts w:ascii="Times New Roman" w:hAnsi="Times New Roman"/>
          <w:b w:val="0"/>
          <w:bCs/>
          <w:kern w:val="28"/>
          <w:sz w:val="32"/>
          <w:szCs w:val="32"/>
        </w:rPr>
        <w:t>11.6　环境风险评价结论</w:t>
      </w:r>
      <w:bookmarkEnd w:id="367"/>
      <w:bookmarkEnd w:id="368"/>
      <w:bookmarkEnd w:id="369"/>
      <w:bookmarkEnd w:id="370"/>
    </w:p>
    <w:p>
      <w:pPr>
        <w:autoSpaceDE w:val="0"/>
        <w:autoSpaceDN w:val="0"/>
        <w:adjustRightInd w:val="0"/>
        <w:ind w:firstLine="480" w:firstLineChars="20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不构成重大危险源，项目营运过程中严格执行“三同时”制度，落实本报告提出的风险事故防范、疫病防范措施，建立和落实各项风险预警、环境风险削减措施和事故应急计划，杜绝重大安全事故和重大环境污染事故的发生，可使项目建成后风险水平处于可接受程度，因此从风险角度而言，本项目建设是可行的。</w:t>
      </w:r>
    </w:p>
    <w:p>
      <w:pPr>
        <w:pStyle w:val="103"/>
        <w:numPr>
          <w:ilvl w:val="0"/>
          <w:numId w:val="0"/>
        </w:numPr>
        <w:rPr>
          <w:rFonts w:ascii="Times New Roman" w:hAnsi="Times New Roman"/>
          <w:b w:val="0"/>
          <w:bCs/>
          <w:kern w:val="28"/>
          <w:sz w:val="32"/>
          <w:szCs w:val="32"/>
        </w:rPr>
      </w:pPr>
      <w:bookmarkStart w:id="377" w:name="_Toc9873457"/>
      <w:r>
        <w:rPr>
          <w:rFonts w:ascii="Times New Roman" w:hAnsi="Times New Roman"/>
          <w:b w:val="0"/>
          <w:bCs/>
          <w:kern w:val="28"/>
          <w:sz w:val="32"/>
          <w:szCs w:val="32"/>
        </w:rPr>
        <w:t>11.7　环境经济损益分析结论</w:t>
      </w:r>
      <w:bookmarkEnd w:id="377"/>
    </w:p>
    <w:p>
      <w:pPr>
        <w:ind w:firstLine="480" w:firstLineChars="200"/>
        <w:rPr>
          <w:rFonts w:ascii="Times New Roman" w:hAnsi="Times New Roman"/>
          <w:sz w:val="24"/>
          <w:szCs w:val="24"/>
        </w:rPr>
      </w:pPr>
      <w:r>
        <w:rPr>
          <w:rFonts w:ascii="Times New Roman" w:hAnsi="Times New Roman"/>
          <w:sz w:val="24"/>
          <w:szCs w:val="24"/>
        </w:rPr>
        <w:t>项目建设带来的环境损失主要表现在项目建设造成的环境的变化。但建成后，产生良好的经济效益和社会效益；同时，随着环保措施的实行，将可挽回一定的经济损失，环保投资效益也是明显的。</w:t>
      </w:r>
    </w:p>
    <w:p>
      <w:pPr>
        <w:ind w:firstLine="482"/>
        <w:contextualSpacing/>
        <w:rPr>
          <w:rFonts w:ascii="Times New Roman" w:hAnsi="Times New Roman"/>
          <w:sz w:val="24"/>
          <w:szCs w:val="24"/>
        </w:rPr>
      </w:pPr>
      <w:r>
        <w:rPr>
          <w:rFonts w:ascii="Times New Roman" w:hAnsi="Times New Roman"/>
          <w:sz w:val="24"/>
          <w:szCs w:val="24"/>
        </w:rPr>
        <w:t>因此，从总体来看，本项目建设产生的效益大于损失，从经济损益分析来看，本项目的建设是可行的。</w:t>
      </w:r>
    </w:p>
    <w:p>
      <w:pPr>
        <w:pStyle w:val="103"/>
        <w:numPr>
          <w:ilvl w:val="0"/>
          <w:numId w:val="0"/>
        </w:numPr>
        <w:rPr>
          <w:rFonts w:ascii="Times New Roman" w:hAnsi="Times New Roman"/>
          <w:b w:val="0"/>
          <w:bCs/>
          <w:kern w:val="28"/>
          <w:sz w:val="32"/>
          <w:szCs w:val="32"/>
        </w:rPr>
      </w:pPr>
      <w:bookmarkStart w:id="378" w:name="_Toc9873458"/>
      <w:r>
        <w:rPr>
          <w:rFonts w:ascii="Times New Roman" w:hAnsi="Times New Roman"/>
          <w:b w:val="0"/>
          <w:bCs/>
          <w:kern w:val="28"/>
          <w:sz w:val="32"/>
          <w:szCs w:val="32"/>
        </w:rPr>
        <w:t>11.8　环境管理与监测计划结论</w:t>
      </w:r>
      <w:bookmarkEnd w:id="371"/>
      <w:bookmarkEnd w:id="372"/>
      <w:bookmarkEnd w:id="373"/>
      <w:bookmarkEnd w:id="378"/>
    </w:p>
    <w:p>
      <w:pPr>
        <w:autoSpaceDE w:val="0"/>
        <w:autoSpaceDN w:val="0"/>
        <w:adjustRightInd w:val="0"/>
        <w:ind w:firstLine="480" w:firstLineChars="200"/>
        <w:jc w:val="left"/>
        <w:rPr>
          <w:rFonts w:ascii="Times New Roman" w:hAnsi="Times New Roman"/>
          <w:b/>
          <w:bCs/>
          <w:kern w:val="28"/>
          <w:sz w:val="32"/>
          <w:szCs w:val="32"/>
        </w:rPr>
      </w:pPr>
      <w:r>
        <w:rPr>
          <w:rFonts w:ascii="Times New Roman" w:hAnsi="Times New Roman"/>
          <w:sz w:val="24"/>
          <w:szCs w:val="24"/>
        </w:rPr>
        <w:t>加强环境管理，设置专门的环境管理机构，认真贯彻国家及地方环保相关要求，建立环保责任制度和公司内部各部门环保管理制度，定期开展环境监测。</w:t>
      </w:r>
    </w:p>
    <w:p>
      <w:pPr>
        <w:pStyle w:val="103"/>
        <w:numPr>
          <w:ilvl w:val="0"/>
          <w:numId w:val="0"/>
        </w:numPr>
        <w:rPr>
          <w:rFonts w:ascii="Times New Roman" w:hAnsi="Times New Roman"/>
          <w:sz w:val="21"/>
          <w:szCs w:val="24"/>
        </w:rPr>
      </w:pPr>
      <w:bookmarkStart w:id="379" w:name="_Toc9873459"/>
      <w:r>
        <w:rPr>
          <w:rFonts w:ascii="Times New Roman" w:hAnsi="Times New Roman"/>
          <w:b w:val="0"/>
          <w:bCs/>
          <w:kern w:val="28"/>
          <w:sz w:val="32"/>
          <w:szCs w:val="32"/>
        </w:rPr>
        <w:t>11.9　</w:t>
      </w:r>
      <w:bookmarkEnd w:id="374"/>
      <w:bookmarkEnd w:id="375"/>
      <w:bookmarkEnd w:id="376"/>
      <w:r>
        <w:rPr>
          <w:rFonts w:ascii="Times New Roman" w:hAnsi="Times New Roman"/>
          <w:b w:val="0"/>
          <w:bCs/>
          <w:kern w:val="28"/>
          <w:sz w:val="32"/>
          <w:szCs w:val="32"/>
        </w:rPr>
        <w:t>总体结论及建议</w:t>
      </w:r>
      <w:bookmarkEnd w:id="379"/>
      <w:r>
        <w:rPr>
          <w:rFonts w:ascii="Times New Roman" w:hAnsi="Times New Roman"/>
          <w:b w:val="0"/>
          <w:bCs/>
          <w:kern w:val="28"/>
          <w:sz w:val="32"/>
          <w:szCs w:val="32"/>
        </w:rPr>
        <w:tab/>
      </w:r>
    </w:p>
    <w:p>
      <w:pPr>
        <w:pStyle w:val="108"/>
      </w:pPr>
      <w:bookmarkStart w:id="380" w:name="_Toc9873460"/>
      <w:r>
        <w:t>11.9.1　结论</w:t>
      </w:r>
      <w:bookmarkEnd w:id="380"/>
    </w:p>
    <w:p>
      <w:pPr>
        <w:pStyle w:val="65"/>
        <w:adjustRightInd w:val="0"/>
        <w:snapToGrid w:val="0"/>
        <w:spacing w:line="460" w:lineRule="exact"/>
        <w:ind w:left="0" w:leftChars="0" w:firstLine="480" w:firstLineChars="200"/>
        <w:rPr>
          <w:rFonts w:ascii="Times New Roman" w:hAnsi="Times New Roman" w:eastAsia="宋体" w:cs="Times New Roman"/>
          <w:sz w:val="24"/>
          <w:szCs w:val="24"/>
        </w:rPr>
      </w:pPr>
      <w:r>
        <w:rPr>
          <w:rFonts w:ascii="Times New Roman" w:hAnsi="Times New Roman" w:cs="Times New Roman"/>
          <w:kern w:val="0"/>
          <w:sz w:val="24"/>
          <w:szCs w:val="24"/>
        </w:rPr>
        <w:t>旺江农牧冉义现代化生猪养殖基地二期建设项目</w:t>
      </w:r>
      <w:r>
        <w:rPr>
          <w:rFonts w:ascii="Times New Roman" w:hAnsi="Times New Roman" w:eastAsia="宋体" w:cs="Times New Roman"/>
          <w:sz w:val="24"/>
          <w:szCs w:val="24"/>
        </w:rPr>
        <w:t>符合国家产业政策；选址与区域发展规划相容；采用养殖工艺和管理技术先进，符合清洁生产要求；项目干猪粪、厌氧发酵粪便外送有机肥厂作有机肥，废水经处理降低污染物浓度后用于周边农田施肥。该项目将规模化养殖和农业循环经济结合起来，达到农业废弃物的无害化、资源化、减量化的要求，符合循环经济；采取了有效的污染治理和防治措施，各类污染物均能够作到达标排放，不会改变项目区域的环境功能；不存在重大环境风险；项目的建设得到了与项目有相关利益公众、所在区域公众的支持；按环评报告书提出的要求，对污染物进行治理，在确保各项污染治理措施落实和污染物达标排放的前提下，从环境保护角度分析，项目选址邛崃市冉义镇园林村建设从环保角度可行。</w:t>
      </w:r>
    </w:p>
    <w:p>
      <w:pPr>
        <w:pStyle w:val="108"/>
      </w:pPr>
      <w:bookmarkStart w:id="381" w:name="_Toc9873461"/>
      <w:r>
        <w:t>11.9.2　建议</w:t>
      </w:r>
      <w:bookmarkEnd w:id="381"/>
    </w:p>
    <w:p>
      <w:pPr>
        <w:pStyle w:val="22"/>
        <w:adjustRightInd w:val="0"/>
        <w:snapToGrid w:val="0"/>
        <w:spacing w:line="460" w:lineRule="exact"/>
        <w:ind w:firstLine="482" w:firstLineChars="0"/>
        <w:rPr>
          <w:rFonts w:cs="Times New Roman"/>
        </w:rPr>
      </w:pPr>
      <w:bookmarkStart w:id="382" w:name="_Toc9873462"/>
      <w:r>
        <w:rPr>
          <w:rFonts w:cs="Times New Roman"/>
        </w:rPr>
        <w:t>（1）项目建设单位遵循环境保护 “三同时”制度，把环境保护措施落到实处，污水处理系统等环保设施必须与主体工程同时设计，同时施工，同时竣工。要将环境保护要求在基本建设程序的各个阶段得到落实。  保证足够的环保资金，落实本环评提出的各项治理措施，搞好项目建设的“三同时”工作。</w:t>
      </w:r>
      <w:bookmarkEnd w:id="382"/>
    </w:p>
    <w:p>
      <w:pPr>
        <w:pStyle w:val="22"/>
        <w:adjustRightInd w:val="0"/>
        <w:snapToGrid w:val="0"/>
        <w:spacing w:line="460" w:lineRule="exact"/>
        <w:ind w:firstLine="482" w:firstLineChars="0"/>
        <w:rPr>
          <w:rFonts w:cs="Times New Roman"/>
          <w:kern w:val="21"/>
        </w:rPr>
      </w:pPr>
      <w:r>
        <w:rPr>
          <w:rFonts w:cs="Times New Roman"/>
        </w:rPr>
        <w:t>（2）项目建设单位应认真落实本次环评提出的各项治理措施，加强对环保设施的运行管理，制定有效的管理规章制度，建立环保管理机制，防止出现事故性和非正常污染排放。</w:t>
      </w:r>
    </w:p>
    <w:p>
      <w:pPr>
        <w:pStyle w:val="22"/>
        <w:adjustRightInd w:val="0"/>
        <w:snapToGrid w:val="0"/>
        <w:spacing w:line="460" w:lineRule="exact"/>
        <w:ind w:firstLine="482" w:firstLineChars="0"/>
        <w:rPr>
          <w:rFonts w:cs="Times New Roman"/>
        </w:rPr>
      </w:pPr>
      <w:r>
        <w:rPr>
          <w:rFonts w:cs="Times New Roman"/>
        </w:rPr>
        <w:t>（3）在项目实施过程中应严格执行国家环保总局颁布的《畜禽养殖业污染防治技术规范》（HJ/81-2001）。</w:t>
      </w:r>
    </w:p>
    <w:p>
      <w:pPr>
        <w:pStyle w:val="22"/>
        <w:adjustRightInd w:val="0"/>
        <w:snapToGrid w:val="0"/>
        <w:spacing w:line="460" w:lineRule="exact"/>
        <w:ind w:firstLine="482" w:firstLineChars="0"/>
        <w:rPr>
          <w:rFonts w:cs="Times New Roman"/>
        </w:rPr>
      </w:pPr>
      <w:r>
        <w:rPr>
          <w:rFonts w:cs="Times New Roman"/>
        </w:rPr>
        <w:t>（4）建立环境管理机构，负责全场环境管理工作，保证环保设施正常运行，并建立环保档案。</w:t>
      </w:r>
    </w:p>
    <w:p>
      <w:pPr>
        <w:pStyle w:val="22"/>
        <w:adjustRightInd w:val="0"/>
        <w:snapToGrid w:val="0"/>
        <w:spacing w:line="460" w:lineRule="exact"/>
        <w:ind w:firstLine="482" w:firstLineChars="0"/>
        <w:rPr>
          <w:rFonts w:cs="Times New Roman"/>
        </w:rPr>
      </w:pPr>
      <w:r>
        <w:rPr>
          <w:rFonts w:cs="Times New Roman"/>
        </w:rPr>
        <w:t>（5）为了让周边农户更好的了解猪场内环保设施的建设和实施情况，建议在场区大门口设置环保公示栏，公示猪场的基本情况、场内环保工程简介以及场内污水处理系统工艺流程图等，并附上相应的环保工程照片。</w:t>
      </w:r>
    </w:p>
    <w:p>
      <w:pPr>
        <w:autoSpaceDE w:val="0"/>
        <w:autoSpaceDN w:val="0"/>
        <w:adjustRightInd w:val="0"/>
        <w:jc w:val="left"/>
        <w:rPr>
          <w:rFonts w:ascii="Times New Roman" w:hAnsi="Times New Roman" w:eastAsiaTheme="minorEastAsia"/>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swiss"/>
    <w:pitch w:val="default"/>
    <w:sig w:usb0="FFFFFFFF" w:usb1="E9FFFFFF" w:usb2="0000003F" w:usb3="00000000" w:csb0="603F01FF" w:csb1="FFFF0000"/>
  </w:font>
  <w:font w:name="方正书宋简体">
    <w:altName w:val="方正舒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L Helvetica Light">
    <w:altName w:val="Times New Roman"/>
    <w:panose1 w:val="00000000000000000000"/>
    <w:charset w:val="00"/>
    <w:family w:val="auto"/>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Symusic">
    <w:panose1 w:val="00000400000000000000"/>
    <w:charset w:val="00"/>
    <w:family w:val="auto"/>
    <w:pitch w:val="default"/>
    <w:sig w:usb0="00000001" w:usb1="00000000" w:usb2="00000000" w:usb3="00000000" w:csb0="000001FF" w:csb1="00000000"/>
  </w:font>
  <w:font w:name="@宋体">
    <w:panose1 w:val="02010600030101010101"/>
    <w:charset w:val="86"/>
    <w:family w:val="auto"/>
    <w:pitch w:val="default"/>
    <w:sig w:usb0="00000003" w:usb1="288F0000" w:usb2="00000006" w:usb3="00000000" w:csb0="00040001" w:csb1="00000000"/>
  </w:font>
  <w:font w:name="JKIKGP+CenturyGothic">
    <w:altName w:val="宋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p10">
    <w:altName w:val="Times New Roman"/>
    <w:panose1 w:val="00000000000000000000"/>
    <w:charset w:val="00"/>
    <w:family w:val="roman"/>
    <w:pitch w:val="default"/>
    <w:sig w:usb0="00000000" w:usb1="00000000" w:usb2="00000000" w:usb3="00000000" w:csb0="00000001" w:csb1="00000000"/>
  </w:font>
  <w:font w:name="方正大标宋简体">
    <w:altName w:val="微软雅黑"/>
    <w:panose1 w:val="00000000000000000000"/>
    <w:charset w:val="86"/>
    <w:family w:val="auto"/>
    <w:pitch w:val="default"/>
    <w:sig w:usb0="00000000" w:usb1="00000000" w:usb2="00000010" w:usb3="00000000" w:csb0="00040000" w:csb1="00000000"/>
  </w:font>
  <w:font w:name="长城楷体_GB2312">
    <w:altName w:val="宋体"/>
    <w:panose1 w:val="00000000000000000000"/>
    <w:charset w:val="86"/>
    <w:family w:val="roma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roman"/>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imesNewRoman">
    <w:altName w:val="Times New Roman"/>
    <w:panose1 w:val="00000000000000000000"/>
    <w:charset w:val="00"/>
    <w:family w:val="roma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1077350"/>
      <w:docPartObj>
        <w:docPartGallery w:val="autotext"/>
      </w:docPartObj>
    </w:sdtPr>
    <w:sdtEndPr>
      <w:rPr>
        <w:rFonts w:ascii="Times New Roman" w:hAnsi="Times New Roman"/>
      </w:rPr>
    </w:sdtEndPr>
    <w:sdtContent>
      <w:p>
        <w:pPr>
          <w:pStyle w:val="49"/>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III</w:t>
        </w:r>
        <w:r>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3989781"/>
      <w:docPartObj>
        <w:docPartGallery w:val="autotext"/>
      </w:docPartObj>
    </w:sdtPr>
    <w:sdtEndPr>
      <w:rPr>
        <w:rFonts w:ascii="Times New Roman" w:hAnsi="Times New Roman"/>
      </w:rPr>
    </w:sdtEndPr>
    <w:sdtContent>
      <w:p>
        <w:pPr>
          <w:pStyle w:val="49"/>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86</w:t>
        </w:r>
        <w:r>
          <w:rPr>
            <w:rFonts w:ascii="Times New Roman" w:hAnsi="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rPr>
        <w:rFonts w:hint="eastAsia"/>
      </w:rPr>
      <w:t>旺江农牧冉义现代化生猪养殖基地二期建设项目环境影响报告书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rPr>
        <w:rFonts w:hint="eastAsia"/>
      </w:rPr>
      <w:t>旺江农牧冉义现代化生猪养殖基地二期建设项目环境影响报告书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rPr>
        <w:rFonts w:hint="eastAsia"/>
      </w:rPr>
      <w:t>旺江农牧冉义现代化生猪养殖基地二期建设项目环境影响报告书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rPr>
        <w:rFonts w:hint="eastAsia"/>
      </w:rPr>
      <w:t>旺江农牧冉义现代化生猪养殖基地二期建设项目环境影响报告书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rPr>
        <w:rFonts w:hint="eastAsia"/>
      </w:rPr>
      <w:t>旺江农牧冉义现代化生猪养殖基地二期建设项目环境影响报告书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CAA683"/>
    <w:multiLevelType w:val="singleLevel"/>
    <w:tmpl w:val="DBCAA683"/>
    <w:lvl w:ilvl="0" w:tentative="0">
      <w:start w:val="2"/>
      <w:numFmt w:val="decimal"/>
      <w:suff w:val="nothing"/>
      <w:lvlText w:val="%1、"/>
      <w:lvlJc w:val="left"/>
    </w:lvl>
  </w:abstractNum>
  <w:abstractNum w:abstractNumId="1">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2">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Wingdings" w:hAnsi="Wingdings"/>
      </w:rPr>
    </w:lvl>
  </w:abstractNum>
  <w:abstractNum w:abstractNumId="3">
    <w:nsid w:val="1C2C67AE"/>
    <w:multiLevelType w:val="multilevel"/>
    <w:tmpl w:val="1C2C67AE"/>
    <w:lvl w:ilvl="0" w:tentative="0">
      <w:start w:val="1"/>
      <w:numFmt w:val="decimalEnclosedCircle"/>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2DEB4639"/>
    <w:multiLevelType w:val="singleLevel"/>
    <w:tmpl w:val="2DEB4639"/>
    <w:lvl w:ilvl="0" w:tentative="0">
      <w:start w:val="1"/>
      <w:numFmt w:val="bullet"/>
      <w:pStyle w:val="465"/>
      <w:lvlText w:val=""/>
      <w:lvlJc w:val="left"/>
      <w:pPr>
        <w:tabs>
          <w:tab w:val="left" w:pos="397"/>
        </w:tabs>
        <w:ind w:left="397" w:hanging="397"/>
      </w:pPr>
      <w:rPr>
        <w:rFonts w:hint="default" w:ascii="Wingdings" w:hAnsi="Wingdings"/>
        <w:position w:val="0"/>
        <w:sz w:val="12"/>
      </w:rPr>
    </w:lvl>
  </w:abstractNum>
  <w:abstractNum w:abstractNumId="5">
    <w:nsid w:val="388A3BDF"/>
    <w:multiLevelType w:val="multilevel"/>
    <w:tmpl w:val="388A3BDF"/>
    <w:lvl w:ilvl="0" w:tentative="0">
      <w:start w:val="1"/>
      <w:numFmt w:val="decimal"/>
      <w:pStyle w:val="625"/>
      <w:lvlText w:val="%1"/>
      <w:lvlJc w:val="left"/>
      <w:pPr>
        <w:tabs>
          <w:tab w:val="left" w:pos="0"/>
        </w:tabs>
        <w:ind w:left="0" w:firstLine="0"/>
      </w:pPr>
      <w:rPr>
        <w:rFonts w:hint="eastAsia"/>
      </w:rPr>
    </w:lvl>
    <w:lvl w:ilvl="1" w:tentative="0">
      <w:start w:val="1"/>
      <w:numFmt w:val="decimal"/>
      <w:pStyle w:val="627"/>
      <w:lvlText w:val="%1.%2"/>
      <w:lvlJc w:val="left"/>
      <w:pPr>
        <w:tabs>
          <w:tab w:val="left" w:pos="0"/>
        </w:tabs>
        <w:ind w:left="0" w:firstLine="0"/>
      </w:pPr>
      <w:rPr>
        <w:rFonts w:hint="eastAsia"/>
      </w:rPr>
    </w:lvl>
    <w:lvl w:ilvl="2" w:tentative="0">
      <w:start w:val="1"/>
      <w:numFmt w:val="decimal"/>
      <w:pStyle w:val="628"/>
      <w:lvlText w:val="%1.%2.%3"/>
      <w:lvlJc w:val="left"/>
      <w:pPr>
        <w:tabs>
          <w:tab w:val="left" w:pos="0"/>
        </w:tabs>
        <w:ind w:left="0" w:firstLine="0"/>
      </w:pPr>
      <w:rPr>
        <w:rFonts w:hint="eastAsia"/>
      </w:rPr>
    </w:lvl>
    <w:lvl w:ilvl="3" w:tentative="0">
      <w:start w:val="1"/>
      <w:numFmt w:val="decimal"/>
      <w:pStyle w:val="629"/>
      <w:lvlText w:val="%1.%2.%3.%4"/>
      <w:lvlJc w:val="left"/>
      <w:pPr>
        <w:tabs>
          <w:tab w:val="left" w:pos="0"/>
        </w:tabs>
        <w:ind w:left="0" w:firstLine="0"/>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6">
    <w:nsid w:val="433932E6"/>
    <w:multiLevelType w:val="multilevel"/>
    <w:tmpl w:val="433932E6"/>
    <w:lvl w:ilvl="0" w:tentative="0">
      <w:start w:val="1"/>
      <w:numFmt w:val="decimal"/>
      <w:lvlText w:val="%1"/>
      <w:lvlJc w:val="left"/>
      <w:pPr>
        <w:ind w:left="425" w:hanging="425"/>
      </w:pPr>
      <w:rPr>
        <w:rFonts w:hint="eastAsia"/>
      </w:rPr>
    </w:lvl>
    <w:lvl w:ilvl="1" w:tentative="0">
      <w:start w:val="1"/>
      <w:numFmt w:val="decimal"/>
      <w:pStyle w:val="352"/>
      <w:lvlText w:val="%1.%2"/>
      <w:lvlJc w:val="left"/>
      <w:pPr>
        <w:ind w:left="572" w:hanging="567"/>
      </w:pPr>
      <w:rPr>
        <w:rFonts w:hint="eastAsia"/>
      </w:rPr>
    </w:lvl>
    <w:lvl w:ilvl="2" w:tentative="0">
      <w:start w:val="1"/>
      <w:numFmt w:val="decimal"/>
      <w:lvlText w:val="%1.%2.%3"/>
      <w:lvlJc w:val="left"/>
      <w:pPr>
        <w:ind w:left="788" w:hanging="567"/>
      </w:pPr>
      <w:rPr>
        <w:rFonts w:hint="eastAsia"/>
      </w:rPr>
    </w:lvl>
    <w:lvl w:ilvl="3" w:tentative="0">
      <w:start w:val="1"/>
      <w:numFmt w:val="decimal"/>
      <w:lvlText w:val="%1.%2.%3.%4"/>
      <w:lvlJc w:val="left"/>
      <w:pPr>
        <w:ind w:left="934" w:hanging="708"/>
      </w:pPr>
      <w:rPr>
        <w:rFonts w:hint="eastAsia"/>
      </w:rPr>
    </w:lvl>
    <w:lvl w:ilvl="4" w:tentative="0">
      <w:start w:val="1"/>
      <w:numFmt w:val="decimal"/>
      <w:lvlText w:val="%1.%2.%3.%4.%5"/>
      <w:lvlJc w:val="left"/>
      <w:pPr>
        <w:ind w:left="1291" w:hanging="850"/>
      </w:pPr>
      <w:rPr>
        <w:rFonts w:hint="eastAsia"/>
      </w:r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45F21013"/>
    <w:multiLevelType w:val="multilevel"/>
    <w:tmpl w:val="45F21013"/>
    <w:lvl w:ilvl="0" w:tentative="0">
      <w:start w:val="1"/>
      <w:numFmt w:val="chineseCountingThousand"/>
      <w:suff w:val="nothing"/>
      <w:lvlText w:val="第%1章"/>
      <w:lvlJc w:val="left"/>
      <w:pPr>
        <w:ind w:left="0" w:firstLine="0"/>
      </w:pPr>
      <w:rPr>
        <w:rFonts w:hint="eastAsia" w:eastAsia="黑体"/>
        <w:b w:val="0"/>
        <w:i w:val="0"/>
        <w:sz w:val="36"/>
      </w:rPr>
    </w:lvl>
    <w:lvl w:ilvl="1" w:tentative="0">
      <w:start w:val="1"/>
      <w:numFmt w:val="decimal"/>
      <w:pStyle w:val="102"/>
      <w:suff w:val="nothing"/>
      <w:lvlText w:val="%2"/>
      <w:lvlJc w:val="left"/>
      <w:pPr>
        <w:ind w:left="0" w:firstLine="0"/>
      </w:pPr>
      <w:rPr>
        <w:rFonts w:hint="eastAsia" w:eastAsia="黑体"/>
        <w:b w:val="0"/>
        <w:i w:val="0"/>
        <w:sz w:val="30"/>
      </w:rPr>
    </w:lvl>
    <w:lvl w:ilvl="2" w:tentative="0">
      <w:start w:val="1"/>
      <w:numFmt w:val="decimal"/>
      <w:pStyle w:val="103"/>
      <w:suff w:val="nothing"/>
      <w:lvlText w:val="%2.%3"/>
      <w:lvlJc w:val="left"/>
      <w:pPr>
        <w:ind w:left="0" w:firstLine="0"/>
      </w:pPr>
      <w:rPr>
        <w:rFonts w:hint="default"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suff w:val="nothing"/>
      <w:lvlText w:val="%2.%3.%4"/>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suff w:val="nothing"/>
      <w:lvlText w:val="%5、"/>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pStyle w:val="105"/>
      <w:suff w:val="nothing"/>
      <w:lvlText w:val="（%6）"/>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6" w:tentative="0">
      <w:start w:val="1"/>
      <w:numFmt w:val="none"/>
      <w:pStyle w:val="106"/>
      <w:suff w:val="nothing"/>
      <w:lvlText w:val=""/>
      <w:lvlJc w:val="left"/>
      <w:pPr>
        <w:ind w:left="0" w:firstLine="0"/>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50447691"/>
    <w:multiLevelType w:val="multilevel"/>
    <w:tmpl w:val="50447691"/>
    <w:lvl w:ilvl="0" w:tentative="0">
      <w:start w:val="1"/>
      <w:numFmt w:val="decimal"/>
      <w:lvlText w:val="%1."/>
      <w:lvlJc w:val="left"/>
      <w:pPr>
        <w:tabs>
          <w:tab w:val="left" w:pos="425"/>
        </w:tabs>
        <w:ind w:left="425" w:hanging="425"/>
      </w:pPr>
      <w:rPr>
        <w:rFonts w:hint="eastAsia"/>
      </w:rPr>
    </w:lvl>
    <w:lvl w:ilvl="1" w:tentative="0">
      <w:start w:val="1"/>
      <w:numFmt w:val="decimal"/>
      <w:pStyle w:val="793"/>
      <w:isLgl/>
      <w:lvlText w:val="2.%2."/>
      <w:lvlJc w:val="left"/>
      <w:pPr>
        <w:tabs>
          <w:tab w:val="left" w:pos="720"/>
        </w:tabs>
        <w:ind w:left="567" w:hanging="567"/>
      </w:pPr>
      <w:rPr>
        <w:rFonts w:hint="eastAsia" w:ascii="黑体" w:eastAsia="黑体"/>
        <w:b/>
        <w:i w:val="0"/>
        <w:caps w:val="0"/>
        <w:strike w:val="0"/>
        <w:dstrike w:val="0"/>
        <w:vanish w:val="0"/>
        <w:color w:val="000000"/>
        <w:spacing w:val="0"/>
        <w:w w:val="100"/>
        <w:kern w:val="32"/>
        <w:position w:val="0"/>
        <w:sz w:val="32"/>
        <w:u w:val="none"/>
        <w:vertAlign w:val="baseline"/>
        <w14:shadow w14:blurRad="0" w14:dist="0" w14:dir="0" w14:sx="0" w14:sy="0" w14:kx="0" w14:ky="0" w14:algn="none">
          <w14:srgbClr w14:val="000000"/>
        </w14:shadow>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62BF10A1"/>
    <w:multiLevelType w:val="multilevel"/>
    <w:tmpl w:val="62BF10A1"/>
    <w:lvl w:ilvl="0" w:tentative="0">
      <w:start w:val="1"/>
      <w:numFmt w:val="decimalEnclosedCircle"/>
      <w:lvlText w:val="%1"/>
      <w:lvlJc w:val="left"/>
      <w:pPr>
        <w:tabs>
          <w:tab w:val="left" w:pos="840"/>
        </w:tabs>
        <w:ind w:left="840" w:hanging="360"/>
      </w:pPr>
      <w:rPr>
        <w:rFonts w:hint="default"/>
        <w:color w:val="auto"/>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6A075562"/>
    <w:multiLevelType w:val="multilevel"/>
    <w:tmpl w:val="6A075562"/>
    <w:lvl w:ilvl="0" w:tentative="0">
      <w:start w:val="1"/>
      <w:numFmt w:val="decimal"/>
      <w:lvlText w:val="（%1）"/>
      <w:lvlJc w:val="left"/>
      <w:pPr>
        <w:tabs>
          <w:tab w:val="left" w:pos="1245"/>
        </w:tabs>
        <w:ind w:left="1245" w:hanging="720"/>
      </w:pPr>
      <w:rPr>
        <w:rFonts w:hint="default" w:hAnsi="宋体"/>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1">
    <w:nsid w:val="6B0A344D"/>
    <w:multiLevelType w:val="multilevel"/>
    <w:tmpl w:val="6B0A344D"/>
    <w:lvl w:ilvl="0" w:tentative="0">
      <w:start w:val="1"/>
      <w:numFmt w:val="decimal"/>
      <w:pStyle w:val="1131"/>
      <w:lvlText w:val="%1"/>
      <w:lvlJc w:val="left"/>
      <w:pPr>
        <w:tabs>
          <w:tab w:val="left" w:pos="992"/>
        </w:tabs>
        <w:ind w:left="992" w:hanging="425"/>
      </w:pPr>
      <w:rPr>
        <w:rFonts w:hint="eastAsia"/>
      </w:rPr>
    </w:lvl>
    <w:lvl w:ilvl="1" w:tentative="0">
      <w:start w:val="1"/>
      <w:numFmt w:val="decimal"/>
      <w:lvlText w:val="%1.%2"/>
      <w:lvlJc w:val="left"/>
      <w:pPr>
        <w:tabs>
          <w:tab w:val="left" w:pos="2072"/>
        </w:tabs>
        <w:ind w:left="1559" w:hanging="567"/>
      </w:pPr>
      <w:rPr>
        <w:rFonts w:hint="eastAsia"/>
      </w:rPr>
    </w:lvl>
    <w:lvl w:ilvl="2" w:tentative="0">
      <w:start w:val="1"/>
      <w:numFmt w:val="decimal"/>
      <w:pStyle w:val="1133"/>
      <w:lvlText w:val="%1.%2.%3"/>
      <w:lvlJc w:val="left"/>
      <w:pPr>
        <w:tabs>
          <w:tab w:val="left" w:pos="2858"/>
        </w:tabs>
        <w:ind w:left="1985" w:hanging="567"/>
      </w:pPr>
      <w:rPr>
        <w:rFonts w:hint="eastAsia"/>
      </w:rPr>
    </w:lvl>
    <w:lvl w:ilvl="3" w:tentative="0">
      <w:start w:val="1"/>
      <w:numFmt w:val="decimal"/>
      <w:pStyle w:val="1134"/>
      <w:lvlText w:val="%1.%2.%3.%4"/>
      <w:lvlJc w:val="left"/>
      <w:pPr>
        <w:tabs>
          <w:tab w:val="left" w:pos="4003"/>
        </w:tabs>
        <w:ind w:left="2551" w:hanging="708"/>
      </w:pPr>
      <w:rPr>
        <w:rFonts w:hint="eastAsia"/>
      </w:rPr>
    </w:lvl>
    <w:lvl w:ilvl="4" w:tentative="0">
      <w:start w:val="1"/>
      <w:numFmt w:val="decimal"/>
      <w:lvlText w:val="%1.%2.%3.%4.%5"/>
      <w:lvlJc w:val="left"/>
      <w:pPr>
        <w:tabs>
          <w:tab w:val="left" w:pos="4788"/>
        </w:tabs>
        <w:ind w:left="3118" w:hanging="850"/>
      </w:pPr>
      <w:rPr>
        <w:rFonts w:hint="eastAsia"/>
      </w:rPr>
    </w:lvl>
    <w:lvl w:ilvl="5" w:tentative="0">
      <w:start w:val="1"/>
      <w:numFmt w:val="decimal"/>
      <w:lvlText w:val="%1.%2.%3.%4.%5.%6"/>
      <w:lvlJc w:val="left"/>
      <w:pPr>
        <w:tabs>
          <w:tab w:val="left" w:pos="5933"/>
        </w:tabs>
        <w:ind w:left="3827" w:hanging="1134"/>
      </w:pPr>
      <w:rPr>
        <w:rFonts w:hint="eastAsia"/>
      </w:rPr>
    </w:lvl>
    <w:lvl w:ilvl="6" w:tentative="0">
      <w:start w:val="1"/>
      <w:numFmt w:val="decimal"/>
      <w:lvlText w:val="%1.%2.%3.%4.%5.%6.%7"/>
      <w:lvlJc w:val="left"/>
      <w:pPr>
        <w:tabs>
          <w:tab w:val="left" w:pos="6718"/>
        </w:tabs>
        <w:ind w:left="4394" w:hanging="1276"/>
      </w:pPr>
      <w:rPr>
        <w:rFonts w:hint="eastAsia"/>
      </w:rPr>
    </w:lvl>
    <w:lvl w:ilvl="7" w:tentative="0">
      <w:start w:val="1"/>
      <w:numFmt w:val="decimal"/>
      <w:lvlText w:val="%1.%2.%3.%4.%5.%6.%7.%8"/>
      <w:lvlJc w:val="left"/>
      <w:pPr>
        <w:tabs>
          <w:tab w:val="left" w:pos="7503"/>
        </w:tabs>
        <w:ind w:left="4961" w:hanging="1418"/>
      </w:pPr>
      <w:rPr>
        <w:rFonts w:hint="eastAsia"/>
      </w:rPr>
    </w:lvl>
    <w:lvl w:ilvl="8" w:tentative="0">
      <w:start w:val="1"/>
      <w:numFmt w:val="decimal"/>
      <w:lvlText w:val="%1.%2.%3.%4.%5.%6.%7.%8.%9"/>
      <w:lvlJc w:val="left"/>
      <w:pPr>
        <w:tabs>
          <w:tab w:val="left" w:pos="8649"/>
        </w:tabs>
        <w:ind w:left="5669" w:hanging="1700"/>
      </w:pPr>
      <w:rPr>
        <w:rFonts w:hint="eastAsia"/>
      </w:rPr>
    </w:lvl>
  </w:abstractNum>
  <w:num w:numId="1">
    <w:abstractNumId w:val="1"/>
  </w:num>
  <w:num w:numId="2">
    <w:abstractNumId w:val="2"/>
  </w:num>
  <w:num w:numId="3">
    <w:abstractNumId w:val="7"/>
  </w:num>
  <w:num w:numId="4">
    <w:abstractNumId w:val="6"/>
  </w:num>
  <w:num w:numId="5">
    <w:abstractNumId w:val="4"/>
  </w:num>
  <w:num w:numId="6">
    <w:abstractNumId w:val="5"/>
  </w:num>
  <w:num w:numId="7">
    <w:abstractNumId w:val="8"/>
  </w:num>
  <w:num w:numId="8">
    <w:abstractNumId w:val="11"/>
  </w:num>
  <w:num w:numId="9">
    <w:abstractNumId w:val="9"/>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E1"/>
    <w:rsid w:val="00001BC7"/>
    <w:rsid w:val="00006EDA"/>
    <w:rsid w:val="0001460B"/>
    <w:rsid w:val="000215A9"/>
    <w:rsid w:val="00022421"/>
    <w:rsid w:val="00024AC4"/>
    <w:rsid w:val="00035F3D"/>
    <w:rsid w:val="0003667A"/>
    <w:rsid w:val="00040860"/>
    <w:rsid w:val="00042571"/>
    <w:rsid w:val="000458D4"/>
    <w:rsid w:val="00053E4D"/>
    <w:rsid w:val="000612E8"/>
    <w:rsid w:val="00062D6A"/>
    <w:rsid w:val="000662EB"/>
    <w:rsid w:val="00080329"/>
    <w:rsid w:val="00085B2F"/>
    <w:rsid w:val="0009020C"/>
    <w:rsid w:val="00096D29"/>
    <w:rsid w:val="000A49B3"/>
    <w:rsid w:val="000A5B0C"/>
    <w:rsid w:val="000A7B32"/>
    <w:rsid w:val="000C1B38"/>
    <w:rsid w:val="000D2A0E"/>
    <w:rsid w:val="000D5D8C"/>
    <w:rsid w:val="000E57C2"/>
    <w:rsid w:val="000E6F23"/>
    <w:rsid w:val="001008A4"/>
    <w:rsid w:val="00111DCA"/>
    <w:rsid w:val="00121F18"/>
    <w:rsid w:val="00131027"/>
    <w:rsid w:val="00140176"/>
    <w:rsid w:val="00154FFC"/>
    <w:rsid w:val="00155006"/>
    <w:rsid w:val="0016001E"/>
    <w:rsid w:val="0016546D"/>
    <w:rsid w:val="00170BFC"/>
    <w:rsid w:val="001770D1"/>
    <w:rsid w:val="0018661D"/>
    <w:rsid w:val="001A5B2E"/>
    <w:rsid w:val="001B5F21"/>
    <w:rsid w:val="001B7CFB"/>
    <w:rsid w:val="001C2C26"/>
    <w:rsid w:val="001C4DC8"/>
    <w:rsid w:val="001D07B8"/>
    <w:rsid w:val="001E098C"/>
    <w:rsid w:val="001E1891"/>
    <w:rsid w:val="001E1DE1"/>
    <w:rsid w:val="001E29F2"/>
    <w:rsid w:val="001E3068"/>
    <w:rsid w:val="001E3A0A"/>
    <w:rsid w:val="001E3BAF"/>
    <w:rsid w:val="001E411B"/>
    <w:rsid w:val="001F167F"/>
    <w:rsid w:val="001F5B53"/>
    <w:rsid w:val="002037E2"/>
    <w:rsid w:val="00205E42"/>
    <w:rsid w:val="00207344"/>
    <w:rsid w:val="002228DC"/>
    <w:rsid w:val="002248A9"/>
    <w:rsid w:val="00225FAA"/>
    <w:rsid w:val="00226E16"/>
    <w:rsid w:val="00232986"/>
    <w:rsid w:val="0023596D"/>
    <w:rsid w:val="00240C86"/>
    <w:rsid w:val="002449E1"/>
    <w:rsid w:val="00244A0C"/>
    <w:rsid w:val="0024744E"/>
    <w:rsid w:val="0025647A"/>
    <w:rsid w:val="00257CAB"/>
    <w:rsid w:val="00262E38"/>
    <w:rsid w:val="00265ED3"/>
    <w:rsid w:val="00265F8A"/>
    <w:rsid w:val="00270D2C"/>
    <w:rsid w:val="00272579"/>
    <w:rsid w:val="00282091"/>
    <w:rsid w:val="00284D4B"/>
    <w:rsid w:val="00287392"/>
    <w:rsid w:val="002924BA"/>
    <w:rsid w:val="002937F7"/>
    <w:rsid w:val="00293FE0"/>
    <w:rsid w:val="002A39C2"/>
    <w:rsid w:val="002A6FCC"/>
    <w:rsid w:val="002B4A1C"/>
    <w:rsid w:val="002B6AA0"/>
    <w:rsid w:val="002C07A2"/>
    <w:rsid w:val="002C2A9D"/>
    <w:rsid w:val="002C40DD"/>
    <w:rsid w:val="002D1041"/>
    <w:rsid w:val="002D74D6"/>
    <w:rsid w:val="002E2D1A"/>
    <w:rsid w:val="002F432A"/>
    <w:rsid w:val="002F65D5"/>
    <w:rsid w:val="00305237"/>
    <w:rsid w:val="00311D36"/>
    <w:rsid w:val="00313102"/>
    <w:rsid w:val="003150A2"/>
    <w:rsid w:val="0032133B"/>
    <w:rsid w:val="00322A2F"/>
    <w:rsid w:val="003230AE"/>
    <w:rsid w:val="003310A7"/>
    <w:rsid w:val="00335F41"/>
    <w:rsid w:val="0034384F"/>
    <w:rsid w:val="00345B14"/>
    <w:rsid w:val="00346A96"/>
    <w:rsid w:val="00347C7B"/>
    <w:rsid w:val="00365FCE"/>
    <w:rsid w:val="00371408"/>
    <w:rsid w:val="00373FAB"/>
    <w:rsid w:val="003749C2"/>
    <w:rsid w:val="00377839"/>
    <w:rsid w:val="00382B86"/>
    <w:rsid w:val="003A1308"/>
    <w:rsid w:val="003B41E8"/>
    <w:rsid w:val="003B49CA"/>
    <w:rsid w:val="003C455C"/>
    <w:rsid w:val="003C6E1D"/>
    <w:rsid w:val="003C7228"/>
    <w:rsid w:val="003C7EF5"/>
    <w:rsid w:val="003D6CE0"/>
    <w:rsid w:val="003E335C"/>
    <w:rsid w:val="003E4FB3"/>
    <w:rsid w:val="003E7E1B"/>
    <w:rsid w:val="00411C85"/>
    <w:rsid w:val="004149D8"/>
    <w:rsid w:val="004155A5"/>
    <w:rsid w:val="0041564F"/>
    <w:rsid w:val="00417269"/>
    <w:rsid w:val="00421C3F"/>
    <w:rsid w:val="00422C17"/>
    <w:rsid w:val="004233F3"/>
    <w:rsid w:val="00426829"/>
    <w:rsid w:val="00433B64"/>
    <w:rsid w:val="00433DAC"/>
    <w:rsid w:val="00464472"/>
    <w:rsid w:val="00464B31"/>
    <w:rsid w:val="00464B3E"/>
    <w:rsid w:val="00464B81"/>
    <w:rsid w:val="00474350"/>
    <w:rsid w:val="00491501"/>
    <w:rsid w:val="0049695F"/>
    <w:rsid w:val="00496ED2"/>
    <w:rsid w:val="004A062E"/>
    <w:rsid w:val="004A314B"/>
    <w:rsid w:val="004B24DA"/>
    <w:rsid w:val="004C3FED"/>
    <w:rsid w:val="004D0597"/>
    <w:rsid w:val="004D447D"/>
    <w:rsid w:val="004D5129"/>
    <w:rsid w:val="004D6F86"/>
    <w:rsid w:val="004E403C"/>
    <w:rsid w:val="004E59CA"/>
    <w:rsid w:val="004F26F1"/>
    <w:rsid w:val="004F6F79"/>
    <w:rsid w:val="00501786"/>
    <w:rsid w:val="00502B79"/>
    <w:rsid w:val="00503BDC"/>
    <w:rsid w:val="005103A9"/>
    <w:rsid w:val="0051390B"/>
    <w:rsid w:val="0052712A"/>
    <w:rsid w:val="005336AE"/>
    <w:rsid w:val="005402F3"/>
    <w:rsid w:val="00543040"/>
    <w:rsid w:val="005469D7"/>
    <w:rsid w:val="005502DD"/>
    <w:rsid w:val="00550A5A"/>
    <w:rsid w:val="00550CB3"/>
    <w:rsid w:val="00551916"/>
    <w:rsid w:val="005526F1"/>
    <w:rsid w:val="00557DB7"/>
    <w:rsid w:val="00557E58"/>
    <w:rsid w:val="0057763C"/>
    <w:rsid w:val="00581FD9"/>
    <w:rsid w:val="005857A8"/>
    <w:rsid w:val="00587407"/>
    <w:rsid w:val="0059131B"/>
    <w:rsid w:val="00593356"/>
    <w:rsid w:val="005972D8"/>
    <w:rsid w:val="00597F55"/>
    <w:rsid w:val="005A3B8A"/>
    <w:rsid w:val="005B24D0"/>
    <w:rsid w:val="005B28F7"/>
    <w:rsid w:val="005B7A65"/>
    <w:rsid w:val="005C5EEC"/>
    <w:rsid w:val="005D01DB"/>
    <w:rsid w:val="005D39DA"/>
    <w:rsid w:val="005D71C5"/>
    <w:rsid w:val="005E2757"/>
    <w:rsid w:val="005E500C"/>
    <w:rsid w:val="005E6BD2"/>
    <w:rsid w:val="00600245"/>
    <w:rsid w:val="00605716"/>
    <w:rsid w:val="00605795"/>
    <w:rsid w:val="00607C76"/>
    <w:rsid w:val="0061216C"/>
    <w:rsid w:val="00624266"/>
    <w:rsid w:val="00624E72"/>
    <w:rsid w:val="00633A44"/>
    <w:rsid w:val="006350BE"/>
    <w:rsid w:val="00637A1A"/>
    <w:rsid w:val="00644103"/>
    <w:rsid w:val="00644AD5"/>
    <w:rsid w:val="00657994"/>
    <w:rsid w:val="00660DCD"/>
    <w:rsid w:val="00694BA1"/>
    <w:rsid w:val="006A4894"/>
    <w:rsid w:val="006A6175"/>
    <w:rsid w:val="006B0A43"/>
    <w:rsid w:val="006B4E3D"/>
    <w:rsid w:val="006C2B44"/>
    <w:rsid w:val="006C58C4"/>
    <w:rsid w:val="006C5CF8"/>
    <w:rsid w:val="006D017E"/>
    <w:rsid w:val="006E35E0"/>
    <w:rsid w:val="006E57D6"/>
    <w:rsid w:val="006E677F"/>
    <w:rsid w:val="006E7627"/>
    <w:rsid w:val="006F0236"/>
    <w:rsid w:val="007104C6"/>
    <w:rsid w:val="0071060A"/>
    <w:rsid w:val="00720DC9"/>
    <w:rsid w:val="00721655"/>
    <w:rsid w:val="00723471"/>
    <w:rsid w:val="00726DEA"/>
    <w:rsid w:val="007354EB"/>
    <w:rsid w:val="00740399"/>
    <w:rsid w:val="00741106"/>
    <w:rsid w:val="00747168"/>
    <w:rsid w:val="00753799"/>
    <w:rsid w:val="0075687D"/>
    <w:rsid w:val="007635CA"/>
    <w:rsid w:val="00764B03"/>
    <w:rsid w:val="00764F04"/>
    <w:rsid w:val="0076555D"/>
    <w:rsid w:val="00766AEB"/>
    <w:rsid w:val="00776F32"/>
    <w:rsid w:val="0078072C"/>
    <w:rsid w:val="007829AF"/>
    <w:rsid w:val="0078464F"/>
    <w:rsid w:val="00785373"/>
    <w:rsid w:val="00791950"/>
    <w:rsid w:val="00797AA8"/>
    <w:rsid w:val="007B0B37"/>
    <w:rsid w:val="007D013A"/>
    <w:rsid w:val="007E03DE"/>
    <w:rsid w:val="007E6337"/>
    <w:rsid w:val="007F3633"/>
    <w:rsid w:val="007F6A59"/>
    <w:rsid w:val="00807AD0"/>
    <w:rsid w:val="0081374D"/>
    <w:rsid w:val="008163A6"/>
    <w:rsid w:val="00821536"/>
    <w:rsid w:val="00821D76"/>
    <w:rsid w:val="00831996"/>
    <w:rsid w:val="00833853"/>
    <w:rsid w:val="008377A7"/>
    <w:rsid w:val="00840E81"/>
    <w:rsid w:val="008619B6"/>
    <w:rsid w:val="00863EB0"/>
    <w:rsid w:val="00870CD2"/>
    <w:rsid w:val="00872937"/>
    <w:rsid w:val="00875448"/>
    <w:rsid w:val="00875E14"/>
    <w:rsid w:val="00880DC9"/>
    <w:rsid w:val="008820B7"/>
    <w:rsid w:val="00882868"/>
    <w:rsid w:val="008A6D03"/>
    <w:rsid w:val="008B41F2"/>
    <w:rsid w:val="008C06A6"/>
    <w:rsid w:val="008D0A0A"/>
    <w:rsid w:val="008D5E2E"/>
    <w:rsid w:val="008F44F3"/>
    <w:rsid w:val="008F5F1A"/>
    <w:rsid w:val="00900FF4"/>
    <w:rsid w:val="0091409B"/>
    <w:rsid w:val="00914F60"/>
    <w:rsid w:val="00915BF2"/>
    <w:rsid w:val="00916BEE"/>
    <w:rsid w:val="00924291"/>
    <w:rsid w:val="009272E7"/>
    <w:rsid w:val="00933DFE"/>
    <w:rsid w:val="009504B9"/>
    <w:rsid w:val="00960DAC"/>
    <w:rsid w:val="00987B6C"/>
    <w:rsid w:val="00992881"/>
    <w:rsid w:val="009A1656"/>
    <w:rsid w:val="009A2C36"/>
    <w:rsid w:val="009B1A46"/>
    <w:rsid w:val="009B2129"/>
    <w:rsid w:val="009B23A3"/>
    <w:rsid w:val="009B29A1"/>
    <w:rsid w:val="009D2F6B"/>
    <w:rsid w:val="009E5398"/>
    <w:rsid w:val="009F2EDB"/>
    <w:rsid w:val="00A02CBB"/>
    <w:rsid w:val="00A11FE4"/>
    <w:rsid w:val="00A16B07"/>
    <w:rsid w:val="00A21831"/>
    <w:rsid w:val="00A22349"/>
    <w:rsid w:val="00A24368"/>
    <w:rsid w:val="00A35DB2"/>
    <w:rsid w:val="00A37D18"/>
    <w:rsid w:val="00A42EF9"/>
    <w:rsid w:val="00A61A35"/>
    <w:rsid w:val="00A6685E"/>
    <w:rsid w:val="00A72EB2"/>
    <w:rsid w:val="00A87AB3"/>
    <w:rsid w:val="00A92901"/>
    <w:rsid w:val="00AA6A77"/>
    <w:rsid w:val="00AB1A9E"/>
    <w:rsid w:val="00AC10BD"/>
    <w:rsid w:val="00AC1D84"/>
    <w:rsid w:val="00AC3209"/>
    <w:rsid w:val="00AC62DC"/>
    <w:rsid w:val="00AE01B6"/>
    <w:rsid w:val="00AF08F6"/>
    <w:rsid w:val="00AF3D47"/>
    <w:rsid w:val="00AF6D48"/>
    <w:rsid w:val="00B00241"/>
    <w:rsid w:val="00B051B6"/>
    <w:rsid w:val="00B0613C"/>
    <w:rsid w:val="00B10679"/>
    <w:rsid w:val="00B44903"/>
    <w:rsid w:val="00B56F3E"/>
    <w:rsid w:val="00B6372C"/>
    <w:rsid w:val="00B64D70"/>
    <w:rsid w:val="00B70335"/>
    <w:rsid w:val="00B71795"/>
    <w:rsid w:val="00B72F3E"/>
    <w:rsid w:val="00B7310B"/>
    <w:rsid w:val="00B73262"/>
    <w:rsid w:val="00B74F92"/>
    <w:rsid w:val="00B810C2"/>
    <w:rsid w:val="00B85595"/>
    <w:rsid w:val="00B86E6C"/>
    <w:rsid w:val="00BA062D"/>
    <w:rsid w:val="00BB4FA2"/>
    <w:rsid w:val="00BC610E"/>
    <w:rsid w:val="00BC7905"/>
    <w:rsid w:val="00BD7A88"/>
    <w:rsid w:val="00BE060D"/>
    <w:rsid w:val="00BE20A7"/>
    <w:rsid w:val="00BE42D9"/>
    <w:rsid w:val="00BE6E43"/>
    <w:rsid w:val="00BF0B07"/>
    <w:rsid w:val="00BF1A22"/>
    <w:rsid w:val="00BF3206"/>
    <w:rsid w:val="00BF3526"/>
    <w:rsid w:val="00C0198D"/>
    <w:rsid w:val="00C0384C"/>
    <w:rsid w:val="00C05180"/>
    <w:rsid w:val="00C061CC"/>
    <w:rsid w:val="00C06610"/>
    <w:rsid w:val="00C06FBE"/>
    <w:rsid w:val="00C1013E"/>
    <w:rsid w:val="00C16AD4"/>
    <w:rsid w:val="00C266B9"/>
    <w:rsid w:val="00C305A3"/>
    <w:rsid w:val="00C30ED8"/>
    <w:rsid w:val="00C34B67"/>
    <w:rsid w:val="00C3724D"/>
    <w:rsid w:val="00C50189"/>
    <w:rsid w:val="00C50194"/>
    <w:rsid w:val="00C50AE2"/>
    <w:rsid w:val="00C53344"/>
    <w:rsid w:val="00C55933"/>
    <w:rsid w:val="00C602DC"/>
    <w:rsid w:val="00C610EB"/>
    <w:rsid w:val="00C61ED7"/>
    <w:rsid w:val="00C620CF"/>
    <w:rsid w:val="00C65381"/>
    <w:rsid w:val="00C675DF"/>
    <w:rsid w:val="00C67BAE"/>
    <w:rsid w:val="00C71D44"/>
    <w:rsid w:val="00C814BF"/>
    <w:rsid w:val="00C92CA8"/>
    <w:rsid w:val="00C94BE6"/>
    <w:rsid w:val="00C9768C"/>
    <w:rsid w:val="00C978AF"/>
    <w:rsid w:val="00CA4809"/>
    <w:rsid w:val="00CB0A35"/>
    <w:rsid w:val="00CB7A21"/>
    <w:rsid w:val="00CC66AC"/>
    <w:rsid w:val="00CD4EB5"/>
    <w:rsid w:val="00CE1E56"/>
    <w:rsid w:val="00CE5E92"/>
    <w:rsid w:val="00CF0E01"/>
    <w:rsid w:val="00CF159C"/>
    <w:rsid w:val="00CF58C6"/>
    <w:rsid w:val="00CF7262"/>
    <w:rsid w:val="00D07856"/>
    <w:rsid w:val="00D07F80"/>
    <w:rsid w:val="00D138E9"/>
    <w:rsid w:val="00D21D7C"/>
    <w:rsid w:val="00D31F96"/>
    <w:rsid w:val="00D34994"/>
    <w:rsid w:val="00D35041"/>
    <w:rsid w:val="00D376CF"/>
    <w:rsid w:val="00D53D35"/>
    <w:rsid w:val="00D55F0F"/>
    <w:rsid w:val="00D62654"/>
    <w:rsid w:val="00D63061"/>
    <w:rsid w:val="00D63539"/>
    <w:rsid w:val="00D7262B"/>
    <w:rsid w:val="00D8172A"/>
    <w:rsid w:val="00D90A5E"/>
    <w:rsid w:val="00D951E2"/>
    <w:rsid w:val="00D9521B"/>
    <w:rsid w:val="00D97944"/>
    <w:rsid w:val="00DC231A"/>
    <w:rsid w:val="00DC6CE8"/>
    <w:rsid w:val="00DD392B"/>
    <w:rsid w:val="00DF3A45"/>
    <w:rsid w:val="00DF7FDC"/>
    <w:rsid w:val="00E077F9"/>
    <w:rsid w:val="00E1489B"/>
    <w:rsid w:val="00E14CF9"/>
    <w:rsid w:val="00E166FD"/>
    <w:rsid w:val="00E25007"/>
    <w:rsid w:val="00E25B96"/>
    <w:rsid w:val="00E25EDB"/>
    <w:rsid w:val="00E467CD"/>
    <w:rsid w:val="00E6295A"/>
    <w:rsid w:val="00E64033"/>
    <w:rsid w:val="00E6408C"/>
    <w:rsid w:val="00E65D7A"/>
    <w:rsid w:val="00E72006"/>
    <w:rsid w:val="00E74084"/>
    <w:rsid w:val="00E75C25"/>
    <w:rsid w:val="00E82D40"/>
    <w:rsid w:val="00E901FB"/>
    <w:rsid w:val="00E9112D"/>
    <w:rsid w:val="00E91270"/>
    <w:rsid w:val="00EA43C2"/>
    <w:rsid w:val="00EA7890"/>
    <w:rsid w:val="00EB0105"/>
    <w:rsid w:val="00EB2C7A"/>
    <w:rsid w:val="00EB43DD"/>
    <w:rsid w:val="00EB5B58"/>
    <w:rsid w:val="00EB78DA"/>
    <w:rsid w:val="00ED6C8D"/>
    <w:rsid w:val="00EF73F6"/>
    <w:rsid w:val="00F21A50"/>
    <w:rsid w:val="00F2530C"/>
    <w:rsid w:val="00F271E1"/>
    <w:rsid w:val="00F30F6E"/>
    <w:rsid w:val="00F332B9"/>
    <w:rsid w:val="00F36111"/>
    <w:rsid w:val="00F40F1C"/>
    <w:rsid w:val="00F422D3"/>
    <w:rsid w:val="00F44153"/>
    <w:rsid w:val="00F511CA"/>
    <w:rsid w:val="00F51FB0"/>
    <w:rsid w:val="00F56058"/>
    <w:rsid w:val="00F60868"/>
    <w:rsid w:val="00F657F2"/>
    <w:rsid w:val="00F70317"/>
    <w:rsid w:val="00F7134E"/>
    <w:rsid w:val="00F73803"/>
    <w:rsid w:val="00F75405"/>
    <w:rsid w:val="00F8057C"/>
    <w:rsid w:val="00F848F7"/>
    <w:rsid w:val="00F878DA"/>
    <w:rsid w:val="00FA1972"/>
    <w:rsid w:val="00FA5DEA"/>
    <w:rsid w:val="00FC0ADB"/>
    <w:rsid w:val="00FC386D"/>
    <w:rsid w:val="00FC79BB"/>
    <w:rsid w:val="00FD39A5"/>
    <w:rsid w:val="00FD4257"/>
    <w:rsid w:val="00FD4741"/>
    <w:rsid w:val="00FD4EE0"/>
    <w:rsid w:val="00FE26EA"/>
    <w:rsid w:val="00FE27EC"/>
    <w:rsid w:val="16FE65DD"/>
    <w:rsid w:val="20FA0668"/>
    <w:rsid w:val="41F14E41"/>
    <w:rsid w:val="47312B26"/>
    <w:rsid w:val="5D363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nhideWhenUsed="0" w:uiPriority="0" w:semiHidden="0" w:name="annotation subject"/>
    <w:lsdException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nhideWhenUsed="0" w:uiPriority="0" w:semiHidden="0" w:name="Table Grid 1"/>
    <w:lsdException w:uiPriority="99" w:name="Table Grid 2"/>
    <w:lsdException w:uiPriority="99" w:name="Table Grid 3"/>
    <w:lsdException w:uiPriority="99" w:name="Table Grid 4"/>
    <w:lsdException w:unhideWhenUsed="0" w:uiPriority="0" w:name="Table Grid 5"/>
    <w:lsdException w:uiPriority="99" w:name="Table Grid 6"/>
    <w:lsdException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nhideWhenUsed="0" w:uiPriority="0" w:semiHidden="0" w:name="Table Theme"/>
    <w:lsdException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8"/>
      <w:szCs w:val="22"/>
      <w:lang w:val="en-US" w:eastAsia="zh-CN" w:bidi="ar-SA"/>
    </w:rPr>
  </w:style>
  <w:style w:type="paragraph" w:styleId="2">
    <w:name w:val="heading 1"/>
    <w:basedOn w:val="1"/>
    <w:next w:val="1"/>
    <w:link w:val="1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7"/>
    <w:qFormat/>
    <w:uiPriority w:val="9"/>
    <w:pPr>
      <w:keepNext/>
      <w:keepLines/>
      <w:tabs>
        <w:tab w:val="left" w:pos="1287"/>
      </w:tabs>
      <w:spacing w:before="100" w:beforeAutospacing="1" w:after="100" w:afterAutospacing="1"/>
      <w:outlineLvl w:val="1"/>
    </w:pPr>
    <w:rPr>
      <w:rFonts w:ascii="Times New Roman" w:hAnsi="Times New Roman" w:eastAsia="黑体"/>
      <w:b/>
      <w:bCs/>
      <w:sz w:val="24"/>
      <w:szCs w:val="24"/>
    </w:rPr>
  </w:style>
  <w:style w:type="paragraph" w:styleId="4">
    <w:name w:val="heading 3"/>
    <w:basedOn w:val="1"/>
    <w:next w:val="1"/>
    <w:link w:val="11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22"/>
    <w:unhideWhenUsed/>
    <w:qFormat/>
    <w:uiPriority w:val="0"/>
    <w:pPr>
      <w:keepNext/>
      <w:keepLines/>
      <w:spacing w:before="280" w:after="290" w:line="376" w:lineRule="auto"/>
      <w:outlineLvl w:val="3"/>
    </w:pPr>
    <w:rPr>
      <w:rFonts w:ascii="Cambria" w:hAnsi="Cambria"/>
      <w:b/>
      <w:bCs/>
      <w:szCs w:val="28"/>
    </w:rPr>
  </w:style>
  <w:style w:type="paragraph" w:styleId="6">
    <w:name w:val="heading 5"/>
    <w:basedOn w:val="1"/>
    <w:next w:val="1"/>
    <w:link w:val="123"/>
    <w:unhideWhenUsed/>
    <w:qFormat/>
    <w:uiPriority w:val="0"/>
    <w:pPr>
      <w:keepNext/>
      <w:keepLines/>
      <w:spacing w:before="280" w:after="290" w:line="376" w:lineRule="auto"/>
      <w:outlineLvl w:val="4"/>
    </w:pPr>
    <w:rPr>
      <w:b/>
      <w:bCs/>
      <w:szCs w:val="28"/>
    </w:rPr>
  </w:style>
  <w:style w:type="paragraph" w:styleId="7">
    <w:name w:val="heading 6"/>
    <w:basedOn w:val="1"/>
    <w:next w:val="1"/>
    <w:link w:val="124"/>
    <w:unhideWhenUsed/>
    <w:qFormat/>
    <w:uiPriority w:val="0"/>
    <w:pPr>
      <w:keepNext/>
      <w:keepLines/>
      <w:spacing w:before="240" w:after="64" w:line="320" w:lineRule="auto"/>
      <w:outlineLvl w:val="5"/>
    </w:pPr>
    <w:rPr>
      <w:rFonts w:ascii="Cambria" w:hAnsi="Cambria"/>
      <w:b/>
      <w:bCs/>
      <w:sz w:val="24"/>
      <w:szCs w:val="24"/>
    </w:rPr>
  </w:style>
  <w:style w:type="paragraph" w:styleId="8">
    <w:name w:val="heading 7"/>
    <w:basedOn w:val="1"/>
    <w:next w:val="1"/>
    <w:link w:val="125"/>
    <w:qFormat/>
    <w:uiPriority w:val="0"/>
    <w:pPr>
      <w:keepNext/>
      <w:keepLines/>
      <w:spacing w:before="240" w:after="64" w:line="320" w:lineRule="auto"/>
      <w:ind w:left="1296" w:hanging="288"/>
      <w:jc w:val="left"/>
      <w:outlineLvl w:val="6"/>
    </w:pPr>
    <w:rPr>
      <w:rFonts w:ascii="宋体" w:hAnsi="宋体"/>
      <w:b/>
      <w:kern w:val="0"/>
      <w:sz w:val="24"/>
      <w:szCs w:val="24"/>
      <w:lang w:val="zh-CN"/>
    </w:rPr>
  </w:style>
  <w:style w:type="paragraph" w:styleId="9">
    <w:name w:val="heading 8"/>
    <w:basedOn w:val="1"/>
    <w:next w:val="1"/>
    <w:link w:val="126"/>
    <w:qFormat/>
    <w:uiPriority w:val="0"/>
    <w:pPr>
      <w:keepNext/>
      <w:keepLines/>
      <w:spacing w:before="240" w:after="64" w:line="320" w:lineRule="auto"/>
      <w:ind w:left="1440" w:hanging="432"/>
      <w:jc w:val="left"/>
      <w:outlineLvl w:val="7"/>
    </w:pPr>
    <w:rPr>
      <w:rFonts w:ascii="Arial" w:hAnsi="Arial" w:eastAsia="黑体"/>
      <w:bCs/>
      <w:kern w:val="0"/>
      <w:sz w:val="24"/>
      <w:szCs w:val="24"/>
      <w:lang w:val="zh-CN"/>
    </w:rPr>
  </w:style>
  <w:style w:type="paragraph" w:styleId="10">
    <w:name w:val="heading 9"/>
    <w:basedOn w:val="1"/>
    <w:next w:val="1"/>
    <w:link w:val="156"/>
    <w:qFormat/>
    <w:uiPriority w:val="0"/>
    <w:pPr>
      <w:keepNext/>
      <w:keepLines/>
      <w:spacing w:before="240" w:after="64" w:line="320" w:lineRule="auto"/>
      <w:ind w:left="1584" w:hanging="144"/>
      <w:jc w:val="left"/>
      <w:outlineLvl w:val="8"/>
    </w:pPr>
    <w:rPr>
      <w:rFonts w:ascii="Arial" w:hAnsi="Arial" w:eastAsia="黑体"/>
      <w:bCs/>
      <w:kern w:val="0"/>
      <w:sz w:val="24"/>
      <w:szCs w:val="21"/>
      <w:lang w:val="zh-CN"/>
    </w:rPr>
  </w:style>
  <w:style w:type="character" w:default="1" w:styleId="79">
    <w:name w:val="Default Paragraph Font"/>
    <w:semiHidden/>
    <w:unhideWhenUsed/>
    <w:uiPriority w:val="1"/>
  </w:style>
  <w:style w:type="table" w:default="1" w:styleId="90">
    <w:name w:val="Normal Table"/>
    <w:semiHidden/>
    <w:unhideWhenUsed/>
    <w:uiPriority w:val="99"/>
    <w:tblPr>
      <w:tblLayout w:type="fixed"/>
      <w:tblCellMar>
        <w:top w:w="0" w:type="dxa"/>
        <w:left w:w="108" w:type="dxa"/>
        <w:bottom w:w="0" w:type="dxa"/>
        <w:right w:w="108" w:type="dxa"/>
      </w:tblCellMar>
    </w:tblPr>
  </w:style>
  <w:style w:type="paragraph" w:styleId="11">
    <w:name w:val="List 3"/>
    <w:basedOn w:val="1"/>
    <w:qFormat/>
    <w:uiPriority w:val="0"/>
    <w:pPr>
      <w:spacing w:line="240" w:lineRule="auto"/>
      <w:ind w:left="100" w:leftChars="400" w:hanging="200" w:hangingChars="200"/>
    </w:pPr>
    <w:rPr>
      <w:rFonts w:ascii="Times New Roman" w:hAnsi="Times New Roman"/>
      <w:sz w:val="21"/>
      <w:szCs w:val="24"/>
    </w:rPr>
  </w:style>
  <w:style w:type="paragraph" w:styleId="12">
    <w:name w:val="annotation subject"/>
    <w:basedOn w:val="13"/>
    <w:next w:val="13"/>
    <w:link w:val="188"/>
    <w:qFormat/>
    <w:uiPriority w:val="0"/>
    <w:pPr>
      <w:spacing w:line="360" w:lineRule="auto"/>
    </w:pPr>
    <w:rPr>
      <w:rFonts w:eastAsiaTheme="minorEastAsia" w:cstheme="minorBidi"/>
      <w:b/>
      <w:bCs/>
      <w:sz w:val="24"/>
      <w:szCs w:val="22"/>
    </w:rPr>
  </w:style>
  <w:style w:type="paragraph" w:styleId="13">
    <w:name w:val="annotation text"/>
    <w:basedOn w:val="1"/>
    <w:link w:val="191"/>
    <w:unhideWhenUsed/>
    <w:qFormat/>
    <w:uiPriority w:val="0"/>
    <w:pPr>
      <w:spacing w:line="240" w:lineRule="auto"/>
      <w:jc w:val="left"/>
    </w:pPr>
    <w:rPr>
      <w:rFonts w:ascii="Times New Roman" w:hAnsi="Times New Roman"/>
      <w:sz w:val="21"/>
      <w:szCs w:val="24"/>
    </w:rPr>
  </w:style>
  <w:style w:type="paragraph" w:styleId="14">
    <w:name w:val="toc 7"/>
    <w:basedOn w:val="1"/>
    <w:next w:val="1"/>
    <w:unhideWhenUsed/>
    <w:qFormat/>
    <w:uiPriority w:val="39"/>
    <w:pPr>
      <w:ind w:left="1680"/>
      <w:jc w:val="left"/>
    </w:pPr>
    <w:rPr>
      <w:rFonts w:cs="Calibri"/>
      <w:sz w:val="18"/>
      <w:szCs w:val="18"/>
    </w:rPr>
  </w:style>
  <w:style w:type="paragraph" w:styleId="15">
    <w:name w:val="Body Text First Indent"/>
    <w:basedOn w:val="1"/>
    <w:next w:val="1"/>
    <w:link w:val="178"/>
    <w:qFormat/>
    <w:uiPriority w:val="0"/>
    <w:pPr>
      <w:ind w:firstLine="493" w:firstLineChars="200"/>
    </w:pPr>
    <w:rPr>
      <w:rFonts w:ascii="Times New Roman" w:hAnsi="Times New Roman" w:eastAsiaTheme="minorEastAsia" w:cstheme="minorBidi"/>
      <w:color w:val="000000"/>
      <w:kern w:val="24"/>
      <w:sz w:val="24"/>
    </w:rPr>
  </w:style>
  <w:style w:type="paragraph" w:styleId="16">
    <w:name w:val="table of authorities"/>
    <w:basedOn w:val="1"/>
    <w:next w:val="1"/>
    <w:qFormat/>
    <w:uiPriority w:val="0"/>
    <w:pPr>
      <w:widowControl/>
      <w:spacing w:line="240" w:lineRule="auto"/>
      <w:ind w:left="420" w:leftChars="200"/>
      <w:jc w:val="left"/>
    </w:pPr>
    <w:rPr>
      <w:rFonts w:ascii="Times New Roman" w:hAnsi="Times New Roman"/>
      <w:kern w:val="0"/>
      <w:sz w:val="20"/>
      <w:szCs w:val="20"/>
    </w:rPr>
  </w:style>
  <w:style w:type="paragraph" w:styleId="17">
    <w:name w:val="macro"/>
    <w:link w:val="4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8">
    <w:name w:val="Note Heading"/>
    <w:basedOn w:val="1"/>
    <w:next w:val="1"/>
    <w:link w:val="446"/>
    <w:qFormat/>
    <w:uiPriority w:val="0"/>
    <w:pPr>
      <w:spacing w:line="240" w:lineRule="auto"/>
      <w:ind w:firstLine="567"/>
      <w:jc w:val="center"/>
      <w:outlineLvl w:val="0"/>
    </w:pPr>
    <w:rPr>
      <w:rFonts w:ascii="Times New Roman" w:hAnsi="Times New Roman" w:eastAsia="楷体_GB2312"/>
      <w:sz w:val="21"/>
      <w:szCs w:val="20"/>
    </w:rPr>
  </w:style>
  <w:style w:type="paragraph" w:styleId="19">
    <w:name w:val="List Bullet 4"/>
    <w:basedOn w:val="1"/>
    <w:qFormat/>
    <w:uiPriority w:val="0"/>
    <w:pPr>
      <w:numPr>
        <w:ilvl w:val="0"/>
        <w:numId w:val="1"/>
      </w:numPr>
      <w:adjustRightInd w:val="0"/>
      <w:snapToGrid w:val="0"/>
      <w:spacing w:line="360" w:lineRule="exact"/>
      <w:ind w:left="0" w:leftChars="0" w:firstLine="0" w:firstLineChars="0"/>
      <w:jc w:val="left"/>
      <w:textAlignment w:val="baseline"/>
    </w:pPr>
    <w:rPr>
      <w:rFonts w:ascii="宋体" w:hAnsi="Times New Roman"/>
      <w:snapToGrid w:val="0"/>
      <w:kern w:val="24"/>
      <w:sz w:val="24"/>
      <w:szCs w:val="20"/>
    </w:rPr>
  </w:style>
  <w:style w:type="paragraph" w:styleId="20">
    <w:name w:val="index 8"/>
    <w:basedOn w:val="1"/>
    <w:next w:val="1"/>
    <w:qFormat/>
    <w:uiPriority w:val="0"/>
    <w:pPr>
      <w:spacing w:line="240" w:lineRule="auto"/>
      <w:ind w:left="1400" w:leftChars="1400"/>
    </w:pPr>
    <w:rPr>
      <w:rFonts w:ascii="Times New Roman" w:hAnsi="Times New Roman"/>
      <w:sz w:val="21"/>
      <w:szCs w:val="24"/>
    </w:rPr>
  </w:style>
  <w:style w:type="paragraph" w:styleId="21">
    <w:name w:val="List Number"/>
    <w:basedOn w:val="1"/>
    <w:qFormat/>
    <w:uiPriority w:val="0"/>
    <w:pPr>
      <w:spacing w:line="240" w:lineRule="auto"/>
      <w:jc w:val="right"/>
      <w:outlineLvl w:val="0"/>
    </w:pPr>
    <w:rPr>
      <w:rFonts w:ascii="Times New Roman" w:hAnsi="Times New Roman"/>
      <w:sz w:val="21"/>
      <w:szCs w:val="20"/>
    </w:rPr>
  </w:style>
  <w:style w:type="paragraph" w:styleId="22">
    <w:name w:val="Normal Indent"/>
    <w:basedOn w:val="1"/>
    <w:link w:val="167"/>
    <w:qFormat/>
    <w:uiPriority w:val="0"/>
    <w:pPr>
      <w:ind w:firstLine="200" w:firstLineChars="200"/>
    </w:pPr>
    <w:rPr>
      <w:rFonts w:ascii="Times New Roman" w:hAnsi="Times New Roman" w:eastAsiaTheme="minorEastAsia" w:cstheme="minorBidi"/>
      <w:sz w:val="24"/>
    </w:rPr>
  </w:style>
  <w:style w:type="paragraph" w:styleId="23">
    <w:name w:val="caption"/>
    <w:basedOn w:val="1"/>
    <w:next w:val="1"/>
    <w:link w:val="1887"/>
    <w:qFormat/>
    <w:uiPriority w:val="0"/>
    <w:pPr>
      <w:snapToGrid w:val="0"/>
      <w:spacing w:before="120" w:line="324" w:lineRule="auto"/>
    </w:pPr>
    <w:rPr>
      <w:rFonts w:ascii="Arial" w:hAnsi="Arial" w:eastAsia="黑体"/>
      <w:szCs w:val="20"/>
    </w:rPr>
  </w:style>
  <w:style w:type="paragraph" w:styleId="24">
    <w:name w:val="index 5"/>
    <w:basedOn w:val="1"/>
    <w:next w:val="1"/>
    <w:qFormat/>
    <w:uiPriority w:val="0"/>
    <w:pPr>
      <w:spacing w:line="240" w:lineRule="auto"/>
      <w:ind w:left="800" w:leftChars="800"/>
    </w:pPr>
    <w:rPr>
      <w:rFonts w:ascii="Times New Roman" w:hAnsi="Times New Roman"/>
      <w:sz w:val="21"/>
      <w:szCs w:val="24"/>
    </w:rPr>
  </w:style>
  <w:style w:type="paragraph" w:styleId="25">
    <w:name w:val="List Bullet"/>
    <w:basedOn w:val="1"/>
    <w:qFormat/>
    <w:uiPriority w:val="0"/>
    <w:pPr>
      <w:numPr>
        <w:ilvl w:val="0"/>
        <w:numId w:val="2"/>
      </w:numPr>
      <w:adjustRightInd w:val="0"/>
      <w:snapToGrid w:val="0"/>
      <w:spacing w:line="360" w:lineRule="exact"/>
      <w:ind w:firstLine="0" w:firstLineChars="0"/>
      <w:jc w:val="left"/>
      <w:textAlignment w:val="baseline"/>
    </w:pPr>
    <w:rPr>
      <w:rFonts w:ascii="宋体" w:hAnsi="Times New Roman"/>
      <w:snapToGrid w:val="0"/>
      <w:kern w:val="24"/>
      <w:sz w:val="24"/>
      <w:szCs w:val="20"/>
    </w:rPr>
  </w:style>
  <w:style w:type="paragraph" w:styleId="26">
    <w:name w:val="Document Map"/>
    <w:basedOn w:val="1"/>
    <w:link w:val="163"/>
    <w:qFormat/>
    <w:uiPriority w:val="0"/>
    <w:rPr>
      <w:rFonts w:ascii="宋体" w:cs="Calibri" w:hAnsiTheme="minorHAnsi" w:eastAsiaTheme="minorEastAsia"/>
      <w:sz w:val="18"/>
      <w:szCs w:val="18"/>
    </w:rPr>
  </w:style>
  <w:style w:type="paragraph" w:styleId="27">
    <w:name w:val="toa heading"/>
    <w:basedOn w:val="1"/>
    <w:next w:val="1"/>
    <w:qFormat/>
    <w:uiPriority w:val="0"/>
    <w:pPr>
      <w:spacing w:before="120" w:line="480" w:lineRule="exact"/>
      <w:jc w:val="left"/>
    </w:pPr>
    <w:rPr>
      <w:rFonts w:ascii="Arial" w:hAnsi="Arial"/>
      <w:b/>
      <w:bCs/>
      <w:kern w:val="0"/>
      <w:sz w:val="24"/>
      <w:szCs w:val="24"/>
    </w:rPr>
  </w:style>
  <w:style w:type="paragraph" w:styleId="28">
    <w:name w:val="index 6"/>
    <w:basedOn w:val="1"/>
    <w:next w:val="1"/>
    <w:qFormat/>
    <w:uiPriority w:val="0"/>
    <w:pPr>
      <w:spacing w:line="240" w:lineRule="auto"/>
      <w:ind w:left="1000" w:leftChars="1000"/>
    </w:pPr>
    <w:rPr>
      <w:rFonts w:ascii="Times New Roman" w:hAnsi="Times New Roman"/>
      <w:sz w:val="21"/>
      <w:szCs w:val="24"/>
    </w:rPr>
  </w:style>
  <w:style w:type="paragraph" w:styleId="29">
    <w:name w:val="Body Text 3"/>
    <w:basedOn w:val="1"/>
    <w:link w:val="189"/>
    <w:qFormat/>
    <w:uiPriority w:val="0"/>
    <w:pPr>
      <w:spacing w:line="220" w:lineRule="exact"/>
      <w:jc w:val="center"/>
    </w:pPr>
    <w:rPr>
      <w:rFonts w:asciiTheme="minorHAnsi" w:hAnsiTheme="minorHAnsi" w:eastAsiaTheme="minorEastAsia" w:cstheme="minorBidi"/>
      <w:sz w:val="21"/>
    </w:rPr>
  </w:style>
  <w:style w:type="paragraph" w:styleId="30">
    <w:name w:val="List Bullet 3"/>
    <w:basedOn w:val="1"/>
    <w:qFormat/>
    <w:uiPriority w:val="0"/>
    <w:pPr>
      <w:tabs>
        <w:tab w:val="left" w:pos="1200"/>
      </w:tabs>
      <w:spacing w:line="240" w:lineRule="auto"/>
      <w:ind w:left="1200" w:leftChars="400" w:hanging="360" w:hangingChars="200"/>
    </w:pPr>
    <w:rPr>
      <w:rFonts w:ascii="Times New Roman" w:hAnsi="Times New Roman"/>
      <w:sz w:val="21"/>
      <w:szCs w:val="20"/>
    </w:rPr>
  </w:style>
  <w:style w:type="paragraph" w:styleId="31">
    <w:name w:val="Body Text"/>
    <w:basedOn w:val="1"/>
    <w:link w:val="112"/>
    <w:qFormat/>
    <w:uiPriority w:val="0"/>
    <w:pPr>
      <w:widowControl/>
      <w:adjustRightInd w:val="0"/>
      <w:snapToGrid w:val="0"/>
      <w:ind w:firstLine="200" w:firstLineChars="200"/>
      <w:jc w:val="left"/>
    </w:pPr>
    <w:rPr>
      <w:rFonts w:cstheme="minorBidi"/>
      <w:kern w:val="0"/>
      <w:sz w:val="24"/>
      <w:szCs w:val="24"/>
    </w:rPr>
  </w:style>
  <w:style w:type="paragraph" w:styleId="32">
    <w:name w:val="Body Text Indent"/>
    <w:basedOn w:val="1"/>
    <w:link w:val="152"/>
    <w:qFormat/>
    <w:uiPriority w:val="0"/>
    <w:pPr>
      <w:spacing w:after="120"/>
      <w:ind w:left="420" w:leftChars="200"/>
    </w:pPr>
    <w:rPr>
      <w:rFonts w:ascii="Times New Roman" w:hAnsi="Times New Roman" w:eastAsiaTheme="minorEastAsia" w:cstheme="minorBidi"/>
      <w:sz w:val="24"/>
    </w:rPr>
  </w:style>
  <w:style w:type="paragraph" w:styleId="33">
    <w:name w:val="List Number 3"/>
    <w:basedOn w:val="1"/>
    <w:qFormat/>
    <w:uiPriority w:val="0"/>
    <w:pPr>
      <w:tabs>
        <w:tab w:val="left" w:pos="1200"/>
      </w:tabs>
      <w:adjustRightInd w:val="0"/>
      <w:snapToGrid w:val="0"/>
      <w:spacing w:line="498" w:lineRule="atLeast"/>
      <w:ind w:left="1200" w:leftChars="400" w:hanging="360" w:hangingChars="200"/>
      <w:textAlignment w:val="baseline"/>
    </w:pPr>
    <w:rPr>
      <w:rFonts w:ascii="Times New Roman" w:hAnsi="Times New Roman"/>
      <w:kern w:val="0"/>
      <w:sz w:val="24"/>
      <w:szCs w:val="28"/>
    </w:rPr>
  </w:style>
  <w:style w:type="paragraph" w:styleId="34">
    <w:name w:val="List 2"/>
    <w:basedOn w:val="1"/>
    <w:qFormat/>
    <w:uiPriority w:val="0"/>
    <w:pPr>
      <w:adjustRightInd w:val="0"/>
      <w:snapToGrid w:val="0"/>
      <w:jc w:val="center"/>
    </w:pPr>
    <w:rPr>
      <w:rFonts w:ascii="宋体" w:hAnsi="宋体"/>
      <w:sz w:val="21"/>
      <w:szCs w:val="28"/>
    </w:rPr>
  </w:style>
  <w:style w:type="paragraph" w:styleId="35">
    <w:name w:val="List Continue"/>
    <w:basedOn w:val="1"/>
    <w:qFormat/>
    <w:uiPriority w:val="0"/>
    <w:pPr>
      <w:spacing w:after="120" w:line="240" w:lineRule="auto"/>
      <w:ind w:left="420" w:leftChars="200"/>
    </w:pPr>
    <w:rPr>
      <w:rFonts w:ascii="Times New Roman" w:hAnsi="Times New Roman"/>
      <w:sz w:val="21"/>
      <w:szCs w:val="24"/>
    </w:rPr>
  </w:style>
  <w:style w:type="paragraph" w:styleId="36">
    <w:name w:val="Block Text"/>
    <w:basedOn w:val="1"/>
    <w:qFormat/>
    <w:uiPriority w:val="0"/>
    <w:pPr>
      <w:spacing w:after="120" w:line="240" w:lineRule="auto"/>
      <w:ind w:left="1440" w:right="1440"/>
    </w:pPr>
    <w:rPr>
      <w:rFonts w:ascii="Times New Roman" w:hAnsi="Times New Roman"/>
      <w:sz w:val="21"/>
      <w:szCs w:val="24"/>
    </w:rPr>
  </w:style>
  <w:style w:type="paragraph" w:styleId="37">
    <w:name w:val="List Bullet 2"/>
    <w:basedOn w:val="1"/>
    <w:qFormat/>
    <w:uiPriority w:val="0"/>
    <w:pPr>
      <w:tabs>
        <w:tab w:val="left" w:pos="780"/>
      </w:tabs>
      <w:spacing w:line="240" w:lineRule="auto"/>
      <w:ind w:left="780" w:hanging="360"/>
    </w:pPr>
    <w:rPr>
      <w:rFonts w:ascii="Times New Roman" w:hAnsi="Times New Roman"/>
      <w:sz w:val="21"/>
      <w:szCs w:val="20"/>
    </w:rPr>
  </w:style>
  <w:style w:type="paragraph" w:styleId="38">
    <w:name w:val="index 4"/>
    <w:basedOn w:val="1"/>
    <w:next w:val="1"/>
    <w:qFormat/>
    <w:uiPriority w:val="0"/>
    <w:pPr>
      <w:spacing w:line="240" w:lineRule="auto"/>
      <w:ind w:left="600" w:leftChars="600"/>
    </w:pPr>
    <w:rPr>
      <w:rFonts w:ascii="Times New Roman" w:hAnsi="Times New Roman"/>
      <w:sz w:val="21"/>
      <w:szCs w:val="24"/>
    </w:rPr>
  </w:style>
  <w:style w:type="paragraph" w:styleId="39">
    <w:name w:val="toc 5"/>
    <w:basedOn w:val="1"/>
    <w:next w:val="1"/>
    <w:unhideWhenUsed/>
    <w:qFormat/>
    <w:uiPriority w:val="39"/>
    <w:pPr>
      <w:ind w:left="1120"/>
      <w:jc w:val="left"/>
    </w:pPr>
    <w:rPr>
      <w:rFonts w:cs="Calibri"/>
      <w:sz w:val="18"/>
      <w:szCs w:val="18"/>
    </w:rPr>
  </w:style>
  <w:style w:type="paragraph" w:styleId="40">
    <w:name w:val="toc 3"/>
    <w:basedOn w:val="1"/>
    <w:next w:val="1"/>
    <w:unhideWhenUsed/>
    <w:qFormat/>
    <w:uiPriority w:val="39"/>
    <w:pPr>
      <w:ind w:left="560"/>
      <w:jc w:val="left"/>
    </w:pPr>
    <w:rPr>
      <w:rFonts w:cs="Calibri"/>
      <w:i/>
      <w:iCs/>
      <w:sz w:val="20"/>
      <w:szCs w:val="20"/>
    </w:rPr>
  </w:style>
  <w:style w:type="paragraph" w:styleId="41">
    <w:name w:val="Plain Text"/>
    <w:basedOn w:val="1"/>
    <w:link w:val="180"/>
    <w:qFormat/>
    <w:uiPriority w:val="0"/>
    <w:pPr>
      <w:widowControl/>
      <w:spacing w:line="240" w:lineRule="auto"/>
      <w:jc w:val="left"/>
    </w:pPr>
    <w:rPr>
      <w:rFonts w:ascii="宋体" w:hAnsi="Courier New" w:cs="Courier New" w:eastAsiaTheme="minorEastAsia"/>
      <w:sz w:val="21"/>
      <w:szCs w:val="21"/>
    </w:rPr>
  </w:style>
  <w:style w:type="paragraph" w:styleId="42">
    <w:name w:val="List Number 4"/>
    <w:basedOn w:val="1"/>
    <w:qFormat/>
    <w:uiPriority w:val="0"/>
    <w:pPr>
      <w:tabs>
        <w:tab w:val="left" w:pos="1620"/>
      </w:tabs>
      <w:adjustRightInd w:val="0"/>
      <w:snapToGrid w:val="0"/>
      <w:spacing w:line="498" w:lineRule="atLeast"/>
      <w:ind w:left="1620" w:leftChars="600" w:hanging="360" w:hangingChars="200"/>
      <w:textAlignment w:val="baseline"/>
    </w:pPr>
    <w:rPr>
      <w:rFonts w:ascii="Times New Roman" w:hAnsi="Times New Roman"/>
      <w:kern w:val="0"/>
      <w:sz w:val="24"/>
      <w:szCs w:val="28"/>
    </w:rPr>
  </w:style>
  <w:style w:type="paragraph" w:styleId="43">
    <w:name w:val="toc 8"/>
    <w:basedOn w:val="1"/>
    <w:next w:val="1"/>
    <w:unhideWhenUsed/>
    <w:qFormat/>
    <w:uiPriority w:val="39"/>
    <w:pPr>
      <w:ind w:left="1960"/>
      <w:jc w:val="left"/>
    </w:pPr>
    <w:rPr>
      <w:rFonts w:cs="Calibri"/>
      <w:sz w:val="18"/>
      <w:szCs w:val="18"/>
    </w:rPr>
  </w:style>
  <w:style w:type="paragraph" w:styleId="44">
    <w:name w:val="index 3"/>
    <w:basedOn w:val="1"/>
    <w:next w:val="1"/>
    <w:qFormat/>
    <w:uiPriority w:val="0"/>
    <w:pPr>
      <w:spacing w:line="240" w:lineRule="auto"/>
      <w:ind w:left="400" w:leftChars="400"/>
    </w:pPr>
    <w:rPr>
      <w:rFonts w:ascii="Times New Roman" w:hAnsi="Times New Roman"/>
      <w:sz w:val="21"/>
      <w:szCs w:val="24"/>
    </w:rPr>
  </w:style>
  <w:style w:type="paragraph" w:styleId="45">
    <w:name w:val="Date"/>
    <w:basedOn w:val="1"/>
    <w:next w:val="1"/>
    <w:link w:val="202"/>
    <w:qFormat/>
    <w:uiPriority w:val="0"/>
    <w:pPr>
      <w:widowControl/>
      <w:spacing w:line="240" w:lineRule="auto"/>
      <w:ind w:left="100" w:leftChars="2500"/>
      <w:jc w:val="left"/>
    </w:pPr>
    <w:rPr>
      <w:rFonts w:ascii="Times New Roman" w:hAnsi="Times New Roman"/>
      <w:kern w:val="0"/>
      <w:sz w:val="20"/>
      <w:szCs w:val="20"/>
      <w:lang w:val="zh-CN"/>
    </w:rPr>
  </w:style>
  <w:style w:type="paragraph" w:styleId="46">
    <w:name w:val="Body Text Indent 2"/>
    <w:basedOn w:val="1"/>
    <w:link w:val="141"/>
    <w:qFormat/>
    <w:uiPriority w:val="0"/>
    <w:pPr>
      <w:widowControl/>
      <w:ind w:firstLine="566" w:firstLineChars="202"/>
    </w:pPr>
    <w:rPr>
      <w:rFonts w:asciiTheme="minorHAnsi" w:hAnsiTheme="minorHAnsi" w:eastAsiaTheme="minorEastAsia" w:cstheme="minorBidi"/>
      <w:szCs w:val="28"/>
    </w:rPr>
  </w:style>
  <w:style w:type="paragraph" w:styleId="47">
    <w:name w:val="endnote text"/>
    <w:basedOn w:val="1"/>
    <w:link w:val="164"/>
    <w:qFormat/>
    <w:uiPriority w:val="0"/>
    <w:pPr>
      <w:snapToGrid w:val="0"/>
      <w:jc w:val="left"/>
    </w:pPr>
    <w:rPr>
      <w:rFonts w:ascii="Times New Roman" w:hAnsi="Times New Roman" w:cs="Calibri" w:eastAsiaTheme="minorEastAsia"/>
      <w:sz w:val="24"/>
      <w:szCs w:val="21"/>
    </w:rPr>
  </w:style>
  <w:style w:type="paragraph" w:styleId="48">
    <w:name w:val="Balloon Text"/>
    <w:basedOn w:val="1"/>
    <w:link w:val="114"/>
    <w:unhideWhenUsed/>
    <w:qFormat/>
    <w:uiPriority w:val="0"/>
    <w:pPr>
      <w:spacing w:line="240" w:lineRule="auto"/>
    </w:pPr>
    <w:rPr>
      <w:sz w:val="18"/>
      <w:szCs w:val="18"/>
    </w:rPr>
  </w:style>
  <w:style w:type="paragraph" w:styleId="49">
    <w:name w:val="footer"/>
    <w:basedOn w:val="1"/>
    <w:link w:val="100"/>
    <w:unhideWhenUsed/>
    <w:qFormat/>
    <w:uiPriority w:val="99"/>
    <w:pPr>
      <w:tabs>
        <w:tab w:val="center" w:pos="4153"/>
        <w:tab w:val="right" w:pos="8306"/>
      </w:tabs>
      <w:snapToGrid w:val="0"/>
      <w:jc w:val="left"/>
    </w:pPr>
    <w:rPr>
      <w:sz w:val="18"/>
      <w:szCs w:val="18"/>
    </w:rPr>
  </w:style>
  <w:style w:type="paragraph" w:styleId="50">
    <w:name w:val="envelope return"/>
    <w:basedOn w:val="1"/>
    <w:qFormat/>
    <w:uiPriority w:val="0"/>
    <w:pPr>
      <w:snapToGrid w:val="0"/>
      <w:spacing w:line="240" w:lineRule="auto"/>
    </w:pPr>
    <w:rPr>
      <w:rFonts w:ascii="Arial" w:hAnsi="Arial" w:cs="Arial"/>
      <w:sz w:val="21"/>
      <w:szCs w:val="24"/>
    </w:rPr>
  </w:style>
  <w:style w:type="paragraph" w:styleId="51">
    <w:name w:val="Body Text First Indent 2"/>
    <w:basedOn w:val="32"/>
    <w:link w:val="406"/>
    <w:qFormat/>
    <w:uiPriority w:val="0"/>
    <w:pPr>
      <w:spacing w:line="240" w:lineRule="auto"/>
      <w:ind w:firstLine="420" w:firstLineChars="200"/>
    </w:pPr>
    <w:rPr>
      <w:sz w:val="28"/>
    </w:rPr>
  </w:style>
  <w:style w:type="paragraph" w:styleId="52">
    <w:name w:val="header"/>
    <w:basedOn w:val="1"/>
    <w:link w:val="99"/>
    <w:unhideWhenUsed/>
    <w:qFormat/>
    <w:uiPriority w:val="0"/>
    <w:pPr>
      <w:pBdr>
        <w:bottom w:val="single" w:color="auto" w:sz="6" w:space="1"/>
      </w:pBdr>
      <w:tabs>
        <w:tab w:val="center" w:pos="4153"/>
        <w:tab w:val="right" w:pos="8306"/>
      </w:tabs>
      <w:snapToGrid w:val="0"/>
      <w:jc w:val="center"/>
    </w:pPr>
    <w:rPr>
      <w:sz w:val="18"/>
      <w:szCs w:val="18"/>
    </w:rPr>
  </w:style>
  <w:style w:type="paragraph" w:styleId="53">
    <w:name w:val="Signature"/>
    <w:basedOn w:val="1"/>
    <w:link w:val="206"/>
    <w:qFormat/>
    <w:uiPriority w:val="0"/>
    <w:pPr>
      <w:spacing w:line="240" w:lineRule="auto"/>
      <w:ind w:left="100" w:leftChars="2100"/>
    </w:pPr>
    <w:rPr>
      <w:rFonts w:ascii="Times New Roman" w:hAnsi="Times New Roman"/>
      <w:sz w:val="21"/>
      <w:szCs w:val="20"/>
      <w:lang w:val="zh-CN"/>
    </w:rPr>
  </w:style>
  <w:style w:type="paragraph" w:styleId="54">
    <w:name w:val="toc 1"/>
    <w:basedOn w:val="1"/>
    <w:next w:val="1"/>
    <w:unhideWhenUsed/>
    <w:qFormat/>
    <w:uiPriority w:val="39"/>
    <w:pPr>
      <w:spacing w:before="120" w:after="120" w:line="340" w:lineRule="exact"/>
      <w:jc w:val="center"/>
    </w:pPr>
    <w:rPr>
      <w:rFonts w:ascii="Times New Roman" w:hAnsi="Times New Roman" w:eastAsiaTheme="minorEastAsia"/>
      <w:bCs/>
      <w:caps/>
      <w:sz w:val="21"/>
      <w:szCs w:val="21"/>
    </w:rPr>
  </w:style>
  <w:style w:type="paragraph" w:styleId="55">
    <w:name w:val="List Continue 4"/>
    <w:basedOn w:val="1"/>
    <w:uiPriority w:val="0"/>
    <w:pPr>
      <w:spacing w:after="120" w:line="240" w:lineRule="auto"/>
      <w:ind w:left="1680" w:leftChars="800"/>
    </w:pPr>
    <w:rPr>
      <w:rFonts w:ascii="Times New Roman" w:hAnsi="Times New Roman"/>
      <w:sz w:val="21"/>
      <w:szCs w:val="24"/>
    </w:rPr>
  </w:style>
  <w:style w:type="paragraph" w:styleId="56">
    <w:name w:val="toc 4"/>
    <w:basedOn w:val="1"/>
    <w:next w:val="1"/>
    <w:unhideWhenUsed/>
    <w:uiPriority w:val="39"/>
    <w:pPr>
      <w:ind w:left="840"/>
      <w:jc w:val="left"/>
    </w:pPr>
    <w:rPr>
      <w:rFonts w:cs="Calibri"/>
      <w:sz w:val="18"/>
      <w:szCs w:val="18"/>
    </w:rPr>
  </w:style>
  <w:style w:type="paragraph" w:styleId="57">
    <w:name w:val="index heading"/>
    <w:basedOn w:val="1"/>
    <w:next w:val="58"/>
    <w:uiPriority w:val="0"/>
    <w:pPr>
      <w:spacing w:line="240" w:lineRule="auto"/>
    </w:pPr>
    <w:rPr>
      <w:rFonts w:ascii="Times New Roman" w:hAnsi="Times New Roman"/>
      <w:sz w:val="21"/>
      <w:szCs w:val="24"/>
    </w:rPr>
  </w:style>
  <w:style w:type="paragraph" w:styleId="58">
    <w:name w:val="index 1"/>
    <w:basedOn w:val="1"/>
    <w:next w:val="1"/>
    <w:unhideWhenUsed/>
    <w:qFormat/>
    <w:uiPriority w:val="0"/>
    <w:pPr>
      <w:spacing w:line="240" w:lineRule="auto"/>
    </w:pPr>
    <w:rPr>
      <w:rFonts w:ascii="Times New Roman" w:hAnsi="Times New Roman"/>
      <w:sz w:val="21"/>
      <w:szCs w:val="24"/>
    </w:rPr>
  </w:style>
  <w:style w:type="paragraph" w:styleId="59">
    <w:name w:val="Subtitle"/>
    <w:basedOn w:val="1"/>
    <w:link w:val="203"/>
    <w:qFormat/>
    <w:uiPriority w:val="0"/>
    <w:pPr>
      <w:spacing w:before="240" w:after="60" w:line="312" w:lineRule="auto"/>
      <w:jc w:val="center"/>
      <w:outlineLvl w:val="1"/>
    </w:pPr>
    <w:rPr>
      <w:rFonts w:ascii="Arial" w:hAnsi="Arial"/>
      <w:b/>
      <w:bCs/>
      <w:kern w:val="28"/>
      <w:sz w:val="32"/>
      <w:szCs w:val="32"/>
      <w:lang w:val="zh-CN"/>
    </w:rPr>
  </w:style>
  <w:style w:type="paragraph" w:styleId="60">
    <w:name w:val="List Number 5"/>
    <w:basedOn w:val="1"/>
    <w:uiPriority w:val="0"/>
    <w:pPr>
      <w:tabs>
        <w:tab w:val="left" w:pos="2040"/>
      </w:tabs>
      <w:adjustRightInd w:val="0"/>
      <w:snapToGrid w:val="0"/>
      <w:spacing w:line="498" w:lineRule="atLeast"/>
      <w:ind w:left="2040" w:leftChars="800" w:hanging="360" w:hangingChars="200"/>
      <w:textAlignment w:val="baseline"/>
    </w:pPr>
    <w:rPr>
      <w:rFonts w:ascii="Times New Roman" w:hAnsi="Times New Roman"/>
      <w:kern w:val="0"/>
      <w:sz w:val="24"/>
      <w:szCs w:val="28"/>
    </w:rPr>
  </w:style>
  <w:style w:type="paragraph" w:styleId="61">
    <w:name w:val="List"/>
    <w:basedOn w:val="1"/>
    <w:uiPriority w:val="0"/>
    <w:pPr>
      <w:adjustRightInd w:val="0"/>
      <w:spacing w:line="460" w:lineRule="exact"/>
      <w:ind w:left="1276" w:hanging="425"/>
      <w:jc w:val="left"/>
      <w:textAlignment w:val="baseline"/>
    </w:pPr>
    <w:rPr>
      <w:rFonts w:ascii="Times New Roman" w:hAnsi="Times New Roman"/>
      <w:kern w:val="0"/>
      <w:sz w:val="24"/>
      <w:szCs w:val="20"/>
    </w:rPr>
  </w:style>
  <w:style w:type="paragraph" w:styleId="62">
    <w:name w:val="footnote text"/>
    <w:basedOn w:val="1"/>
    <w:link w:val="438"/>
    <w:qFormat/>
    <w:uiPriority w:val="0"/>
    <w:pPr>
      <w:snapToGrid w:val="0"/>
      <w:spacing w:line="240" w:lineRule="auto"/>
      <w:jc w:val="left"/>
    </w:pPr>
    <w:rPr>
      <w:rFonts w:ascii="Times New Roman" w:hAnsi="Times New Roman"/>
      <w:sz w:val="18"/>
      <w:szCs w:val="18"/>
    </w:rPr>
  </w:style>
  <w:style w:type="paragraph" w:styleId="63">
    <w:name w:val="toc 6"/>
    <w:basedOn w:val="1"/>
    <w:next w:val="1"/>
    <w:unhideWhenUsed/>
    <w:uiPriority w:val="39"/>
    <w:pPr>
      <w:ind w:left="1400"/>
      <w:jc w:val="left"/>
    </w:pPr>
    <w:rPr>
      <w:rFonts w:cs="Calibri"/>
      <w:sz w:val="18"/>
      <w:szCs w:val="18"/>
    </w:rPr>
  </w:style>
  <w:style w:type="paragraph" w:styleId="64">
    <w:name w:val="List 5"/>
    <w:basedOn w:val="1"/>
    <w:uiPriority w:val="0"/>
    <w:pPr>
      <w:spacing w:line="240" w:lineRule="auto"/>
      <w:ind w:left="100" w:leftChars="800" w:hanging="200" w:hangingChars="200"/>
    </w:pPr>
    <w:rPr>
      <w:rFonts w:ascii="Times New Roman" w:hAnsi="Times New Roman"/>
      <w:szCs w:val="20"/>
    </w:rPr>
  </w:style>
  <w:style w:type="paragraph" w:styleId="65">
    <w:name w:val="Body Text Indent 3"/>
    <w:basedOn w:val="1"/>
    <w:link w:val="134"/>
    <w:uiPriority w:val="0"/>
    <w:pPr>
      <w:spacing w:after="120" w:line="240" w:lineRule="auto"/>
      <w:ind w:left="420" w:leftChars="200"/>
    </w:pPr>
    <w:rPr>
      <w:rFonts w:asciiTheme="minorHAnsi" w:hAnsiTheme="minorHAnsi" w:eastAsiaTheme="minorEastAsia" w:cstheme="minorBidi"/>
      <w:sz w:val="16"/>
      <w:szCs w:val="16"/>
    </w:rPr>
  </w:style>
  <w:style w:type="paragraph" w:styleId="66">
    <w:name w:val="index 7"/>
    <w:basedOn w:val="1"/>
    <w:next w:val="1"/>
    <w:uiPriority w:val="0"/>
    <w:pPr>
      <w:spacing w:line="240" w:lineRule="auto"/>
      <w:ind w:left="1200" w:leftChars="1200"/>
    </w:pPr>
    <w:rPr>
      <w:rFonts w:ascii="Times New Roman" w:hAnsi="Times New Roman"/>
      <w:sz w:val="21"/>
      <w:szCs w:val="24"/>
    </w:rPr>
  </w:style>
  <w:style w:type="paragraph" w:styleId="67">
    <w:name w:val="index 9"/>
    <w:basedOn w:val="1"/>
    <w:next w:val="1"/>
    <w:uiPriority w:val="0"/>
    <w:pPr>
      <w:spacing w:line="240" w:lineRule="auto"/>
      <w:ind w:left="1600" w:leftChars="1600"/>
    </w:pPr>
    <w:rPr>
      <w:rFonts w:ascii="Times New Roman" w:hAnsi="Times New Roman"/>
      <w:sz w:val="21"/>
      <w:szCs w:val="24"/>
    </w:rPr>
  </w:style>
  <w:style w:type="paragraph" w:styleId="68">
    <w:name w:val="table of figures"/>
    <w:basedOn w:val="1"/>
    <w:next w:val="1"/>
    <w:uiPriority w:val="0"/>
    <w:pPr>
      <w:tabs>
        <w:tab w:val="left" w:pos="510"/>
      </w:tabs>
      <w:adjustRightInd w:val="0"/>
      <w:spacing w:line="240" w:lineRule="atLeast"/>
      <w:jc w:val="left"/>
      <w:textAlignment w:val="baseline"/>
    </w:pPr>
    <w:rPr>
      <w:rFonts w:ascii="Times New Roman" w:hAnsi="Times New Roman"/>
      <w:kern w:val="0"/>
      <w:sz w:val="24"/>
      <w:szCs w:val="20"/>
    </w:rPr>
  </w:style>
  <w:style w:type="paragraph" w:styleId="69">
    <w:name w:val="toc 2"/>
    <w:basedOn w:val="1"/>
    <w:next w:val="1"/>
    <w:unhideWhenUsed/>
    <w:qFormat/>
    <w:uiPriority w:val="39"/>
    <w:pPr>
      <w:ind w:left="280"/>
      <w:jc w:val="left"/>
    </w:pPr>
    <w:rPr>
      <w:rFonts w:ascii="Times New Roman" w:hAnsi="Times New Roman" w:cs="Calibri"/>
      <w:smallCaps/>
      <w:sz w:val="24"/>
      <w:szCs w:val="20"/>
    </w:rPr>
  </w:style>
  <w:style w:type="paragraph" w:styleId="70">
    <w:name w:val="toc 9"/>
    <w:basedOn w:val="1"/>
    <w:next w:val="1"/>
    <w:unhideWhenUsed/>
    <w:uiPriority w:val="39"/>
    <w:pPr>
      <w:ind w:left="2240"/>
      <w:jc w:val="left"/>
    </w:pPr>
    <w:rPr>
      <w:rFonts w:cs="Calibri"/>
      <w:sz w:val="18"/>
      <w:szCs w:val="18"/>
    </w:rPr>
  </w:style>
  <w:style w:type="paragraph" w:styleId="71">
    <w:name w:val="Body Text 2"/>
    <w:basedOn w:val="1"/>
    <w:link w:val="174"/>
    <w:qFormat/>
    <w:uiPriority w:val="0"/>
    <w:pPr>
      <w:spacing w:after="120" w:line="480" w:lineRule="auto"/>
    </w:pPr>
    <w:rPr>
      <w:rFonts w:asciiTheme="minorHAnsi" w:hAnsiTheme="minorHAnsi" w:eastAsiaTheme="minorEastAsia" w:cstheme="minorBidi"/>
      <w:sz w:val="21"/>
    </w:rPr>
  </w:style>
  <w:style w:type="paragraph" w:styleId="72">
    <w:name w:val="List 4"/>
    <w:basedOn w:val="1"/>
    <w:qFormat/>
    <w:uiPriority w:val="0"/>
    <w:pPr>
      <w:spacing w:line="240" w:lineRule="auto"/>
      <w:ind w:left="100" w:leftChars="600" w:hanging="200" w:hangingChars="200"/>
    </w:pPr>
    <w:rPr>
      <w:rFonts w:ascii="Times New Roman" w:hAnsi="Times New Roman"/>
      <w:sz w:val="21"/>
      <w:szCs w:val="24"/>
    </w:rPr>
  </w:style>
  <w:style w:type="paragraph" w:styleId="73">
    <w:name w:val="List Continue 2"/>
    <w:basedOn w:val="1"/>
    <w:qFormat/>
    <w:uiPriority w:val="0"/>
    <w:pPr>
      <w:spacing w:after="120" w:line="240" w:lineRule="auto"/>
      <w:ind w:left="840" w:leftChars="400"/>
    </w:pPr>
    <w:rPr>
      <w:rFonts w:ascii="Times New Roman" w:hAnsi="Times New Roman"/>
      <w:sz w:val="21"/>
      <w:szCs w:val="24"/>
    </w:rPr>
  </w:style>
  <w:style w:type="paragraph" w:styleId="74">
    <w:name w:val="HTML Preformatted"/>
    <w:basedOn w:val="1"/>
    <w:link w:val="6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75">
    <w:name w:val="Normal (Web)"/>
    <w:basedOn w:val="1"/>
    <w:uiPriority w:val="99"/>
    <w:pPr>
      <w:widowControl/>
      <w:spacing w:before="100" w:beforeAutospacing="1" w:after="100" w:afterAutospacing="1" w:line="240" w:lineRule="auto"/>
      <w:jc w:val="left"/>
    </w:pPr>
    <w:rPr>
      <w:rFonts w:ascii="宋体" w:hAnsi="宋体" w:cs="宋体"/>
      <w:kern w:val="0"/>
      <w:sz w:val="24"/>
      <w:szCs w:val="24"/>
    </w:rPr>
  </w:style>
  <w:style w:type="paragraph" w:styleId="76">
    <w:name w:val="List Continue 3"/>
    <w:basedOn w:val="1"/>
    <w:qFormat/>
    <w:uiPriority w:val="0"/>
    <w:pPr>
      <w:spacing w:after="120" w:line="240" w:lineRule="auto"/>
      <w:ind w:left="1260" w:leftChars="600"/>
    </w:pPr>
    <w:rPr>
      <w:rFonts w:ascii="Times New Roman" w:hAnsi="Times New Roman"/>
      <w:szCs w:val="20"/>
    </w:rPr>
  </w:style>
  <w:style w:type="paragraph" w:styleId="77">
    <w:name w:val="index 2"/>
    <w:basedOn w:val="1"/>
    <w:next w:val="1"/>
    <w:qFormat/>
    <w:uiPriority w:val="0"/>
    <w:pPr>
      <w:spacing w:line="240" w:lineRule="auto"/>
      <w:ind w:left="200" w:leftChars="200"/>
    </w:pPr>
    <w:rPr>
      <w:rFonts w:ascii="Times New Roman" w:hAnsi="Times New Roman"/>
      <w:sz w:val="21"/>
      <w:szCs w:val="24"/>
    </w:rPr>
  </w:style>
  <w:style w:type="paragraph" w:styleId="78">
    <w:name w:val="Title"/>
    <w:basedOn w:val="1"/>
    <w:next w:val="2"/>
    <w:link w:val="667"/>
    <w:qFormat/>
    <w:uiPriority w:val="0"/>
    <w:pPr>
      <w:spacing w:before="240" w:after="60" w:line="240" w:lineRule="auto"/>
      <w:jc w:val="center"/>
      <w:outlineLvl w:val="0"/>
    </w:pPr>
    <w:rPr>
      <w:rFonts w:ascii="Arial" w:hAnsi="Arial" w:cs="Arial"/>
      <w:b/>
      <w:bCs/>
      <w:sz w:val="32"/>
      <w:szCs w:val="32"/>
    </w:rPr>
  </w:style>
  <w:style w:type="character" w:styleId="80">
    <w:name w:val="Strong"/>
    <w:qFormat/>
    <w:uiPriority w:val="0"/>
    <w:rPr>
      <w:b/>
      <w:bCs/>
    </w:rPr>
  </w:style>
  <w:style w:type="character" w:styleId="81">
    <w:name w:val="endnote reference"/>
    <w:qFormat/>
    <w:uiPriority w:val="0"/>
    <w:rPr>
      <w:vertAlign w:val="superscript"/>
    </w:rPr>
  </w:style>
  <w:style w:type="character" w:styleId="82">
    <w:name w:val="page number"/>
    <w:qFormat/>
    <w:uiPriority w:val="0"/>
  </w:style>
  <w:style w:type="character" w:styleId="83">
    <w:name w:val="FollowedHyperlink"/>
    <w:qFormat/>
    <w:uiPriority w:val="99"/>
    <w:rPr>
      <w:color w:val="800080"/>
      <w:u w:val="single"/>
    </w:rPr>
  </w:style>
  <w:style w:type="character" w:styleId="84">
    <w:name w:val="Emphasis"/>
    <w:qFormat/>
    <w:uiPriority w:val="0"/>
    <w:rPr>
      <w:i/>
      <w:iCs/>
    </w:rPr>
  </w:style>
  <w:style w:type="character" w:styleId="85">
    <w:name w:val="HTML Typewriter"/>
    <w:qFormat/>
    <w:uiPriority w:val="0"/>
  </w:style>
  <w:style w:type="character" w:styleId="86">
    <w:name w:val="Hyperlink"/>
    <w:unhideWhenUsed/>
    <w:qFormat/>
    <w:uiPriority w:val="99"/>
    <w:rPr>
      <w:color w:val="0000FF"/>
      <w:u w:val="single"/>
    </w:rPr>
  </w:style>
  <w:style w:type="character" w:styleId="87">
    <w:name w:val="annotation reference"/>
    <w:qFormat/>
    <w:uiPriority w:val="0"/>
    <w:rPr>
      <w:sz w:val="21"/>
      <w:szCs w:val="21"/>
    </w:rPr>
  </w:style>
  <w:style w:type="character" w:styleId="88">
    <w:name w:val="HTML Cite"/>
    <w:unhideWhenUsed/>
    <w:qFormat/>
    <w:uiPriority w:val="99"/>
    <w:rPr>
      <w:color w:val="008000"/>
    </w:rPr>
  </w:style>
  <w:style w:type="character" w:styleId="89">
    <w:name w:val="footnote reference"/>
    <w:qFormat/>
    <w:uiPriority w:val="0"/>
    <w:rPr>
      <w:vertAlign w:val="superscript"/>
    </w:rPr>
  </w:style>
  <w:style w:type="table" w:styleId="91">
    <w:name w:val="Table Grid"/>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2">
    <w:name w:val="Table Theme"/>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3">
    <w:name w:val="Table Elegant"/>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94">
    <w:name w:val="Table Simple 1"/>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95">
    <w:name w:val="Table Grid 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96">
    <w:name w:val="Table Grid 5"/>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97">
    <w:name w:val="Table Grid 7"/>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98">
    <w:name w:val="Table Professional"/>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character" w:customStyle="1" w:styleId="99">
    <w:name w:val="页眉 Char"/>
    <w:basedOn w:val="79"/>
    <w:link w:val="52"/>
    <w:qFormat/>
    <w:uiPriority w:val="0"/>
    <w:rPr>
      <w:sz w:val="18"/>
      <w:szCs w:val="18"/>
    </w:rPr>
  </w:style>
  <w:style w:type="character" w:customStyle="1" w:styleId="100">
    <w:name w:val="页脚 Char"/>
    <w:basedOn w:val="79"/>
    <w:link w:val="49"/>
    <w:qFormat/>
    <w:uiPriority w:val="99"/>
    <w:rPr>
      <w:sz w:val="18"/>
      <w:szCs w:val="18"/>
    </w:rPr>
  </w:style>
  <w:style w:type="paragraph" w:customStyle="1" w:styleId="101">
    <w:name w:val="章节标题"/>
    <w:basedOn w:val="1"/>
    <w:qFormat/>
    <w:uiPriority w:val="0"/>
    <w:pPr>
      <w:spacing w:beforeLines="250" w:afterLines="250"/>
      <w:jc w:val="center"/>
      <w:outlineLvl w:val="0"/>
    </w:pPr>
    <w:rPr>
      <w:rFonts w:eastAsia="黑体"/>
      <w:sz w:val="36"/>
    </w:rPr>
  </w:style>
  <w:style w:type="paragraph" w:customStyle="1" w:styleId="102">
    <w:name w:val="标题 1（副）"/>
    <w:basedOn w:val="1"/>
    <w:qFormat/>
    <w:uiPriority w:val="0"/>
    <w:pPr>
      <w:numPr>
        <w:ilvl w:val="1"/>
        <w:numId w:val="3"/>
      </w:numPr>
    </w:pPr>
  </w:style>
  <w:style w:type="paragraph" w:customStyle="1" w:styleId="103">
    <w:name w:val="一级标题"/>
    <w:basedOn w:val="1"/>
    <w:qFormat/>
    <w:uiPriority w:val="0"/>
    <w:pPr>
      <w:numPr>
        <w:ilvl w:val="2"/>
        <w:numId w:val="3"/>
      </w:numPr>
      <w:outlineLvl w:val="1"/>
    </w:pPr>
    <w:rPr>
      <w:rFonts w:ascii="黑体" w:hAnsi="黑体" w:eastAsia="黑体"/>
      <w:b/>
      <w:sz w:val="30"/>
      <w:szCs w:val="30"/>
    </w:rPr>
  </w:style>
  <w:style w:type="paragraph" w:customStyle="1" w:styleId="104">
    <w:name w:val="三级标题"/>
    <w:basedOn w:val="1"/>
    <w:link w:val="119"/>
    <w:qFormat/>
    <w:uiPriority w:val="0"/>
    <w:pPr>
      <w:adjustRightInd w:val="0"/>
      <w:contextualSpacing/>
      <w:outlineLvl w:val="3"/>
    </w:pPr>
    <w:rPr>
      <w:rFonts w:ascii="Times New Roman" w:hAnsi="Times New Roman" w:eastAsiaTheme="minorEastAsia"/>
      <w:b/>
      <w:sz w:val="24"/>
      <w:szCs w:val="24"/>
    </w:rPr>
  </w:style>
  <w:style w:type="paragraph" w:customStyle="1" w:styleId="105">
    <w:name w:val="四级标题"/>
    <w:basedOn w:val="1"/>
    <w:qFormat/>
    <w:uiPriority w:val="0"/>
    <w:pPr>
      <w:numPr>
        <w:ilvl w:val="5"/>
        <w:numId w:val="3"/>
      </w:numPr>
      <w:ind w:firstLine="565" w:firstLineChars="201"/>
      <w:outlineLvl w:val="4"/>
    </w:pPr>
    <w:rPr>
      <w:rFonts w:ascii="Times New Roman" w:hAnsi="Times New Roman"/>
      <w:b/>
    </w:rPr>
  </w:style>
  <w:style w:type="paragraph" w:customStyle="1" w:styleId="106">
    <w:name w:val="五级标题"/>
    <w:basedOn w:val="1"/>
    <w:qFormat/>
    <w:uiPriority w:val="0"/>
    <w:pPr>
      <w:numPr>
        <w:ilvl w:val="6"/>
        <w:numId w:val="3"/>
      </w:numPr>
    </w:pPr>
  </w:style>
  <w:style w:type="character" w:customStyle="1" w:styleId="107">
    <w:name w:val="标题 2 Char"/>
    <w:basedOn w:val="79"/>
    <w:link w:val="3"/>
    <w:uiPriority w:val="9"/>
    <w:rPr>
      <w:rFonts w:ascii="Times New Roman" w:hAnsi="Times New Roman" w:eastAsia="黑体" w:cs="Times New Roman"/>
      <w:b/>
      <w:bCs/>
      <w:sz w:val="24"/>
      <w:szCs w:val="24"/>
    </w:rPr>
  </w:style>
  <w:style w:type="paragraph" w:customStyle="1" w:styleId="108">
    <w:name w:val="二级标题"/>
    <w:basedOn w:val="1"/>
    <w:link w:val="120"/>
    <w:qFormat/>
    <w:uiPriority w:val="0"/>
    <w:pPr>
      <w:outlineLvl w:val="2"/>
    </w:pPr>
    <w:rPr>
      <w:rFonts w:ascii="Times New Roman" w:hAnsi="Times New Roman" w:eastAsia="黑体"/>
      <w:bCs/>
      <w:szCs w:val="32"/>
    </w:rPr>
  </w:style>
  <w:style w:type="paragraph" w:customStyle="1" w:styleId="109">
    <w:name w:val="+正文"/>
    <w:basedOn w:val="1"/>
    <w:qFormat/>
    <w:uiPriority w:val="0"/>
    <w:pPr>
      <w:ind w:firstLine="200" w:firstLineChars="200"/>
    </w:pPr>
    <w:rPr>
      <w:rFonts w:ascii="Times New Roman" w:hAnsi="Times New Roman"/>
      <w:sz w:val="24"/>
      <w:szCs w:val="20"/>
    </w:rPr>
  </w:style>
  <w:style w:type="paragraph" w:customStyle="1" w:styleId="110">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111">
    <w:name w:val="标题 3 Char"/>
    <w:basedOn w:val="79"/>
    <w:link w:val="4"/>
    <w:uiPriority w:val="0"/>
    <w:rPr>
      <w:rFonts w:ascii="Calibri" w:hAnsi="Calibri" w:eastAsia="宋体" w:cs="Times New Roman"/>
      <w:b/>
      <w:bCs/>
      <w:sz w:val="32"/>
      <w:szCs w:val="32"/>
    </w:rPr>
  </w:style>
  <w:style w:type="character" w:customStyle="1" w:styleId="112">
    <w:name w:val="正文文本 Char"/>
    <w:basedOn w:val="79"/>
    <w:link w:val="31"/>
    <w:uiPriority w:val="0"/>
    <w:rPr>
      <w:rFonts w:ascii="Calibri" w:hAnsi="Calibri" w:eastAsia="宋体"/>
      <w:kern w:val="0"/>
      <w:sz w:val="24"/>
      <w:szCs w:val="24"/>
    </w:rPr>
  </w:style>
  <w:style w:type="paragraph" w:customStyle="1" w:styleId="113">
    <w:name w:val="表格文字"/>
    <w:basedOn w:val="1"/>
    <w:link w:val="657"/>
    <w:qFormat/>
    <w:uiPriority w:val="0"/>
    <w:pPr>
      <w:spacing w:line="240" w:lineRule="auto"/>
      <w:jc w:val="center"/>
    </w:pPr>
    <w:rPr>
      <w:rFonts w:ascii="仿宋_GB2312" w:hAnsi="Arial Black" w:eastAsia="仿宋_GB2312"/>
      <w:kern w:val="44"/>
      <w:sz w:val="24"/>
      <w:szCs w:val="24"/>
    </w:rPr>
  </w:style>
  <w:style w:type="character" w:customStyle="1" w:styleId="114">
    <w:name w:val="批注框文本 Char"/>
    <w:basedOn w:val="79"/>
    <w:link w:val="48"/>
    <w:qFormat/>
    <w:uiPriority w:val="0"/>
    <w:rPr>
      <w:rFonts w:ascii="Calibri" w:hAnsi="Calibri" w:eastAsia="宋体" w:cs="Times New Roman"/>
      <w:sz w:val="18"/>
      <w:szCs w:val="18"/>
    </w:rPr>
  </w:style>
  <w:style w:type="character" w:customStyle="1" w:styleId="115">
    <w:name w:val="Comment Text Char1"/>
    <w:semiHidden/>
    <w:uiPriority w:val="99"/>
    <w:rPr>
      <w:kern w:val="2"/>
      <w:sz w:val="21"/>
      <w:szCs w:val="24"/>
    </w:rPr>
  </w:style>
  <w:style w:type="paragraph" w:customStyle="1" w:styleId="116">
    <w:name w:val="表文"/>
    <w:basedOn w:val="1"/>
    <w:link w:val="1888"/>
    <w:qFormat/>
    <w:uiPriority w:val="0"/>
    <w:pPr>
      <w:framePr w:hSpace="180" w:wrap="around" w:vAnchor="text" w:hAnchor="margin" w:xAlign="center" w:y="35"/>
      <w:spacing w:line="240" w:lineRule="auto"/>
      <w:ind w:left="-110" w:leftChars="-46" w:firstLine="360"/>
      <w:jc w:val="center"/>
    </w:pPr>
    <w:rPr>
      <w:rFonts w:ascii="Times New Roman" w:hAnsi="Times New Roman"/>
      <w:color w:val="4F81BD"/>
      <w:sz w:val="21"/>
      <w:szCs w:val="20"/>
    </w:rPr>
  </w:style>
  <w:style w:type="character" w:customStyle="1" w:styleId="117">
    <w:name w:val="正文01 Char"/>
    <w:link w:val="118"/>
    <w:uiPriority w:val="0"/>
    <w:rPr>
      <w:rFonts w:eastAsia="宋体"/>
      <w:sz w:val="24"/>
      <w:szCs w:val="24"/>
    </w:rPr>
  </w:style>
  <w:style w:type="paragraph" w:customStyle="1" w:styleId="118">
    <w:name w:val="正文01"/>
    <w:basedOn w:val="1"/>
    <w:link w:val="117"/>
    <w:qFormat/>
    <w:uiPriority w:val="0"/>
    <w:pPr>
      <w:widowControl/>
      <w:spacing w:line="460" w:lineRule="exact"/>
      <w:jc w:val="left"/>
    </w:pPr>
    <w:rPr>
      <w:rFonts w:asciiTheme="minorHAnsi" w:hAnsiTheme="minorHAnsi" w:cstheme="minorBidi"/>
      <w:sz w:val="24"/>
      <w:szCs w:val="24"/>
    </w:rPr>
  </w:style>
  <w:style w:type="character" w:customStyle="1" w:styleId="119">
    <w:name w:val="三级标题 Char"/>
    <w:link w:val="104"/>
    <w:locked/>
    <w:uiPriority w:val="0"/>
    <w:rPr>
      <w:rFonts w:ascii="Times New Roman" w:hAnsi="Times New Roman" w:cs="Times New Roman"/>
      <w:b/>
      <w:sz w:val="24"/>
      <w:szCs w:val="24"/>
    </w:rPr>
  </w:style>
  <w:style w:type="character" w:customStyle="1" w:styleId="120">
    <w:name w:val="二级标题 Char"/>
    <w:link w:val="108"/>
    <w:qFormat/>
    <w:locked/>
    <w:uiPriority w:val="0"/>
    <w:rPr>
      <w:rFonts w:ascii="Times New Roman" w:hAnsi="Times New Roman" w:eastAsia="黑体" w:cs="Times New Roman"/>
      <w:bCs/>
      <w:sz w:val="28"/>
      <w:szCs w:val="32"/>
    </w:rPr>
  </w:style>
  <w:style w:type="character" w:customStyle="1" w:styleId="121">
    <w:name w:val="标题 1 Char"/>
    <w:basedOn w:val="79"/>
    <w:link w:val="2"/>
    <w:qFormat/>
    <w:uiPriority w:val="0"/>
    <w:rPr>
      <w:rFonts w:ascii="Calibri" w:hAnsi="Calibri" w:eastAsia="宋体" w:cs="Times New Roman"/>
      <w:b/>
      <w:bCs/>
      <w:kern w:val="44"/>
      <w:sz w:val="44"/>
      <w:szCs w:val="44"/>
    </w:rPr>
  </w:style>
  <w:style w:type="character" w:customStyle="1" w:styleId="122">
    <w:name w:val="标题 4 Char"/>
    <w:basedOn w:val="79"/>
    <w:link w:val="5"/>
    <w:uiPriority w:val="0"/>
    <w:rPr>
      <w:rFonts w:ascii="Cambria" w:hAnsi="Cambria" w:eastAsia="宋体" w:cs="Times New Roman"/>
      <w:b/>
      <w:bCs/>
      <w:sz w:val="28"/>
      <w:szCs w:val="28"/>
    </w:rPr>
  </w:style>
  <w:style w:type="character" w:customStyle="1" w:styleId="123">
    <w:name w:val="标题 5 Char"/>
    <w:basedOn w:val="79"/>
    <w:link w:val="6"/>
    <w:qFormat/>
    <w:uiPriority w:val="0"/>
    <w:rPr>
      <w:rFonts w:ascii="Calibri" w:hAnsi="Calibri" w:eastAsia="宋体" w:cs="Times New Roman"/>
      <w:b/>
      <w:bCs/>
      <w:sz w:val="28"/>
      <w:szCs w:val="28"/>
    </w:rPr>
  </w:style>
  <w:style w:type="character" w:customStyle="1" w:styleId="124">
    <w:name w:val="标题 6 Char"/>
    <w:basedOn w:val="79"/>
    <w:link w:val="7"/>
    <w:uiPriority w:val="0"/>
    <w:rPr>
      <w:rFonts w:ascii="Cambria" w:hAnsi="Cambria" w:eastAsia="宋体" w:cs="Times New Roman"/>
      <w:b/>
      <w:bCs/>
      <w:sz w:val="24"/>
      <w:szCs w:val="24"/>
    </w:rPr>
  </w:style>
  <w:style w:type="character" w:customStyle="1" w:styleId="125">
    <w:name w:val="标题 7 Char"/>
    <w:basedOn w:val="79"/>
    <w:link w:val="8"/>
    <w:qFormat/>
    <w:uiPriority w:val="0"/>
    <w:rPr>
      <w:rFonts w:ascii="宋体" w:hAnsi="宋体" w:eastAsia="宋体" w:cs="Times New Roman"/>
      <w:b/>
      <w:kern w:val="0"/>
      <w:sz w:val="24"/>
      <w:szCs w:val="24"/>
      <w:lang w:val="zh-CN" w:eastAsia="zh-CN"/>
    </w:rPr>
  </w:style>
  <w:style w:type="character" w:customStyle="1" w:styleId="126">
    <w:name w:val="标题 8 Char"/>
    <w:basedOn w:val="79"/>
    <w:link w:val="9"/>
    <w:qFormat/>
    <w:uiPriority w:val="0"/>
    <w:rPr>
      <w:rFonts w:ascii="Arial" w:hAnsi="Arial" w:eastAsia="黑体" w:cs="Times New Roman"/>
      <w:bCs/>
      <w:kern w:val="0"/>
      <w:sz w:val="24"/>
      <w:szCs w:val="24"/>
      <w:lang w:val="zh-CN" w:eastAsia="zh-CN"/>
    </w:rPr>
  </w:style>
  <w:style w:type="character" w:customStyle="1" w:styleId="127">
    <w:name w:val="标题 9 Char"/>
    <w:basedOn w:val="79"/>
    <w:qFormat/>
    <w:uiPriority w:val="0"/>
    <w:rPr>
      <w:rFonts w:asciiTheme="majorHAnsi" w:hAnsiTheme="majorHAnsi" w:eastAsiaTheme="majorEastAsia" w:cstheme="majorBidi"/>
      <w:szCs w:val="21"/>
    </w:rPr>
  </w:style>
  <w:style w:type="paragraph" w:customStyle="1" w:styleId="128">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9">
    <w:name w:val="正文1 Char Char"/>
    <w:link w:val="130"/>
    <w:uiPriority w:val="0"/>
    <w:rPr>
      <w:rFonts w:ascii="宋体"/>
      <w:sz w:val="24"/>
    </w:rPr>
  </w:style>
  <w:style w:type="paragraph" w:customStyle="1" w:styleId="130">
    <w:name w:val="正文1"/>
    <w:basedOn w:val="1"/>
    <w:link w:val="129"/>
    <w:uiPriority w:val="0"/>
    <w:pPr>
      <w:adjustRightInd w:val="0"/>
      <w:spacing w:line="410" w:lineRule="atLeast"/>
      <w:textAlignment w:val="baseline"/>
    </w:pPr>
    <w:rPr>
      <w:rFonts w:ascii="宋体" w:hAnsiTheme="minorHAnsi" w:eastAsiaTheme="minorEastAsia" w:cstheme="minorBidi"/>
      <w:sz w:val="24"/>
    </w:rPr>
  </w:style>
  <w:style w:type="character" w:customStyle="1" w:styleId="131">
    <w:name w:val="正文. Char Char"/>
    <w:link w:val="132"/>
    <w:uiPriority w:val="0"/>
    <w:rPr>
      <w:rFonts w:ascii="宋体" w:hAnsi="宋体"/>
      <w:snapToGrid w:val="0"/>
      <w:sz w:val="24"/>
      <w:szCs w:val="24"/>
    </w:rPr>
  </w:style>
  <w:style w:type="paragraph" w:customStyle="1" w:styleId="132">
    <w:name w:val="正文."/>
    <w:basedOn w:val="1"/>
    <w:link w:val="131"/>
    <w:qFormat/>
    <w:uiPriority w:val="0"/>
    <w:pPr>
      <w:tabs>
        <w:tab w:val="left" w:pos="567"/>
      </w:tabs>
      <w:adjustRightInd w:val="0"/>
      <w:snapToGrid w:val="0"/>
      <w:spacing w:line="440" w:lineRule="atLeast"/>
      <w:ind w:firstLine="480" w:firstLineChars="200"/>
    </w:pPr>
    <w:rPr>
      <w:rFonts w:ascii="宋体" w:hAnsi="宋体" w:eastAsiaTheme="minorEastAsia" w:cstheme="minorBidi"/>
      <w:snapToGrid w:val="0"/>
      <w:sz w:val="24"/>
      <w:szCs w:val="24"/>
    </w:rPr>
  </w:style>
  <w:style w:type="character" w:customStyle="1" w:styleId="133">
    <w:name w:val="普通文字 Char1"/>
    <w:uiPriority w:val="0"/>
    <w:rPr>
      <w:rFonts w:ascii="宋体" w:hAnsi="Courier New" w:eastAsia="宋体" w:cs="Courier New"/>
      <w:sz w:val="21"/>
      <w:szCs w:val="21"/>
      <w:lang w:val="en-US" w:eastAsia="zh-CN" w:bidi="ar-SA"/>
    </w:rPr>
  </w:style>
  <w:style w:type="character" w:customStyle="1" w:styleId="134">
    <w:name w:val="正文文本缩进 3 Char"/>
    <w:link w:val="65"/>
    <w:uiPriority w:val="0"/>
    <w:rPr>
      <w:sz w:val="16"/>
      <w:szCs w:val="16"/>
    </w:rPr>
  </w:style>
  <w:style w:type="character" w:customStyle="1" w:styleId="135">
    <w:name w:val="Char Char3"/>
    <w:uiPriority w:val="0"/>
    <w:rPr>
      <w:rFonts w:eastAsia="宋体"/>
      <w:b/>
      <w:bCs/>
      <w:kern w:val="2"/>
      <w:sz w:val="28"/>
      <w:szCs w:val="28"/>
      <w:lang w:val="en-US" w:eastAsia="zh-CN" w:bidi="ar-SA"/>
    </w:rPr>
  </w:style>
  <w:style w:type="character" w:customStyle="1" w:styleId="136">
    <w:name w:val="表格（10号字） Char Char"/>
    <w:link w:val="137"/>
    <w:uiPriority w:val="0"/>
    <w:rPr>
      <w:rFonts w:ascii="Times New Roman" w:hAnsi="宋体" w:cs="宋体"/>
      <w:color w:val="000000"/>
    </w:rPr>
  </w:style>
  <w:style w:type="paragraph" w:customStyle="1" w:styleId="137">
    <w:name w:val="表格（10号字）"/>
    <w:basedOn w:val="1"/>
    <w:link w:val="136"/>
    <w:uiPriority w:val="0"/>
    <w:pPr>
      <w:adjustRightInd w:val="0"/>
      <w:snapToGrid w:val="0"/>
      <w:spacing w:before="15" w:beforeLines="5" w:after="15" w:afterLines="5" w:line="240" w:lineRule="auto"/>
      <w:jc w:val="center"/>
      <w:textAlignment w:val="center"/>
    </w:pPr>
    <w:rPr>
      <w:rFonts w:ascii="Times New Roman" w:hAnsi="宋体" w:cs="宋体" w:eastAsiaTheme="minorEastAsia"/>
      <w:color w:val="000000"/>
      <w:sz w:val="21"/>
    </w:rPr>
  </w:style>
  <w:style w:type="character" w:customStyle="1" w:styleId="138">
    <w:name w:val="javascript"/>
    <w:uiPriority w:val="0"/>
  </w:style>
  <w:style w:type="character" w:customStyle="1" w:styleId="139">
    <w:name w:val="tit2"/>
    <w:uiPriority w:val="0"/>
    <w:rPr>
      <w:b/>
      <w:bCs/>
      <w:sz w:val="48"/>
      <w:szCs w:val="48"/>
    </w:rPr>
  </w:style>
  <w:style w:type="character" w:customStyle="1" w:styleId="140">
    <w:name w:val="Char Char8"/>
    <w:uiPriority w:val="0"/>
    <w:rPr>
      <w:rFonts w:eastAsia="宋体"/>
      <w:sz w:val="28"/>
      <w:szCs w:val="28"/>
      <w:lang w:val="en-US" w:eastAsia="zh-CN" w:bidi="ar-SA"/>
    </w:rPr>
  </w:style>
  <w:style w:type="character" w:customStyle="1" w:styleId="141">
    <w:name w:val="正文文本缩进 2 Char"/>
    <w:link w:val="46"/>
    <w:uiPriority w:val="0"/>
    <w:rPr>
      <w:sz w:val="28"/>
      <w:szCs w:val="28"/>
    </w:rPr>
  </w:style>
  <w:style w:type="character" w:customStyle="1" w:styleId="142">
    <w:name w:val="表格 Char Char"/>
    <w:link w:val="143"/>
    <w:uiPriority w:val="0"/>
    <w:rPr>
      <w:rFonts w:ascii="Times New Roman" w:hAnsi="Times New Roman"/>
    </w:rPr>
  </w:style>
  <w:style w:type="paragraph" w:customStyle="1" w:styleId="143">
    <w:name w:val="表格"/>
    <w:basedOn w:val="1"/>
    <w:next w:val="1"/>
    <w:link w:val="142"/>
    <w:qFormat/>
    <w:uiPriority w:val="0"/>
    <w:pPr>
      <w:adjustRightInd w:val="0"/>
      <w:snapToGrid w:val="0"/>
      <w:spacing w:before="15" w:beforeLines="5" w:after="15" w:afterLines="5" w:line="240" w:lineRule="auto"/>
      <w:jc w:val="center"/>
    </w:pPr>
    <w:rPr>
      <w:rFonts w:ascii="Times New Roman" w:hAnsi="Times New Roman" w:eastAsiaTheme="minorEastAsia" w:cstheme="minorBidi"/>
      <w:sz w:val="21"/>
    </w:rPr>
  </w:style>
  <w:style w:type="character" w:customStyle="1" w:styleId="144">
    <w:name w:val="标准正文 Char Char Char Char Char Char"/>
    <w:link w:val="145"/>
    <w:uiPriority w:val="0"/>
    <w:rPr>
      <w:rFonts w:ascii="Times New Roman" w:hAnsi="Times New Roman" w:cs="宋体"/>
      <w:sz w:val="28"/>
      <w:szCs w:val="28"/>
    </w:rPr>
  </w:style>
  <w:style w:type="paragraph" w:customStyle="1" w:styleId="145">
    <w:name w:val="标准正文 Char Char Char"/>
    <w:basedOn w:val="1"/>
    <w:link w:val="144"/>
    <w:qFormat/>
    <w:uiPriority w:val="0"/>
    <w:pPr>
      <w:ind w:firstLine="200" w:firstLineChars="200"/>
      <w:jc w:val="left"/>
    </w:pPr>
    <w:rPr>
      <w:rFonts w:ascii="Times New Roman" w:hAnsi="Times New Roman" w:cs="宋体" w:eastAsiaTheme="minorEastAsia"/>
      <w:szCs w:val="28"/>
    </w:rPr>
  </w:style>
  <w:style w:type="character" w:customStyle="1" w:styleId="146">
    <w:name w:val="f12gy"/>
    <w:uiPriority w:val="0"/>
  </w:style>
  <w:style w:type="character" w:customStyle="1" w:styleId="147">
    <w:name w:val="文档结构图 Char1"/>
    <w:uiPriority w:val="99"/>
    <w:rPr>
      <w:rFonts w:ascii="宋体" w:eastAsia="宋体"/>
      <w:sz w:val="18"/>
      <w:szCs w:val="18"/>
    </w:rPr>
  </w:style>
  <w:style w:type="character" w:customStyle="1" w:styleId="148">
    <w:name w:val="z-窗体底端 Char"/>
    <w:link w:val="149"/>
    <w:uiPriority w:val="0"/>
    <w:rPr>
      <w:rFonts w:ascii="Arial" w:hAnsi="Arial" w:cs="Arial"/>
      <w:vanish/>
      <w:sz w:val="16"/>
      <w:szCs w:val="16"/>
    </w:rPr>
  </w:style>
  <w:style w:type="paragraph" w:customStyle="1" w:styleId="149">
    <w:name w:val="z-窗体底端1"/>
    <w:basedOn w:val="1"/>
    <w:next w:val="1"/>
    <w:link w:val="148"/>
    <w:uiPriority w:val="0"/>
    <w:pPr>
      <w:widowControl/>
      <w:pBdr>
        <w:top w:val="single" w:color="auto" w:sz="6" w:space="1"/>
      </w:pBdr>
      <w:spacing w:line="480" w:lineRule="exact"/>
      <w:jc w:val="center"/>
    </w:pPr>
    <w:rPr>
      <w:rFonts w:ascii="Arial" w:hAnsi="Arial" w:cs="Arial" w:eastAsiaTheme="minorEastAsia"/>
      <w:vanish/>
      <w:sz w:val="16"/>
      <w:szCs w:val="16"/>
    </w:rPr>
  </w:style>
  <w:style w:type="character" w:customStyle="1" w:styleId="150">
    <w:name w:val="正文(首行缩进) Char Char"/>
    <w:link w:val="151"/>
    <w:qFormat/>
    <w:uiPriority w:val="0"/>
    <w:rPr>
      <w:rFonts w:ascii="Times New Roman" w:hAnsi="Times New Roman"/>
      <w:kern w:val="24"/>
      <w:sz w:val="24"/>
    </w:rPr>
  </w:style>
  <w:style w:type="paragraph" w:customStyle="1" w:styleId="151">
    <w:name w:val="正文(首行缩进)"/>
    <w:basedOn w:val="1"/>
    <w:link w:val="150"/>
    <w:qFormat/>
    <w:uiPriority w:val="0"/>
    <w:pPr>
      <w:ind w:firstLine="420"/>
    </w:pPr>
    <w:rPr>
      <w:rFonts w:ascii="Times New Roman" w:hAnsi="Times New Roman" w:eastAsiaTheme="minorEastAsia" w:cstheme="minorBidi"/>
      <w:kern w:val="24"/>
      <w:sz w:val="24"/>
    </w:rPr>
  </w:style>
  <w:style w:type="character" w:customStyle="1" w:styleId="152">
    <w:name w:val="正文文本缩进 Char"/>
    <w:link w:val="32"/>
    <w:uiPriority w:val="0"/>
    <w:rPr>
      <w:rFonts w:ascii="Times New Roman" w:hAnsi="Times New Roman"/>
      <w:sz w:val="24"/>
    </w:rPr>
  </w:style>
  <w:style w:type="character" w:customStyle="1" w:styleId="153">
    <w:name w:val="表头 Char Char"/>
    <w:link w:val="154"/>
    <w:qFormat/>
    <w:uiPriority w:val="0"/>
    <w:rPr>
      <w:rFonts w:ascii="宋体" w:hAnsi="宋体"/>
      <w:b/>
      <w:bCs/>
      <w:sz w:val="24"/>
      <w:szCs w:val="24"/>
    </w:rPr>
  </w:style>
  <w:style w:type="paragraph" w:customStyle="1" w:styleId="154">
    <w:name w:val="表头"/>
    <w:basedOn w:val="1"/>
    <w:link w:val="153"/>
    <w:qFormat/>
    <w:uiPriority w:val="0"/>
    <w:pPr>
      <w:spacing w:after="78" w:afterLines="25" w:line="240" w:lineRule="auto"/>
      <w:ind w:firstLine="238"/>
      <w:jc w:val="left"/>
    </w:pPr>
    <w:rPr>
      <w:rFonts w:ascii="宋体" w:hAnsi="宋体" w:eastAsiaTheme="minorEastAsia" w:cstheme="minorBidi"/>
      <w:b/>
      <w:bCs/>
      <w:sz w:val="24"/>
      <w:szCs w:val="24"/>
    </w:rPr>
  </w:style>
  <w:style w:type="character" w:customStyle="1" w:styleId="155">
    <w:name w:val="text1"/>
    <w:qFormat/>
    <w:uiPriority w:val="0"/>
    <w:rPr>
      <w:rFonts w:hint="eastAsia" w:ascii="楷体_GB2312" w:eastAsia="楷体_GB2312"/>
      <w:b/>
      <w:bCs/>
      <w:color w:val="990099"/>
      <w:sz w:val="24"/>
      <w:szCs w:val="24"/>
    </w:rPr>
  </w:style>
  <w:style w:type="character" w:customStyle="1" w:styleId="156">
    <w:name w:val="标题 9 Char1"/>
    <w:link w:val="10"/>
    <w:qFormat/>
    <w:uiPriority w:val="0"/>
    <w:rPr>
      <w:rFonts w:ascii="Arial" w:hAnsi="Arial" w:eastAsia="黑体" w:cs="Times New Roman"/>
      <w:bCs/>
      <w:kern w:val="0"/>
      <w:sz w:val="24"/>
      <w:szCs w:val="21"/>
      <w:lang w:val="zh-CN" w:eastAsia="zh-CN"/>
    </w:rPr>
  </w:style>
  <w:style w:type="character" w:customStyle="1" w:styleId="157">
    <w:name w:val="nr1"/>
    <w:qFormat/>
    <w:uiPriority w:val="0"/>
  </w:style>
  <w:style w:type="character" w:customStyle="1" w:styleId="158">
    <w:name w:val="Char Char4"/>
    <w:qFormat/>
    <w:uiPriority w:val="0"/>
    <w:rPr>
      <w:rFonts w:eastAsia="宋体"/>
      <w:kern w:val="2"/>
      <w:sz w:val="28"/>
      <w:szCs w:val="24"/>
      <w:lang w:val="en-US" w:eastAsia="zh-CN" w:bidi="ar-SA"/>
    </w:rPr>
  </w:style>
  <w:style w:type="character" w:customStyle="1" w:styleId="159">
    <w:name w:val="Char Char13"/>
    <w:qFormat/>
    <w:uiPriority w:val="0"/>
    <w:rPr>
      <w:b/>
      <w:bCs/>
      <w:kern w:val="28"/>
      <w:sz w:val="32"/>
      <w:szCs w:val="32"/>
    </w:rPr>
  </w:style>
  <w:style w:type="character" w:customStyle="1" w:styleId="160">
    <w:name w:val="content1"/>
    <w:qFormat/>
    <w:uiPriority w:val="0"/>
    <w:rPr>
      <w:rFonts w:hint="eastAsia" w:ascii="宋体" w:hAnsi="宋体" w:eastAsia="宋体"/>
      <w:color w:val="333333"/>
      <w:sz w:val="14"/>
      <w:szCs w:val="14"/>
    </w:rPr>
  </w:style>
  <w:style w:type="character" w:customStyle="1" w:styleId="161">
    <w:name w:val="样式3 Char Char"/>
    <w:link w:val="162"/>
    <w:qFormat/>
    <w:uiPriority w:val="0"/>
    <w:rPr>
      <w:rFonts w:ascii="宋体" w:hAnsi="宋体"/>
      <w:sz w:val="28"/>
      <w:szCs w:val="24"/>
    </w:rPr>
  </w:style>
  <w:style w:type="paragraph" w:customStyle="1" w:styleId="162">
    <w:name w:val="样式3"/>
    <w:basedOn w:val="1"/>
    <w:link w:val="161"/>
    <w:qFormat/>
    <w:uiPriority w:val="0"/>
    <w:pPr>
      <w:spacing w:line="240" w:lineRule="auto"/>
    </w:pPr>
    <w:rPr>
      <w:rFonts w:ascii="宋体" w:hAnsi="宋体" w:eastAsiaTheme="minorEastAsia" w:cstheme="minorBidi"/>
      <w:szCs w:val="24"/>
    </w:rPr>
  </w:style>
  <w:style w:type="character" w:customStyle="1" w:styleId="163">
    <w:name w:val="文档结构图 Char"/>
    <w:link w:val="26"/>
    <w:qFormat/>
    <w:uiPriority w:val="0"/>
    <w:rPr>
      <w:rFonts w:ascii="宋体" w:cs="Calibri"/>
      <w:sz w:val="18"/>
      <w:szCs w:val="18"/>
    </w:rPr>
  </w:style>
  <w:style w:type="character" w:customStyle="1" w:styleId="164">
    <w:name w:val="尾注文本 Char"/>
    <w:link w:val="47"/>
    <w:qFormat/>
    <w:uiPriority w:val="0"/>
    <w:rPr>
      <w:rFonts w:ascii="Times New Roman" w:hAnsi="Times New Roman" w:cs="Calibri"/>
      <w:sz w:val="24"/>
      <w:szCs w:val="21"/>
    </w:rPr>
  </w:style>
  <w:style w:type="character" w:customStyle="1" w:styleId="165">
    <w:name w:val="纯文本 Char Char"/>
    <w:qFormat/>
    <w:uiPriority w:val="0"/>
    <w:rPr>
      <w:rFonts w:ascii="宋体" w:hAnsi="Courier New" w:eastAsia="宋体" w:cs="Courier New"/>
      <w:szCs w:val="21"/>
    </w:rPr>
  </w:style>
  <w:style w:type="character" w:customStyle="1" w:styleId="166">
    <w:name w:val="123YJ Char Char"/>
    <w:qFormat/>
    <w:uiPriority w:val="0"/>
    <w:rPr>
      <w:sz w:val="18"/>
      <w:szCs w:val="18"/>
    </w:rPr>
  </w:style>
  <w:style w:type="character" w:customStyle="1" w:styleId="167">
    <w:name w:val="正文缩进 Char"/>
    <w:link w:val="22"/>
    <w:qFormat/>
    <w:uiPriority w:val="0"/>
    <w:rPr>
      <w:rFonts w:ascii="Times New Roman" w:hAnsi="Times New Roman"/>
      <w:sz w:val="24"/>
    </w:rPr>
  </w:style>
  <w:style w:type="character" w:customStyle="1" w:styleId="168">
    <w:name w:val="样式 正文文本缩进 2 + 小四 Char Char Char Char"/>
    <w:qFormat/>
    <w:uiPriority w:val="0"/>
    <w:rPr>
      <w:rFonts w:eastAsia="宋体"/>
      <w:kern w:val="2"/>
      <w:sz w:val="24"/>
      <w:szCs w:val="24"/>
      <w:lang w:val="en-US" w:eastAsia="zh-CN" w:bidi="ar-SA"/>
    </w:rPr>
  </w:style>
  <w:style w:type="character" w:customStyle="1" w:styleId="169">
    <w:name w:val="正文文字 Char2"/>
    <w:qFormat/>
    <w:uiPriority w:val="0"/>
    <w:rPr>
      <w:rFonts w:ascii="Times New Roman" w:hAnsi="Times New Roman" w:eastAsia="宋体" w:cs="Times New Roman"/>
      <w:kern w:val="0"/>
      <w:sz w:val="20"/>
      <w:szCs w:val="20"/>
    </w:rPr>
  </w:style>
  <w:style w:type="character" w:customStyle="1" w:styleId="170">
    <w:name w:val="标准正文 Char Char Char Char Char"/>
    <w:link w:val="171"/>
    <w:qFormat/>
    <w:uiPriority w:val="0"/>
    <w:rPr>
      <w:rFonts w:ascii="Times New Roman" w:hAnsi="Times New Roman"/>
      <w:sz w:val="28"/>
      <w:szCs w:val="28"/>
    </w:rPr>
  </w:style>
  <w:style w:type="paragraph" w:customStyle="1" w:styleId="171">
    <w:name w:val="标准正文 Char"/>
    <w:basedOn w:val="1"/>
    <w:link w:val="170"/>
    <w:qFormat/>
    <w:uiPriority w:val="0"/>
    <w:pPr>
      <w:ind w:firstLine="200" w:firstLineChars="200"/>
      <w:jc w:val="left"/>
    </w:pPr>
    <w:rPr>
      <w:rFonts w:ascii="Times New Roman" w:hAnsi="Times New Roman" w:eastAsiaTheme="minorEastAsia" w:cstheme="minorBidi"/>
      <w:szCs w:val="28"/>
    </w:rPr>
  </w:style>
  <w:style w:type="character" w:customStyle="1" w:styleId="172">
    <w:name w:val="style361"/>
    <w:qFormat/>
    <w:uiPriority w:val="0"/>
    <w:rPr>
      <w:sz w:val="12"/>
      <w:szCs w:val="12"/>
    </w:rPr>
  </w:style>
  <w:style w:type="character" w:customStyle="1" w:styleId="173">
    <w:name w:val="页脚 Char1"/>
    <w:qFormat/>
    <w:uiPriority w:val="99"/>
    <w:rPr>
      <w:rFonts w:eastAsia="宋体"/>
      <w:kern w:val="2"/>
      <w:sz w:val="18"/>
      <w:szCs w:val="18"/>
      <w:lang w:val="en-US" w:eastAsia="zh-CN" w:bidi="ar-SA"/>
    </w:rPr>
  </w:style>
  <w:style w:type="character" w:customStyle="1" w:styleId="174">
    <w:name w:val="正文文本 2 Char"/>
    <w:link w:val="71"/>
    <w:qFormat/>
    <w:uiPriority w:val="0"/>
  </w:style>
  <w:style w:type="character" w:customStyle="1" w:styleId="175">
    <w:name w:val="王 表格文字 Char Char"/>
    <w:link w:val="176"/>
    <w:uiPriority w:val="0"/>
    <w:rPr>
      <w:rFonts w:ascii="Times New Roman" w:hAnsi="Times New Roman" w:eastAsia="仿宋_GB2312"/>
      <w:szCs w:val="24"/>
    </w:rPr>
  </w:style>
  <w:style w:type="paragraph" w:customStyle="1" w:styleId="176">
    <w:name w:val="王 表格文字"/>
    <w:basedOn w:val="1"/>
    <w:link w:val="175"/>
    <w:qFormat/>
    <w:uiPriority w:val="0"/>
    <w:pPr>
      <w:spacing w:line="240" w:lineRule="auto"/>
      <w:jc w:val="center"/>
    </w:pPr>
    <w:rPr>
      <w:rFonts w:ascii="Times New Roman" w:hAnsi="Times New Roman" w:eastAsia="仿宋_GB2312" w:cstheme="minorBidi"/>
      <w:sz w:val="21"/>
      <w:szCs w:val="24"/>
    </w:rPr>
  </w:style>
  <w:style w:type="character" w:customStyle="1" w:styleId="177">
    <w:name w:val="页眉  Char1"/>
    <w:qFormat/>
    <w:uiPriority w:val="0"/>
    <w:rPr>
      <w:sz w:val="18"/>
      <w:szCs w:val="18"/>
    </w:rPr>
  </w:style>
  <w:style w:type="character" w:customStyle="1" w:styleId="178">
    <w:name w:val="正文首行缩进 Char"/>
    <w:link w:val="15"/>
    <w:uiPriority w:val="0"/>
    <w:rPr>
      <w:rFonts w:ascii="Times New Roman" w:hAnsi="Times New Roman"/>
      <w:color w:val="000000"/>
      <w:kern w:val="24"/>
      <w:sz w:val="24"/>
    </w:rPr>
  </w:style>
  <w:style w:type="character" w:customStyle="1" w:styleId="179">
    <w:name w:val="Char Char2"/>
    <w:uiPriority w:val="0"/>
    <w:rPr>
      <w:rFonts w:eastAsia="宋体"/>
      <w:kern w:val="2"/>
      <w:sz w:val="18"/>
      <w:szCs w:val="18"/>
      <w:lang w:val="en-US" w:eastAsia="zh-CN" w:bidi="ar-SA"/>
    </w:rPr>
  </w:style>
  <w:style w:type="character" w:customStyle="1" w:styleId="180">
    <w:name w:val="纯文本 Char"/>
    <w:link w:val="41"/>
    <w:qFormat/>
    <w:uiPriority w:val="0"/>
    <w:rPr>
      <w:rFonts w:ascii="宋体" w:hAnsi="Courier New" w:cs="Courier New"/>
      <w:szCs w:val="21"/>
    </w:rPr>
  </w:style>
  <w:style w:type="character" w:customStyle="1" w:styleId="181">
    <w:name w:val="批注文字 Char"/>
    <w:qFormat/>
    <w:uiPriority w:val="0"/>
    <w:rPr>
      <w:rFonts w:ascii="Times New Roman" w:hAnsi="Times New Roman" w:eastAsia="宋体" w:cs="Times New Roman"/>
      <w:sz w:val="24"/>
    </w:rPr>
  </w:style>
  <w:style w:type="character" w:customStyle="1" w:styleId="182">
    <w:name w:val="z-窗体顶端 Char"/>
    <w:link w:val="183"/>
    <w:qFormat/>
    <w:uiPriority w:val="0"/>
    <w:rPr>
      <w:rFonts w:ascii="Arial" w:hAnsi="Arial" w:cs="Arial"/>
      <w:vanish/>
      <w:sz w:val="16"/>
      <w:szCs w:val="16"/>
    </w:rPr>
  </w:style>
  <w:style w:type="paragraph" w:customStyle="1" w:styleId="183">
    <w:name w:val="z-窗体顶端1"/>
    <w:basedOn w:val="1"/>
    <w:next w:val="1"/>
    <w:link w:val="182"/>
    <w:uiPriority w:val="0"/>
    <w:pPr>
      <w:widowControl/>
      <w:pBdr>
        <w:bottom w:val="single" w:color="auto" w:sz="6" w:space="1"/>
      </w:pBdr>
      <w:spacing w:line="480" w:lineRule="exact"/>
      <w:jc w:val="center"/>
    </w:pPr>
    <w:rPr>
      <w:rFonts w:ascii="Arial" w:hAnsi="Arial" w:cs="Arial" w:eastAsiaTheme="minorEastAsia"/>
      <w:vanish/>
      <w:sz w:val="16"/>
      <w:szCs w:val="16"/>
    </w:rPr>
  </w:style>
  <w:style w:type="character" w:customStyle="1" w:styleId="184">
    <w:name w:val="表名 Char Char"/>
    <w:link w:val="185"/>
    <w:qFormat/>
    <w:uiPriority w:val="0"/>
    <w:rPr>
      <w:rFonts w:ascii="黑体" w:hAnsi="宋体" w:eastAsia="黑体"/>
      <w:color w:val="000000"/>
      <w:szCs w:val="24"/>
    </w:rPr>
  </w:style>
  <w:style w:type="paragraph" w:customStyle="1" w:styleId="185">
    <w:name w:val="表名"/>
    <w:basedOn w:val="1"/>
    <w:link w:val="184"/>
    <w:qFormat/>
    <w:uiPriority w:val="0"/>
    <w:pPr>
      <w:spacing w:line="420" w:lineRule="exact"/>
      <w:jc w:val="center"/>
      <w:outlineLvl w:val="4"/>
    </w:pPr>
    <w:rPr>
      <w:rFonts w:ascii="黑体" w:hAnsi="宋体" w:eastAsia="黑体" w:cstheme="minorBidi"/>
      <w:color w:val="000000"/>
      <w:sz w:val="21"/>
      <w:szCs w:val="24"/>
    </w:rPr>
  </w:style>
  <w:style w:type="character" w:customStyle="1" w:styleId="186">
    <w:name w:val="Char Char15"/>
    <w:uiPriority w:val="0"/>
    <w:rPr>
      <w:rFonts w:ascii="Times New Roman" w:hAnsi="Times New Roman"/>
      <w:b/>
      <w:bCs/>
      <w:kern w:val="44"/>
      <w:sz w:val="44"/>
      <w:szCs w:val="44"/>
    </w:rPr>
  </w:style>
  <w:style w:type="character" w:customStyle="1" w:styleId="187">
    <w:name w:val="正文文字4 Char"/>
    <w:qFormat/>
    <w:uiPriority w:val="0"/>
    <w:rPr>
      <w:rFonts w:ascii="Times New Roman" w:hAnsi="Times New Roman" w:eastAsia="宋体" w:cs="Times New Roman"/>
      <w:sz w:val="24"/>
      <w:szCs w:val="20"/>
    </w:rPr>
  </w:style>
  <w:style w:type="character" w:customStyle="1" w:styleId="188">
    <w:name w:val="批注主题 Char"/>
    <w:link w:val="12"/>
    <w:qFormat/>
    <w:uiPriority w:val="0"/>
    <w:rPr>
      <w:rFonts w:ascii="Times New Roman" w:hAnsi="Times New Roman"/>
      <w:b/>
      <w:bCs/>
      <w:sz w:val="24"/>
    </w:rPr>
  </w:style>
  <w:style w:type="character" w:customStyle="1" w:styleId="189">
    <w:name w:val="正文文本 3 Char"/>
    <w:link w:val="29"/>
    <w:qFormat/>
    <w:uiPriority w:val="0"/>
  </w:style>
  <w:style w:type="character" w:customStyle="1" w:styleId="190">
    <w:name w:val="正文文字 Char1"/>
    <w:qFormat/>
    <w:uiPriority w:val="0"/>
    <w:rPr>
      <w:rFonts w:eastAsia="宋体"/>
      <w:lang w:val="en-US" w:eastAsia="zh-CN" w:bidi="ar-SA"/>
    </w:rPr>
  </w:style>
  <w:style w:type="character" w:customStyle="1" w:styleId="191">
    <w:name w:val="批注文字 Char1"/>
    <w:basedOn w:val="79"/>
    <w:link w:val="13"/>
    <w:qFormat/>
    <w:uiPriority w:val="0"/>
    <w:rPr>
      <w:rFonts w:ascii="Times New Roman" w:hAnsi="Times New Roman" w:eastAsia="宋体" w:cs="Times New Roman"/>
      <w:szCs w:val="24"/>
    </w:rPr>
  </w:style>
  <w:style w:type="character" w:customStyle="1" w:styleId="192">
    <w:name w:val="批注主题 Char1"/>
    <w:basedOn w:val="191"/>
    <w:qFormat/>
    <w:uiPriority w:val="99"/>
    <w:rPr>
      <w:rFonts w:ascii="Times New Roman" w:hAnsi="Times New Roman" w:eastAsia="宋体" w:cs="Times New Roman"/>
      <w:b/>
      <w:bCs/>
      <w:szCs w:val="24"/>
    </w:rPr>
  </w:style>
  <w:style w:type="character" w:customStyle="1" w:styleId="193">
    <w:name w:val="正文文本 Char1"/>
    <w:qFormat/>
    <w:uiPriority w:val="99"/>
    <w:rPr>
      <w:rFonts w:ascii="Times New Roman" w:hAnsi="Times New Roman"/>
      <w:kern w:val="2"/>
      <w:sz w:val="21"/>
      <w:szCs w:val="24"/>
    </w:rPr>
  </w:style>
  <w:style w:type="character" w:customStyle="1" w:styleId="194">
    <w:name w:val="正文首行缩进 Char1"/>
    <w:basedOn w:val="112"/>
    <w:qFormat/>
    <w:uiPriority w:val="99"/>
    <w:rPr>
      <w:rFonts w:ascii="Calibri" w:hAnsi="Calibri" w:eastAsia="宋体" w:cs="Times New Roman"/>
      <w:kern w:val="0"/>
      <w:sz w:val="28"/>
      <w:szCs w:val="24"/>
    </w:rPr>
  </w:style>
  <w:style w:type="character" w:customStyle="1" w:styleId="195">
    <w:name w:val="纯文本 Char1"/>
    <w:basedOn w:val="79"/>
    <w:qFormat/>
    <w:uiPriority w:val="99"/>
    <w:rPr>
      <w:rFonts w:ascii="宋体" w:hAnsi="Courier New" w:eastAsia="宋体" w:cs="Courier New"/>
      <w:szCs w:val="21"/>
    </w:rPr>
  </w:style>
  <w:style w:type="character" w:customStyle="1" w:styleId="196">
    <w:name w:val="批注框文本 Char1"/>
    <w:qFormat/>
    <w:uiPriority w:val="99"/>
    <w:rPr>
      <w:kern w:val="2"/>
      <w:sz w:val="18"/>
      <w:szCs w:val="18"/>
    </w:rPr>
  </w:style>
  <w:style w:type="character" w:customStyle="1" w:styleId="197">
    <w:name w:val="正文文本 3 Char1"/>
    <w:basedOn w:val="79"/>
    <w:qFormat/>
    <w:uiPriority w:val="99"/>
    <w:rPr>
      <w:rFonts w:ascii="Calibri" w:hAnsi="Calibri" w:eastAsia="宋体" w:cs="Times New Roman"/>
      <w:sz w:val="16"/>
      <w:szCs w:val="16"/>
    </w:rPr>
  </w:style>
  <w:style w:type="character" w:customStyle="1" w:styleId="198">
    <w:name w:val="正文文本缩进 Char1"/>
    <w:basedOn w:val="79"/>
    <w:qFormat/>
    <w:uiPriority w:val="99"/>
    <w:rPr>
      <w:rFonts w:ascii="Calibri" w:hAnsi="Calibri" w:eastAsia="宋体" w:cs="Times New Roman"/>
      <w:sz w:val="28"/>
    </w:rPr>
  </w:style>
  <w:style w:type="character" w:customStyle="1" w:styleId="199">
    <w:name w:val="尾注文本 Char1"/>
    <w:basedOn w:val="79"/>
    <w:qFormat/>
    <w:uiPriority w:val="99"/>
    <w:rPr>
      <w:rFonts w:ascii="Calibri" w:hAnsi="Calibri" w:eastAsia="宋体" w:cs="Times New Roman"/>
      <w:sz w:val="28"/>
    </w:rPr>
  </w:style>
  <w:style w:type="character" w:customStyle="1" w:styleId="200">
    <w:name w:val="正文文本缩进 2 Char1"/>
    <w:basedOn w:val="79"/>
    <w:qFormat/>
    <w:uiPriority w:val="99"/>
    <w:rPr>
      <w:rFonts w:ascii="Calibri" w:hAnsi="Calibri" w:eastAsia="宋体" w:cs="Times New Roman"/>
      <w:sz w:val="28"/>
    </w:rPr>
  </w:style>
  <w:style w:type="character" w:customStyle="1" w:styleId="201">
    <w:name w:val="正文文本缩进 3 Char1"/>
    <w:basedOn w:val="79"/>
    <w:qFormat/>
    <w:uiPriority w:val="99"/>
    <w:rPr>
      <w:rFonts w:ascii="Calibri" w:hAnsi="Calibri" w:eastAsia="宋体" w:cs="Times New Roman"/>
      <w:sz w:val="16"/>
      <w:szCs w:val="16"/>
    </w:rPr>
  </w:style>
  <w:style w:type="character" w:customStyle="1" w:styleId="202">
    <w:name w:val="日期 Char"/>
    <w:basedOn w:val="79"/>
    <w:link w:val="45"/>
    <w:qFormat/>
    <w:uiPriority w:val="0"/>
    <w:rPr>
      <w:rFonts w:ascii="Times New Roman" w:hAnsi="Times New Roman" w:eastAsia="宋体" w:cs="Times New Roman"/>
      <w:kern w:val="0"/>
      <w:sz w:val="20"/>
      <w:szCs w:val="20"/>
      <w:lang w:val="zh-CN" w:eastAsia="zh-CN"/>
    </w:rPr>
  </w:style>
  <w:style w:type="character" w:customStyle="1" w:styleId="203">
    <w:name w:val="副标题 Char"/>
    <w:basedOn w:val="79"/>
    <w:link w:val="59"/>
    <w:qFormat/>
    <w:uiPriority w:val="0"/>
    <w:rPr>
      <w:rFonts w:ascii="Arial" w:hAnsi="Arial" w:eastAsia="宋体" w:cs="Times New Roman"/>
      <w:b/>
      <w:bCs/>
      <w:kern w:val="28"/>
      <w:sz w:val="32"/>
      <w:szCs w:val="32"/>
      <w:lang w:val="zh-CN" w:eastAsia="zh-CN"/>
    </w:rPr>
  </w:style>
  <w:style w:type="character" w:customStyle="1" w:styleId="204">
    <w:name w:val="文档结构图 Char2"/>
    <w:basedOn w:val="79"/>
    <w:semiHidden/>
    <w:qFormat/>
    <w:uiPriority w:val="99"/>
    <w:rPr>
      <w:rFonts w:ascii="宋体" w:hAnsi="Calibri" w:eastAsia="宋体" w:cs="Times New Roman"/>
      <w:sz w:val="18"/>
      <w:szCs w:val="18"/>
    </w:rPr>
  </w:style>
  <w:style w:type="character" w:customStyle="1" w:styleId="205">
    <w:name w:val="正文文本 2 Char1"/>
    <w:basedOn w:val="79"/>
    <w:qFormat/>
    <w:uiPriority w:val="99"/>
    <w:rPr>
      <w:rFonts w:ascii="Calibri" w:hAnsi="Calibri" w:eastAsia="宋体" w:cs="Times New Roman"/>
      <w:sz w:val="28"/>
    </w:rPr>
  </w:style>
  <w:style w:type="character" w:customStyle="1" w:styleId="206">
    <w:name w:val="签名 Char"/>
    <w:basedOn w:val="79"/>
    <w:link w:val="53"/>
    <w:qFormat/>
    <w:uiPriority w:val="0"/>
    <w:rPr>
      <w:rFonts w:ascii="Times New Roman" w:hAnsi="Times New Roman" w:eastAsia="宋体" w:cs="Times New Roman"/>
      <w:szCs w:val="20"/>
      <w:lang w:val="zh-CN" w:eastAsia="zh-CN"/>
    </w:rPr>
  </w:style>
  <w:style w:type="paragraph" w:customStyle="1" w:styleId="207">
    <w:name w:val="xl5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208">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kern w:val="0"/>
      <w:sz w:val="20"/>
      <w:szCs w:val="20"/>
    </w:rPr>
  </w:style>
  <w:style w:type="paragraph" w:customStyle="1" w:styleId="209">
    <w:name w:val="默认段落"/>
    <w:basedOn w:val="1"/>
    <w:qFormat/>
    <w:uiPriority w:val="0"/>
    <w:pPr>
      <w:spacing w:line="460" w:lineRule="exact"/>
      <w:ind w:firstLine="480" w:firstLineChars="200"/>
      <w:jc w:val="left"/>
    </w:pPr>
    <w:rPr>
      <w:rFonts w:ascii="Times New Roman" w:hAnsi="宋体"/>
      <w:kern w:val="0"/>
      <w:sz w:val="24"/>
      <w:szCs w:val="20"/>
    </w:rPr>
  </w:style>
  <w:style w:type="paragraph" w:customStyle="1" w:styleId="210">
    <w:name w:val="xl31"/>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211">
    <w:name w:val="目录标题"/>
    <w:basedOn w:val="1"/>
    <w:next w:val="1"/>
    <w:qFormat/>
    <w:uiPriority w:val="0"/>
    <w:pPr>
      <w:widowControl/>
      <w:spacing w:before="215" w:after="419" w:line="436" w:lineRule="atLeast"/>
      <w:ind w:firstLine="419"/>
      <w:jc w:val="center"/>
      <w:textAlignment w:val="baseline"/>
    </w:pPr>
    <w:rPr>
      <w:rFonts w:ascii="Arial" w:hAnsi="Times New Roman" w:eastAsia="黑体"/>
      <w:color w:val="000000"/>
      <w:spacing w:val="283"/>
      <w:kern w:val="0"/>
      <w:sz w:val="42"/>
      <w:szCs w:val="20"/>
      <w:u w:color="000000"/>
    </w:rPr>
  </w:style>
  <w:style w:type="paragraph" w:customStyle="1" w:styleId="21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24"/>
      <w:szCs w:val="24"/>
    </w:rPr>
  </w:style>
  <w:style w:type="paragraph" w:customStyle="1" w:styleId="213">
    <w:name w:val="xl97"/>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2"/>
    </w:rPr>
  </w:style>
  <w:style w:type="paragraph" w:customStyle="1" w:styleId="21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2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宋体" w:hAnsi="宋体" w:cs="宋体"/>
      <w:kern w:val="0"/>
      <w:sz w:val="20"/>
      <w:szCs w:val="20"/>
    </w:rPr>
  </w:style>
  <w:style w:type="paragraph" w:customStyle="1" w:styleId="216">
    <w:name w:val="7"/>
    <w:basedOn w:val="1"/>
    <w:next w:val="41"/>
    <w:qFormat/>
    <w:uiPriority w:val="0"/>
    <w:pPr>
      <w:spacing w:line="240" w:lineRule="auto"/>
    </w:pPr>
    <w:rPr>
      <w:rFonts w:hint="eastAsia" w:ascii="宋体" w:hAnsi="Courier New"/>
      <w:sz w:val="21"/>
      <w:szCs w:val="21"/>
    </w:rPr>
  </w:style>
  <w:style w:type="paragraph" w:customStyle="1" w:styleId="217">
    <w:name w:val="xl79"/>
    <w:basedOn w:val="1"/>
    <w:qFormat/>
    <w:uiPriority w:val="0"/>
    <w:pPr>
      <w:widowControl/>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4"/>
      <w:szCs w:val="24"/>
    </w:rPr>
  </w:style>
  <w:style w:type="paragraph" w:customStyle="1" w:styleId="218">
    <w:name w:val="PA"/>
    <w:basedOn w:val="1"/>
    <w:qFormat/>
    <w:uiPriority w:val="0"/>
    <w:pPr>
      <w:widowControl/>
      <w:spacing w:after="120" w:line="240" w:lineRule="auto"/>
      <w:ind w:left="1134"/>
    </w:pPr>
    <w:rPr>
      <w:rFonts w:ascii="Arial" w:hAnsi="Arial"/>
      <w:kern w:val="0"/>
      <w:sz w:val="22"/>
      <w:szCs w:val="20"/>
      <w:lang w:val="en-GB"/>
    </w:rPr>
  </w:style>
  <w:style w:type="paragraph" w:customStyle="1" w:styleId="219">
    <w:name w:val="Char Char Char"/>
    <w:basedOn w:val="1"/>
    <w:qFormat/>
    <w:uiPriority w:val="0"/>
    <w:pPr>
      <w:ind w:firstLine="200" w:firstLineChars="200"/>
    </w:pPr>
    <w:rPr>
      <w:rFonts w:ascii="宋体" w:hAnsi="宋体" w:cs="宋体"/>
      <w:sz w:val="24"/>
      <w:szCs w:val="24"/>
    </w:rPr>
  </w:style>
  <w:style w:type="paragraph" w:customStyle="1" w:styleId="220">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221">
    <w:name w:val="样式2"/>
    <w:basedOn w:val="2"/>
    <w:qFormat/>
    <w:uiPriority w:val="0"/>
    <w:rPr>
      <w:rFonts w:ascii="Times New Roman" w:hAnsi="Times New Roman"/>
      <w:sz w:val="24"/>
      <w:lang w:val="zh-CN"/>
    </w:rPr>
  </w:style>
  <w:style w:type="paragraph" w:customStyle="1" w:styleId="222">
    <w:name w:val="Char1 Char Char Char Char Char Char Char Char Char Char Char1 Char"/>
    <w:basedOn w:val="1"/>
    <w:qFormat/>
    <w:uiPriority w:val="0"/>
    <w:pPr>
      <w:spacing w:line="240" w:lineRule="auto"/>
    </w:pPr>
    <w:rPr>
      <w:rFonts w:ascii="Times New Roman" w:hAnsi="Times New Roman"/>
      <w:sz w:val="21"/>
      <w:szCs w:val="24"/>
    </w:rPr>
  </w:style>
  <w:style w:type="paragraph" w:customStyle="1" w:styleId="223">
    <w:name w:val="font12"/>
    <w:basedOn w:val="1"/>
    <w:qFormat/>
    <w:uiPriority w:val="0"/>
    <w:pPr>
      <w:widowControl/>
      <w:spacing w:before="100" w:beforeAutospacing="1" w:after="100" w:afterAutospacing="1" w:line="240" w:lineRule="auto"/>
      <w:jc w:val="left"/>
    </w:pPr>
    <w:rPr>
      <w:rFonts w:hint="eastAsia" w:ascii="宋体" w:hAnsi="宋体" w:cs="Arial Unicode MS"/>
      <w:color w:val="000000"/>
      <w:kern w:val="0"/>
      <w:sz w:val="20"/>
      <w:szCs w:val="20"/>
    </w:rPr>
  </w:style>
  <w:style w:type="paragraph" w:customStyle="1" w:styleId="2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Arial Unicode MS"/>
      <w:color w:val="000000"/>
      <w:kern w:val="0"/>
      <w:sz w:val="20"/>
      <w:szCs w:val="20"/>
    </w:rPr>
  </w:style>
  <w:style w:type="paragraph" w:customStyle="1" w:styleId="225">
    <w:name w:val="Char1 Char Char Char Char Char Char Char Char"/>
    <w:basedOn w:val="1"/>
    <w:qFormat/>
    <w:uiPriority w:val="0"/>
    <w:pPr>
      <w:spacing w:line="240" w:lineRule="auto"/>
    </w:pPr>
    <w:rPr>
      <w:rFonts w:ascii="Times New Roman" w:hAnsi="Times New Roman"/>
      <w:sz w:val="21"/>
      <w:szCs w:val="24"/>
    </w:rPr>
  </w:style>
  <w:style w:type="paragraph" w:customStyle="1" w:styleId="226">
    <w:name w:val="正文（首行缩进两字）1"/>
    <w:basedOn w:val="1"/>
    <w:next w:val="22"/>
    <w:qFormat/>
    <w:uiPriority w:val="0"/>
    <w:pPr>
      <w:widowControl/>
      <w:spacing w:line="240" w:lineRule="auto"/>
      <w:ind w:firstLine="420"/>
      <w:jc w:val="left"/>
    </w:pPr>
    <w:rPr>
      <w:rFonts w:ascii="Times New Roman" w:hAnsi="Times New Roman"/>
      <w:kern w:val="0"/>
      <w:sz w:val="20"/>
      <w:szCs w:val="20"/>
    </w:rPr>
  </w:style>
  <w:style w:type="paragraph" w:customStyle="1" w:styleId="227">
    <w:name w:val="样式 正文文本缩进 2 + 小四 Char Char"/>
    <w:qFormat/>
    <w:uiPriority w:val="0"/>
    <w:pPr>
      <w:adjustRightInd w:val="0"/>
      <w:snapToGrid w:val="0"/>
      <w:spacing w:before="120" w:after="120" w:line="360" w:lineRule="auto"/>
    </w:pPr>
    <w:rPr>
      <w:rFonts w:ascii="Times New Roman" w:hAnsi="Times New Roman" w:eastAsia="宋体" w:cs="Times New Roman"/>
      <w:kern w:val="2"/>
      <w:sz w:val="24"/>
      <w:szCs w:val="24"/>
      <w:lang w:val="en-US" w:eastAsia="zh-CN" w:bidi="ar-SA"/>
    </w:rPr>
  </w:style>
  <w:style w:type="paragraph" w:customStyle="1" w:styleId="228">
    <w:name w:val="xl85"/>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229">
    <w:name w:val="xl94"/>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4"/>
      <w:szCs w:val="24"/>
    </w:rPr>
  </w:style>
  <w:style w:type="paragraph" w:customStyle="1" w:styleId="230">
    <w:name w:val="xl84"/>
    <w:basedOn w:val="1"/>
    <w:qFormat/>
    <w:uiPriority w:val="0"/>
    <w:pPr>
      <w:widowControl/>
      <w:spacing w:before="100" w:beforeAutospacing="1" w:after="100" w:afterAutospacing="1" w:line="240" w:lineRule="auto"/>
      <w:jc w:val="center"/>
    </w:pPr>
    <w:rPr>
      <w:rFonts w:ascii="Arial Unicode MS" w:hAnsi="Arial Unicode MS" w:eastAsia="Arial Unicode MS" w:cs="Arial Unicode MS"/>
      <w:b/>
      <w:bCs/>
      <w:kern w:val="0"/>
      <w:sz w:val="32"/>
      <w:szCs w:val="32"/>
    </w:rPr>
  </w:style>
  <w:style w:type="paragraph" w:customStyle="1" w:styleId="231">
    <w:name w:val="xl72"/>
    <w:basedOn w:val="1"/>
    <w:qFormat/>
    <w:uiPriority w:val="0"/>
    <w:pPr>
      <w:widowControl/>
      <w:pBdr>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232">
    <w:name w:val="10"/>
    <w:basedOn w:val="1"/>
    <w:next w:val="41"/>
    <w:qFormat/>
    <w:uiPriority w:val="0"/>
    <w:pPr>
      <w:spacing w:line="240" w:lineRule="auto"/>
    </w:pPr>
    <w:rPr>
      <w:rFonts w:hint="eastAsia" w:ascii="宋体" w:hAnsi="Courier New"/>
      <w:sz w:val="21"/>
      <w:szCs w:val="21"/>
    </w:rPr>
  </w:style>
  <w:style w:type="paragraph" w:customStyle="1" w:styleId="233">
    <w:name w:val="222222"/>
    <w:basedOn w:val="1"/>
    <w:next w:val="49"/>
    <w:qFormat/>
    <w:uiPriority w:val="0"/>
    <w:pPr>
      <w:pBdr>
        <w:top w:val="single" w:color="auto" w:sz="4" w:space="1"/>
      </w:pBdr>
      <w:spacing w:line="240" w:lineRule="auto"/>
    </w:pPr>
    <w:rPr>
      <w:rFonts w:ascii="Times New Roman" w:hAnsi="Times New Roman"/>
      <w:sz w:val="21"/>
      <w:szCs w:val="24"/>
    </w:rPr>
  </w:style>
  <w:style w:type="paragraph" w:customStyle="1" w:styleId="234">
    <w:name w:val="xl95"/>
    <w:basedOn w:val="1"/>
    <w:qFormat/>
    <w:uiPriority w:val="0"/>
    <w:pPr>
      <w:widowControl/>
      <w:pBdr>
        <w:top w:val="single" w:color="auto" w:sz="4" w:space="0"/>
      </w:pBdr>
      <w:spacing w:before="100" w:beforeAutospacing="1" w:after="100" w:afterAutospacing="1" w:line="240" w:lineRule="auto"/>
      <w:jc w:val="left"/>
    </w:pPr>
    <w:rPr>
      <w:rFonts w:ascii="Arial Unicode MS" w:hAnsi="Arial Unicode MS" w:eastAsia="Arial Unicode MS" w:cs="Arial Unicode MS"/>
      <w:kern w:val="0"/>
      <w:sz w:val="22"/>
    </w:rPr>
  </w:style>
  <w:style w:type="paragraph" w:customStyle="1" w:styleId="235">
    <w:name w:val="font8"/>
    <w:basedOn w:val="1"/>
    <w:uiPriority w:val="0"/>
    <w:pPr>
      <w:widowControl/>
      <w:spacing w:before="100" w:beforeAutospacing="1" w:after="100" w:afterAutospacing="1" w:line="240" w:lineRule="auto"/>
      <w:jc w:val="left"/>
    </w:pPr>
    <w:rPr>
      <w:rFonts w:ascii="Times New Roman" w:hAnsi="Times New Roman" w:eastAsia="Arial Unicode MS"/>
      <w:color w:val="000000"/>
      <w:kern w:val="0"/>
      <w:sz w:val="20"/>
      <w:szCs w:val="20"/>
    </w:rPr>
  </w:style>
  <w:style w:type="paragraph" w:customStyle="1" w:styleId="236">
    <w:name w:val="xl100"/>
    <w:basedOn w:val="1"/>
    <w:qFormat/>
    <w:uiPriority w:val="0"/>
    <w:pPr>
      <w:widowControl/>
      <w:pBdr>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2"/>
    </w:rPr>
  </w:style>
  <w:style w:type="paragraph" w:customStyle="1" w:styleId="237">
    <w:name w:val="font1"/>
    <w:basedOn w:val="1"/>
    <w:uiPriority w:val="0"/>
    <w:pPr>
      <w:widowControl/>
      <w:spacing w:before="100" w:beforeAutospacing="1" w:after="100" w:afterAutospacing="1" w:line="240" w:lineRule="auto"/>
      <w:jc w:val="left"/>
    </w:pPr>
    <w:rPr>
      <w:rFonts w:hint="eastAsia" w:ascii="宋体" w:hAnsi="宋体"/>
      <w:kern w:val="0"/>
      <w:sz w:val="24"/>
      <w:szCs w:val="20"/>
    </w:rPr>
  </w:style>
  <w:style w:type="paragraph" w:customStyle="1" w:styleId="238">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customStyle="1" w:styleId="239">
    <w:name w:val="简单回函地址"/>
    <w:basedOn w:val="1"/>
    <w:qFormat/>
    <w:uiPriority w:val="0"/>
    <w:pPr>
      <w:spacing w:line="240" w:lineRule="auto"/>
    </w:pPr>
    <w:rPr>
      <w:rFonts w:ascii="Times New Roman" w:hAnsi="Times New Roman"/>
      <w:sz w:val="21"/>
      <w:szCs w:val="24"/>
    </w:rPr>
  </w:style>
  <w:style w:type="paragraph" w:customStyle="1" w:styleId="240">
    <w:name w:val="font7"/>
    <w:basedOn w:val="1"/>
    <w:qFormat/>
    <w:uiPriority w:val="0"/>
    <w:pPr>
      <w:widowControl/>
      <w:spacing w:before="100" w:beforeAutospacing="1" w:after="100" w:afterAutospacing="1" w:line="240" w:lineRule="auto"/>
      <w:jc w:val="left"/>
    </w:pPr>
    <w:rPr>
      <w:rFonts w:ascii="Times New Roman" w:hAnsi="Times New Roman" w:eastAsia="Arial Unicode MS"/>
      <w:kern w:val="0"/>
      <w:sz w:val="20"/>
      <w:szCs w:val="20"/>
    </w:rPr>
  </w:style>
  <w:style w:type="paragraph" w:customStyle="1" w:styleId="241">
    <w:name w:val="Char Char Char1 Char1 Char Char Char"/>
    <w:basedOn w:val="1"/>
    <w:qFormat/>
    <w:uiPriority w:val="0"/>
    <w:pPr>
      <w:spacing w:line="240" w:lineRule="auto"/>
    </w:pPr>
    <w:rPr>
      <w:rFonts w:ascii="Times New Roman" w:hAnsi="Times New Roman"/>
      <w:sz w:val="21"/>
      <w:szCs w:val="24"/>
    </w:rPr>
  </w:style>
  <w:style w:type="character" w:customStyle="1" w:styleId="242">
    <w:name w:val="z-窗体顶端 Char1"/>
    <w:basedOn w:val="79"/>
    <w:qFormat/>
    <w:uiPriority w:val="99"/>
    <w:rPr>
      <w:rFonts w:ascii="Arial" w:hAnsi="Arial" w:eastAsia="宋体" w:cs="Arial"/>
      <w:vanish/>
      <w:sz w:val="16"/>
      <w:szCs w:val="16"/>
    </w:rPr>
  </w:style>
  <w:style w:type="paragraph" w:customStyle="1" w:styleId="243">
    <w:name w:val="xl102"/>
    <w:basedOn w:val="1"/>
    <w:qFormat/>
    <w:uiPriority w:val="0"/>
    <w:pPr>
      <w:widowControl/>
      <w:pBdr>
        <w:right w:val="single" w:color="auto" w:sz="8" w:space="0"/>
      </w:pBdr>
      <w:spacing w:before="100" w:beforeAutospacing="1" w:after="100" w:afterAutospacing="1" w:line="240" w:lineRule="auto"/>
      <w:jc w:val="center"/>
    </w:pPr>
    <w:rPr>
      <w:rFonts w:ascii="Times New Roman" w:hAnsi="Times New Roman" w:eastAsia="Arial Unicode MS"/>
      <w:kern w:val="0"/>
      <w:sz w:val="22"/>
    </w:rPr>
  </w:style>
  <w:style w:type="paragraph" w:customStyle="1" w:styleId="244">
    <w:name w:val="样式 宋体 四号 行距: 1.5 倍行距"/>
    <w:basedOn w:val="1"/>
    <w:uiPriority w:val="0"/>
    <w:pPr>
      <w:tabs>
        <w:tab w:val="left" w:pos="578"/>
      </w:tabs>
      <w:snapToGrid w:val="0"/>
      <w:spacing w:line="440" w:lineRule="atLeast"/>
      <w:ind w:firstLine="468"/>
    </w:pPr>
    <w:rPr>
      <w:rFonts w:ascii="宋体" w:hAnsi="Times New Roman"/>
      <w:color w:val="000000"/>
      <w:kern w:val="0"/>
      <w:sz w:val="24"/>
      <w:szCs w:val="20"/>
    </w:rPr>
  </w:style>
  <w:style w:type="paragraph" w:customStyle="1" w:styleId="245">
    <w:name w:val="font0"/>
    <w:basedOn w:val="1"/>
    <w:uiPriority w:val="0"/>
    <w:pPr>
      <w:widowControl/>
      <w:spacing w:before="100" w:beforeAutospacing="1" w:after="100" w:afterAutospacing="1" w:line="240" w:lineRule="auto"/>
      <w:jc w:val="left"/>
    </w:pPr>
    <w:rPr>
      <w:rFonts w:hint="eastAsia" w:ascii="宋体" w:hAnsi="宋体"/>
      <w:kern w:val="0"/>
      <w:sz w:val="24"/>
      <w:szCs w:val="24"/>
    </w:rPr>
  </w:style>
  <w:style w:type="paragraph" w:customStyle="1" w:styleId="246">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47">
    <w:name w:val="表名1"/>
    <w:basedOn w:val="1"/>
    <w:qFormat/>
    <w:uiPriority w:val="0"/>
    <w:pPr>
      <w:jc w:val="left"/>
    </w:pPr>
    <w:rPr>
      <w:rFonts w:ascii="Times New Roman" w:hAnsi="Times New Roman" w:eastAsia="黑体"/>
      <w:kern w:val="0"/>
      <w:sz w:val="24"/>
      <w:szCs w:val="20"/>
    </w:rPr>
  </w:style>
  <w:style w:type="paragraph" w:customStyle="1" w:styleId="248">
    <w:name w:val="xl24"/>
    <w:basedOn w:val="1"/>
    <w:qFormat/>
    <w:uiPriority w:val="0"/>
    <w:pPr>
      <w:widowControl/>
      <w:pBdr>
        <w:bottom w:val="single" w:color="auto" w:sz="4" w:space="0"/>
        <w:right w:val="single" w:color="auto" w:sz="4" w:space="0"/>
      </w:pBdr>
      <w:spacing w:before="100" w:after="100" w:line="240" w:lineRule="auto"/>
      <w:jc w:val="center"/>
      <w:textAlignment w:val="top"/>
    </w:pPr>
    <w:rPr>
      <w:rFonts w:ascii="Times New Roman" w:hAnsi="Times New Roman"/>
      <w:kern w:val="0"/>
      <w:sz w:val="21"/>
      <w:szCs w:val="20"/>
    </w:rPr>
  </w:style>
  <w:style w:type="paragraph" w:customStyle="1" w:styleId="249">
    <w:name w:val="xl25"/>
    <w:basedOn w:val="1"/>
    <w:uiPriority w:val="0"/>
    <w:pPr>
      <w:widowControl/>
      <w:pBdr>
        <w:bottom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50">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customStyle="1" w:styleId="251">
    <w:name w:val="xl29"/>
    <w:basedOn w:val="1"/>
    <w:uiPriority w:val="0"/>
    <w:pPr>
      <w:widowControl/>
      <w:spacing w:before="100" w:beforeAutospacing="1" w:after="100" w:afterAutospacing="1" w:line="240" w:lineRule="auto"/>
      <w:jc w:val="center"/>
      <w:textAlignment w:val="center"/>
    </w:pPr>
    <w:rPr>
      <w:rFonts w:ascii="宋体" w:hAnsi="宋体" w:cs="宋体"/>
      <w:b/>
      <w:bCs/>
      <w:kern w:val="0"/>
      <w:sz w:val="32"/>
      <w:szCs w:val="32"/>
    </w:rPr>
  </w:style>
  <w:style w:type="paragraph" w:customStyle="1" w:styleId="252">
    <w:name w:val="font9"/>
    <w:basedOn w:val="1"/>
    <w:qFormat/>
    <w:uiPriority w:val="0"/>
    <w:pPr>
      <w:widowControl/>
      <w:spacing w:before="100" w:beforeAutospacing="1" w:after="100" w:afterAutospacing="1" w:line="240" w:lineRule="auto"/>
      <w:jc w:val="left"/>
    </w:pPr>
    <w:rPr>
      <w:rFonts w:ascii="Times New Roman" w:hAnsi="Times New Roman" w:eastAsia="Arial Unicode MS"/>
      <w:kern w:val="0"/>
      <w:sz w:val="20"/>
      <w:szCs w:val="20"/>
    </w:rPr>
  </w:style>
  <w:style w:type="paragraph" w:customStyle="1" w:styleId="253">
    <w:name w:val="Char"/>
    <w:basedOn w:val="1"/>
    <w:qFormat/>
    <w:uiPriority w:val="0"/>
    <w:pPr>
      <w:ind w:firstLine="200" w:firstLineChars="200"/>
    </w:pPr>
    <w:rPr>
      <w:rFonts w:ascii="宋体" w:hAnsi="宋体" w:cs="宋体"/>
      <w:sz w:val="24"/>
      <w:szCs w:val="24"/>
    </w:rPr>
  </w:style>
  <w:style w:type="paragraph" w:customStyle="1" w:styleId="254">
    <w:name w:val="xl22"/>
    <w:basedOn w:val="1"/>
    <w:qFormat/>
    <w:uiPriority w:val="0"/>
    <w:pPr>
      <w:widowControl/>
      <w:spacing w:before="100" w:beforeAutospacing="1" w:after="100" w:afterAutospacing="1" w:line="240" w:lineRule="auto"/>
      <w:jc w:val="center"/>
    </w:pPr>
    <w:rPr>
      <w:rFonts w:ascii="宋体" w:hAnsi="宋体"/>
      <w:kern w:val="0"/>
      <w:sz w:val="24"/>
      <w:szCs w:val="20"/>
    </w:rPr>
  </w:style>
  <w:style w:type="paragraph" w:customStyle="1" w:styleId="255">
    <w:name w:val="xl26"/>
    <w:basedOn w:val="1"/>
    <w:qFormat/>
    <w:uiPriority w:val="0"/>
    <w:pPr>
      <w:widowControl/>
      <w:spacing w:before="100" w:beforeAutospacing="1" w:after="100" w:afterAutospacing="1" w:line="240" w:lineRule="auto"/>
      <w:jc w:val="left"/>
      <w:textAlignment w:val="center"/>
    </w:pPr>
    <w:rPr>
      <w:rFonts w:ascii="宋体" w:hAnsi="宋体" w:cs="宋体"/>
      <w:kern w:val="0"/>
      <w:sz w:val="20"/>
      <w:szCs w:val="20"/>
    </w:rPr>
  </w:style>
  <w:style w:type="paragraph" w:customStyle="1" w:styleId="256">
    <w:name w:val="xl64"/>
    <w:basedOn w:val="1"/>
    <w:qFormat/>
    <w:uiPriority w:val="0"/>
    <w:pPr>
      <w:widowControl/>
      <w:spacing w:before="100" w:beforeAutospacing="1" w:after="100" w:afterAutospacing="1" w:line="240" w:lineRule="auto"/>
      <w:jc w:val="center"/>
      <w:textAlignment w:val="center"/>
    </w:pPr>
    <w:rPr>
      <w:rFonts w:ascii="Times New Roman" w:hAnsi="Times New Roman" w:eastAsia="Arial Unicode MS"/>
      <w:color w:val="000000"/>
      <w:kern w:val="0"/>
      <w:sz w:val="20"/>
      <w:szCs w:val="20"/>
    </w:rPr>
  </w:style>
  <w:style w:type="paragraph" w:customStyle="1" w:styleId="257">
    <w:name w:val="xl98"/>
    <w:basedOn w:val="1"/>
    <w:qFormat/>
    <w:uiPriority w:val="0"/>
    <w:pPr>
      <w:widowControl/>
      <w:pBdr>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2"/>
    </w:rPr>
  </w:style>
  <w:style w:type="paragraph" w:customStyle="1" w:styleId="258">
    <w:name w:val="5"/>
    <w:basedOn w:val="1"/>
    <w:next w:val="32"/>
    <w:uiPriority w:val="0"/>
    <w:pPr>
      <w:spacing w:line="240" w:lineRule="auto"/>
      <w:ind w:firstLine="538" w:firstLineChars="192"/>
    </w:pPr>
    <w:rPr>
      <w:rFonts w:ascii="Times New Roman" w:hAnsi="Times New Roman"/>
      <w:szCs w:val="20"/>
    </w:rPr>
  </w:style>
  <w:style w:type="paragraph" w:customStyle="1" w:styleId="259">
    <w:name w:val="Char1 Char Char Char Char Char Char Char Char Char Char Char1 Char Char Char"/>
    <w:basedOn w:val="1"/>
    <w:uiPriority w:val="0"/>
    <w:pPr>
      <w:spacing w:line="240" w:lineRule="auto"/>
    </w:pPr>
    <w:rPr>
      <w:rFonts w:ascii="Times New Roman" w:hAnsi="Times New Roman"/>
      <w:sz w:val="21"/>
      <w:szCs w:val="24"/>
    </w:rPr>
  </w:style>
  <w:style w:type="paragraph" w:customStyle="1" w:styleId="260">
    <w:name w:val="xl43"/>
    <w:basedOn w:val="1"/>
    <w:qFormat/>
    <w:uiPriority w:val="0"/>
    <w:pPr>
      <w:widowControl/>
      <w:spacing w:before="100" w:beforeAutospacing="1" w:after="100" w:afterAutospacing="1" w:line="240" w:lineRule="auto"/>
      <w:jc w:val="center"/>
      <w:textAlignment w:val="center"/>
    </w:pPr>
    <w:rPr>
      <w:rFonts w:ascii="Times New Roman" w:hAnsi="Times New Roman" w:eastAsia="Arial Unicode MS"/>
      <w:kern w:val="0"/>
      <w:sz w:val="20"/>
      <w:szCs w:val="20"/>
    </w:rPr>
  </w:style>
  <w:style w:type="paragraph" w:customStyle="1" w:styleId="261">
    <w:name w:val="文"/>
    <w:basedOn w:val="1"/>
    <w:qFormat/>
    <w:uiPriority w:val="0"/>
    <w:pPr>
      <w:autoSpaceDE w:val="0"/>
      <w:autoSpaceDN w:val="0"/>
      <w:adjustRightInd w:val="0"/>
      <w:snapToGrid w:val="0"/>
      <w:spacing w:line="447" w:lineRule="atLeast"/>
      <w:ind w:firstLine="419" w:firstLineChars="200"/>
      <w:jc w:val="left"/>
    </w:pPr>
    <w:rPr>
      <w:rFonts w:ascii="Times New Roman" w:hAnsi="Times New Roman"/>
      <w:color w:val="000000"/>
      <w:kern w:val="0"/>
      <w:sz w:val="24"/>
      <w:szCs w:val="24"/>
      <w:lang w:val="zh-CN"/>
    </w:rPr>
  </w:style>
  <w:style w:type="paragraph" w:customStyle="1" w:styleId="262">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customStyle="1" w:styleId="263">
    <w:name w:val="xl27"/>
    <w:basedOn w:val="1"/>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kern w:val="0"/>
      <w:sz w:val="24"/>
      <w:szCs w:val="24"/>
    </w:rPr>
  </w:style>
  <w:style w:type="paragraph" w:customStyle="1" w:styleId="264">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customStyle="1" w:styleId="265">
    <w:name w:val="样式4"/>
    <w:basedOn w:val="1"/>
    <w:uiPriority w:val="0"/>
    <w:pPr>
      <w:tabs>
        <w:tab w:val="left" w:pos="1878"/>
        <w:tab w:val="left" w:pos="2961"/>
        <w:tab w:val="left" w:pos="4998"/>
        <w:tab w:val="left" w:pos="6459"/>
        <w:tab w:val="left" w:pos="9173"/>
      </w:tabs>
      <w:spacing w:line="440" w:lineRule="exact"/>
      <w:jc w:val="left"/>
      <w:outlineLvl w:val="0"/>
    </w:pPr>
    <w:rPr>
      <w:rFonts w:ascii="宋体" w:hAnsi="宋体"/>
      <w:szCs w:val="28"/>
    </w:rPr>
  </w:style>
  <w:style w:type="paragraph" w:customStyle="1" w:styleId="26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color w:val="FF0000"/>
      <w:kern w:val="0"/>
      <w:sz w:val="20"/>
      <w:szCs w:val="20"/>
    </w:rPr>
  </w:style>
  <w:style w:type="paragraph" w:customStyle="1" w:styleId="267">
    <w:name w:val="生物拉丁文名"/>
    <w:basedOn w:val="1"/>
    <w:qFormat/>
    <w:uiPriority w:val="0"/>
    <w:pPr>
      <w:tabs>
        <w:tab w:val="left" w:pos="-120"/>
      </w:tabs>
      <w:overflowPunct w:val="0"/>
      <w:topLinePunct/>
      <w:autoSpaceDE w:val="0"/>
      <w:adjustRightInd w:val="0"/>
      <w:snapToGrid w:val="0"/>
      <w:spacing w:before="60" w:after="156" w:afterLines="50" w:line="0" w:lineRule="atLeast"/>
      <w:ind w:firstLine="454"/>
      <w:jc w:val="left"/>
    </w:pPr>
    <w:rPr>
      <w:rFonts w:ascii="Times New Roman" w:hAnsi="Times New Roman"/>
      <w:i/>
      <w:spacing w:val="20"/>
      <w:kern w:val="0"/>
      <w:sz w:val="24"/>
      <w:szCs w:val="20"/>
    </w:rPr>
  </w:style>
  <w:style w:type="paragraph" w:customStyle="1" w:styleId="268">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Arial Unicode MS"/>
      <w:kern w:val="0"/>
      <w:sz w:val="20"/>
      <w:szCs w:val="20"/>
    </w:rPr>
  </w:style>
  <w:style w:type="paragraph" w:customStyle="1" w:styleId="269">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color w:val="000000"/>
      <w:kern w:val="0"/>
      <w:sz w:val="20"/>
      <w:szCs w:val="20"/>
    </w:rPr>
  </w:style>
  <w:style w:type="paragraph" w:customStyle="1" w:styleId="270">
    <w:name w:val="font13"/>
    <w:basedOn w:val="1"/>
    <w:qFormat/>
    <w:uiPriority w:val="0"/>
    <w:pPr>
      <w:widowControl/>
      <w:spacing w:before="100" w:beforeAutospacing="1" w:after="100" w:afterAutospacing="1" w:line="240" w:lineRule="auto"/>
      <w:jc w:val="left"/>
    </w:pPr>
    <w:rPr>
      <w:rFonts w:ascii="Times New Roman" w:hAnsi="Times New Roman" w:eastAsia="Arial Unicode MS"/>
      <w:color w:val="000000"/>
      <w:kern w:val="0"/>
      <w:sz w:val="20"/>
      <w:szCs w:val="20"/>
    </w:rPr>
  </w:style>
  <w:style w:type="paragraph" w:customStyle="1" w:styleId="271">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4"/>
      <w:szCs w:val="24"/>
    </w:rPr>
  </w:style>
  <w:style w:type="character" w:customStyle="1" w:styleId="272">
    <w:name w:val="z-窗体底端 Char1"/>
    <w:basedOn w:val="79"/>
    <w:qFormat/>
    <w:uiPriority w:val="99"/>
    <w:rPr>
      <w:rFonts w:ascii="Arial" w:hAnsi="Arial" w:eastAsia="宋体" w:cs="Arial"/>
      <w:vanish/>
      <w:sz w:val="16"/>
      <w:szCs w:val="16"/>
    </w:rPr>
  </w:style>
  <w:style w:type="paragraph" w:customStyle="1" w:styleId="273">
    <w:name w:val="表题"/>
    <w:basedOn w:val="1"/>
    <w:qFormat/>
    <w:uiPriority w:val="0"/>
    <w:pPr>
      <w:autoSpaceDE w:val="0"/>
      <w:autoSpaceDN w:val="0"/>
      <w:adjustRightInd w:val="0"/>
      <w:spacing w:line="480" w:lineRule="atLeast"/>
      <w:jc w:val="center"/>
      <w:textAlignment w:val="baseline"/>
    </w:pPr>
    <w:rPr>
      <w:rFonts w:ascii="黑体" w:hAnsi="Times New Roman" w:eastAsia="黑体"/>
      <w:kern w:val="16"/>
      <w:sz w:val="21"/>
      <w:szCs w:val="20"/>
    </w:rPr>
  </w:style>
  <w:style w:type="paragraph" w:customStyle="1" w:styleId="274">
    <w:name w:val="8"/>
    <w:basedOn w:val="1"/>
    <w:next w:val="46"/>
    <w:qFormat/>
    <w:uiPriority w:val="0"/>
    <w:pPr>
      <w:spacing w:line="240" w:lineRule="auto"/>
      <w:ind w:firstLine="480" w:firstLineChars="200"/>
    </w:pPr>
    <w:rPr>
      <w:rFonts w:hint="eastAsia" w:ascii="宋体" w:hAnsi="Times New Roman"/>
      <w:sz w:val="24"/>
      <w:szCs w:val="20"/>
    </w:rPr>
  </w:style>
  <w:style w:type="paragraph" w:customStyle="1" w:styleId="275">
    <w:name w:val="王　二级标题"/>
    <w:basedOn w:val="1"/>
    <w:qFormat/>
    <w:uiPriority w:val="0"/>
    <w:pPr>
      <w:keepNext/>
      <w:keepLines/>
      <w:adjustRightInd w:val="0"/>
      <w:snapToGrid w:val="0"/>
      <w:spacing w:before="156" w:beforeLines="50" w:after="156" w:afterLines="50" w:line="500" w:lineRule="exact"/>
      <w:outlineLvl w:val="2"/>
    </w:pPr>
    <w:rPr>
      <w:rFonts w:ascii="黑体" w:hAnsi="宋体" w:eastAsia="黑体" w:cs="Arial"/>
      <w:bCs/>
      <w:szCs w:val="20"/>
    </w:rPr>
  </w:style>
  <w:style w:type="paragraph" w:customStyle="1" w:styleId="27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4"/>
      <w:szCs w:val="24"/>
    </w:rPr>
  </w:style>
  <w:style w:type="paragraph" w:customStyle="1" w:styleId="277">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4"/>
      <w:szCs w:val="24"/>
    </w:rPr>
  </w:style>
  <w:style w:type="paragraph" w:customStyle="1" w:styleId="27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customStyle="1" w:styleId="279">
    <w:name w:val="font10"/>
    <w:basedOn w:val="1"/>
    <w:uiPriority w:val="0"/>
    <w:pPr>
      <w:widowControl/>
      <w:spacing w:before="100" w:beforeAutospacing="1" w:after="100" w:afterAutospacing="1" w:line="240" w:lineRule="auto"/>
      <w:jc w:val="left"/>
    </w:pPr>
    <w:rPr>
      <w:rFonts w:ascii="Times New Roman" w:hAnsi="Times New Roman" w:eastAsia="Arial Unicode MS"/>
      <w:b/>
      <w:bCs/>
      <w:kern w:val="0"/>
      <w:szCs w:val="28"/>
    </w:rPr>
  </w:style>
  <w:style w:type="paragraph" w:customStyle="1" w:styleId="280">
    <w:name w:val="修订1"/>
    <w:uiPriority w:val="99"/>
    <w:rPr>
      <w:rFonts w:ascii="Times New Roman" w:hAnsi="Times New Roman" w:eastAsia="宋体" w:cs="Times New Roman"/>
      <w:kern w:val="2"/>
      <w:sz w:val="21"/>
      <w:szCs w:val="24"/>
      <w:lang w:val="en-US" w:eastAsia="zh-CN" w:bidi="ar-SA"/>
    </w:rPr>
  </w:style>
  <w:style w:type="paragraph" w:customStyle="1" w:styleId="281">
    <w:name w:val="xl3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282">
    <w:name w:val="style36"/>
    <w:basedOn w:val="1"/>
    <w:qFormat/>
    <w:uiPriority w:val="0"/>
    <w:pPr>
      <w:widowControl/>
      <w:spacing w:before="100" w:beforeAutospacing="1" w:after="100" w:afterAutospacing="1" w:line="240" w:lineRule="auto"/>
      <w:jc w:val="left"/>
    </w:pPr>
    <w:rPr>
      <w:rFonts w:ascii="宋体" w:hAnsi="宋体" w:cs="宋体"/>
      <w:kern w:val="0"/>
      <w:sz w:val="12"/>
      <w:szCs w:val="12"/>
    </w:rPr>
  </w:style>
  <w:style w:type="paragraph" w:customStyle="1" w:styleId="283">
    <w:name w:val="xl54"/>
    <w:basedOn w:val="1"/>
    <w:qFormat/>
    <w:uiPriority w:val="0"/>
    <w:pPr>
      <w:widowControl/>
      <w:pBdr>
        <w:bottom w:val="single" w:color="auto" w:sz="4" w:space="0"/>
        <w:right w:val="single" w:color="auto" w:sz="4" w:space="0"/>
      </w:pBdr>
      <w:spacing w:before="100" w:beforeAutospacing="1" w:after="100" w:afterAutospacing="1" w:line="240" w:lineRule="auto"/>
      <w:jc w:val="right"/>
    </w:pPr>
    <w:rPr>
      <w:rFonts w:ascii="Arial Unicode MS" w:hAnsi="Arial Unicode MS" w:eastAsia="Arial Unicode MS"/>
      <w:color w:val="000000"/>
      <w:kern w:val="0"/>
      <w:sz w:val="21"/>
      <w:szCs w:val="20"/>
    </w:rPr>
  </w:style>
  <w:style w:type="paragraph" w:customStyle="1" w:styleId="284">
    <w:name w:val="xl80"/>
    <w:basedOn w:val="1"/>
    <w:qFormat/>
    <w:uiPriority w:val="0"/>
    <w:pPr>
      <w:widowControl/>
      <w:spacing w:before="100" w:beforeAutospacing="1" w:after="100" w:afterAutospacing="1" w:line="240" w:lineRule="auto"/>
      <w:jc w:val="center"/>
      <w:textAlignment w:val="center"/>
    </w:pPr>
    <w:rPr>
      <w:rFonts w:ascii="Arial Unicode MS" w:hAnsi="Arial Unicode MS" w:eastAsia="Arial Unicode MS" w:cs="Arial Unicode MS"/>
      <w:kern w:val="0"/>
      <w:sz w:val="18"/>
      <w:szCs w:val="18"/>
    </w:rPr>
  </w:style>
  <w:style w:type="paragraph" w:customStyle="1" w:styleId="285">
    <w:name w:val="xl83"/>
    <w:basedOn w:val="1"/>
    <w:qFormat/>
    <w:uiPriority w:val="0"/>
    <w:pPr>
      <w:widowControl/>
      <w:pBdr>
        <w:top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28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styleId="287">
    <w:name w:val="List Paragraph"/>
    <w:basedOn w:val="1"/>
    <w:qFormat/>
    <w:uiPriority w:val="34"/>
    <w:pPr>
      <w:spacing w:line="240" w:lineRule="auto"/>
      <w:ind w:firstLine="420" w:firstLineChars="200"/>
    </w:pPr>
    <w:rPr>
      <w:sz w:val="21"/>
    </w:rPr>
  </w:style>
  <w:style w:type="paragraph" w:customStyle="1" w:styleId="288">
    <w:name w:val="Char4 Char Char Char"/>
    <w:basedOn w:val="1"/>
    <w:qFormat/>
    <w:uiPriority w:val="0"/>
    <w:pPr>
      <w:adjustRightInd w:val="0"/>
      <w:snapToGrid w:val="0"/>
      <w:ind w:firstLine="200" w:firstLineChars="200"/>
    </w:pPr>
    <w:rPr>
      <w:rFonts w:ascii="宋体" w:hAnsi="宋体" w:cs="宋体"/>
      <w:sz w:val="24"/>
      <w:szCs w:val="26"/>
    </w:rPr>
  </w:style>
  <w:style w:type="paragraph" w:customStyle="1" w:styleId="289">
    <w:name w:val="图表头2"/>
    <w:basedOn w:val="1"/>
    <w:qFormat/>
    <w:uiPriority w:val="0"/>
    <w:pPr>
      <w:tabs>
        <w:tab w:val="center" w:pos="4231"/>
        <w:tab w:val="left" w:pos="6210"/>
        <w:tab w:val="right" w:pos="8463"/>
      </w:tabs>
      <w:adjustRightInd w:val="0"/>
      <w:spacing w:before="93" w:beforeLines="30" w:line="240" w:lineRule="auto"/>
      <w:jc w:val="center"/>
      <w:textAlignment w:val="baseline"/>
    </w:pPr>
    <w:rPr>
      <w:rFonts w:ascii="Times New Roman" w:hAnsi="Times New Roman" w:eastAsia="黑体"/>
      <w:sz w:val="21"/>
      <w:szCs w:val="21"/>
    </w:rPr>
  </w:style>
  <w:style w:type="paragraph" w:customStyle="1" w:styleId="290">
    <w:name w:val="表格样式1"/>
    <w:basedOn w:val="1"/>
    <w:qFormat/>
    <w:uiPriority w:val="0"/>
    <w:pPr>
      <w:adjustRightInd w:val="0"/>
      <w:spacing w:line="20" w:lineRule="atLeast"/>
      <w:jc w:val="center"/>
      <w:textAlignment w:val="baseline"/>
    </w:pPr>
    <w:rPr>
      <w:rFonts w:ascii="宋体" w:hAnsi="Times New Roman"/>
      <w:kern w:val="0"/>
      <w:sz w:val="21"/>
      <w:szCs w:val="20"/>
    </w:rPr>
  </w:style>
  <w:style w:type="paragraph" w:customStyle="1" w:styleId="291">
    <w:name w:val="04正文"/>
    <w:basedOn w:val="1"/>
    <w:next w:val="41"/>
    <w:qFormat/>
    <w:uiPriority w:val="0"/>
    <w:pPr>
      <w:topLinePunct/>
      <w:autoSpaceDN w:val="0"/>
      <w:spacing w:line="240" w:lineRule="auto"/>
      <w:ind w:firstLine="200" w:firstLineChars="200"/>
    </w:pPr>
    <w:rPr>
      <w:rFonts w:ascii="Times New Roman" w:hAnsi="Times New Roman" w:eastAsia="方正书宋简体"/>
      <w:sz w:val="18"/>
      <w:szCs w:val="24"/>
    </w:rPr>
  </w:style>
  <w:style w:type="paragraph" w:customStyle="1" w:styleId="292">
    <w:name w:val="xl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color w:val="000000"/>
      <w:kern w:val="0"/>
      <w:sz w:val="20"/>
      <w:szCs w:val="20"/>
    </w:rPr>
  </w:style>
  <w:style w:type="paragraph" w:customStyle="1" w:styleId="293">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Arial Unicode MS"/>
      <w:kern w:val="0"/>
      <w:sz w:val="20"/>
      <w:szCs w:val="20"/>
    </w:rPr>
  </w:style>
  <w:style w:type="paragraph" w:customStyle="1" w:styleId="294">
    <w:name w:val="xl68"/>
    <w:basedOn w:val="1"/>
    <w:qFormat/>
    <w:uiPriority w:val="0"/>
    <w:pPr>
      <w:widowControl/>
      <w:pBdr>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295">
    <w:name w:val="表"/>
    <w:basedOn w:val="1"/>
    <w:next w:val="1"/>
    <w:qFormat/>
    <w:uiPriority w:val="0"/>
    <w:pPr>
      <w:adjustRightInd w:val="0"/>
      <w:spacing w:before="120" w:line="240" w:lineRule="auto"/>
      <w:jc w:val="center"/>
      <w:textAlignment w:val="baseline"/>
    </w:pPr>
    <w:rPr>
      <w:rFonts w:ascii="Times New Roman" w:hAnsi="Times New Roman"/>
      <w:kern w:val="0"/>
      <w:sz w:val="21"/>
      <w:szCs w:val="20"/>
    </w:rPr>
  </w:style>
  <w:style w:type="paragraph" w:customStyle="1" w:styleId="296">
    <w:name w:val="xl41"/>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297">
    <w:name w:val="xl74"/>
    <w:basedOn w:val="1"/>
    <w:qFormat/>
    <w:uiPriority w:val="0"/>
    <w:pPr>
      <w:widowControl/>
      <w:pBdr>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298">
    <w:name w:val="9"/>
    <w:basedOn w:val="1"/>
    <w:next w:val="41"/>
    <w:qFormat/>
    <w:uiPriority w:val="0"/>
    <w:pPr>
      <w:spacing w:line="240" w:lineRule="auto"/>
    </w:pPr>
    <w:rPr>
      <w:rFonts w:hint="eastAsia" w:ascii="宋体" w:hAnsi="Courier New"/>
      <w:sz w:val="21"/>
      <w:szCs w:val="21"/>
    </w:rPr>
  </w:style>
  <w:style w:type="paragraph" w:customStyle="1" w:styleId="299">
    <w:name w:val="xl96"/>
    <w:basedOn w:val="1"/>
    <w:qFormat/>
    <w:uiPriority w:val="0"/>
    <w:pPr>
      <w:widowControl/>
      <w:pBdr>
        <w:top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2"/>
    </w:rPr>
  </w:style>
  <w:style w:type="paragraph" w:customStyle="1" w:styleId="300">
    <w:name w:val="xl35"/>
    <w:basedOn w:val="1"/>
    <w:qFormat/>
    <w:uiPriority w:val="0"/>
    <w:pPr>
      <w:widowControl/>
      <w:pBdr>
        <w:bottom w:val="single" w:color="auto" w:sz="4" w:space="0"/>
      </w:pBdr>
      <w:spacing w:before="100" w:beforeAutospacing="1" w:after="100" w:afterAutospacing="1" w:line="240" w:lineRule="auto"/>
      <w:jc w:val="left"/>
      <w:textAlignment w:val="center"/>
    </w:pPr>
    <w:rPr>
      <w:rFonts w:ascii="宋体" w:hAnsi="宋体" w:cs="宋体"/>
      <w:kern w:val="0"/>
      <w:sz w:val="24"/>
      <w:szCs w:val="24"/>
    </w:rPr>
  </w:style>
  <w:style w:type="paragraph" w:customStyle="1" w:styleId="301">
    <w:name w:val="xl6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02">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303">
    <w:name w:val="xl65"/>
    <w:basedOn w:val="1"/>
    <w:qFormat/>
    <w:uiPriority w:val="0"/>
    <w:pPr>
      <w:widowControl/>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04">
    <w:name w:val="xl4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FF0000"/>
      <w:kern w:val="0"/>
      <w:sz w:val="20"/>
      <w:szCs w:val="20"/>
    </w:rPr>
  </w:style>
  <w:style w:type="paragraph" w:customStyle="1" w:styleId="30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color w:val="000000"/>
      <w:kern w:val="0"/>
      <w:sz w:val="24"/>
      <w:szCs w:val="24"/>
    </w:rPr>
  </w:style>
  <w:style w:type="paragraph" w:customStyle="1" w:styleId="306">
    <w:name w:val="xl78"/>
    <w:basedOn w:val="1"/>
    <w:uiPriority w:val="0"/>
    <w:pPr>
      <w:widowControl/>
      <w:spacing w:before="100" w:beforeAutospacing="1" w:after="100" w:afterAutospacing="1" w:line="240" w:lineRule="auto"/>
      <w:jc w:val="center"/>
      <w:textAlignment w:val="center"/>
    </w:pPr>
    <w:rPr>
      <w:rFonts w:ascii="Arial Unicode MS" w:hAnsi="Arial Unicode MS" w:eastAsia="Arial Unicode MS" w:cs="Arial Unicode MS"/>
      <w:kern w:val="0"/>
      <w:sz w:val="24"/>
      <w:szCs w:val="24"/>
    </w:rPr>
  </w:style>
  <w:style w:type="paragraph" w:customStyle="1" w:styleId="307">
    <w:name w:val="xl91"/>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4"/>
      <w:szCs w:val="24"/>
    </w:rPr>
  </w:style>
  <w:style w:type="paragraph" w:customStyle="1" w:styleId="308">
    <w:name w:val="xl60"/>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09">
    <w:name w:val="xl75"/>
    <w:basedOn w:val="1"/>
    <w:qFormat/>
    <w:uiPriority w:val="0"/>
    <w:pPr>
      <w:widowControl/>
      <w:spacing w:before="100" w:beforeAutospacing="1" w:after="100" w:afterAutospacing="1" w:line="240" w:lineRule="auto"/>
      <w:jc w:val="left"/>
      <w:textAlignment w:val="center"/>
    </w:pPr>
    <w:rPr>
      <w:rFonts w:ascii="Arial Unicode MS" w:hAnsi="Arial Unicode MS" w:eastAsia="Arial Unicode MS" w:cs="Arial Unicode MS"/>
      <w:kern w:val="0"/>
      <w:sz w:val="20"/>
      <w:szCs w:val="20"/>
    </w:rPr>
  </w:style>
  <w:style w:type="paragraph" w:customStyle="1" w:styleId="310">
    <w:name w:val="王 一级标题"/>
    <w:basedOn w:val="1"/>
    <w:qFormat/>
    <w:uiPriority w:val="0"/>
    <w:pPr>
      <w:keepNext/>
      <w:keepLines/>
      <w:spacing w:before="260" w:after="260"/>
      <w:jc w:val="left"/>
      <w:outlineLvl w:val="1"/>
    </w:pPr>
    <w:rPr>
      <w:rFonts w:ascii="黑体" w:hAnsi="宋体" w:eastAsia="黑体" w:cs="Arial"/>
      <w:bCs/>
      <w:sz w:val="30"/>
      <w:szCs w:val="32"/>
    </w:rPr>
  </w:style>
  <w:style w:type="paragraph" w:customStyle="1" w:styleId="311">
    <w:name w:val="1"/>
    <w:basedOn w:val="1"/>
    <w:next w:val="41"/>
    <w:qFormat/>
    <w:uiPriority w:val="0"/>
    <w:pPr>
      <w:spacing w:line="240" w:lineRule="auto"/>
    </w:pPr>
    <w:rPr>
      <w:rFonts w:ascii="宋体" w:hAnsi="Courier New"/>
      <w:sz w:val="21"/>
      <w:szCs w:val="20"/>
    </w:rPr>
  </w:style>
  <w:style w:type="paragraph" w:customStyle="1" w:styleId="312">
    <w:name w:val="Char1 Char Char Char1 Char Char Char"/>
    <w:basedOn w:val="1"/>
    <w:qFormat/>
    <w:uiPriority w:val="0"/>
    <w:pPr>
      <w:ind w:firstLine="200" w:firstLineChars="200"/>
    </w:pPr>
    <w:rPr>
      <w:rFonts w:ascii="宋体" w:hAnsi="宋体" w:cs="宋体"/>
      <w:sz w:val="24"/>
      <w:szCs w:val="24"/>
    </w:rPr>
  </w:style>
  <w:style w:type="paragraph" w:customStyle="1" w:styleId="313">
    <w:name w:val="Char Char Char Char Char Char1 Char Char Char1 Char Char Char Char Char Char Char"/>
    <w:basedOn w:val="1"/>
    <w:qFormat/>
    <w:uiPriority w:val="0"/>
    <w:pPr>
      <w:ind w:firstLine="200" w:firstLineChars="200"/>
    </w:pPr>
    <w:rPr>
      <w:rFonts w:ascii="Times New Roman" w:hAnsi="Times New Roman"/>
      <w:sz w:val="21"/>
      <w:szCs w:val="20"/>
    </w:rPr>
  </w:style>
  <w:style w:type="paragraph" w:customStyle="1" w:styleId="314">
    <w:name w:val="xl73"/>
    <w:basedOn w:val="1"/>
    <w:qFormat/>
    <w:uiPriority w:val="0"/>
    <w:pPr>
      <w:widowControl/>
      <w:pBdr>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315">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16">
    <w:name w:val="Char Char Char Char Char Char Char"/>
    <w:basedOn w:val="1"/>
    <w:qFormat/>
    <w:uiPriority w:val="0"/>
    <w:pPr>
      <w:spacing w:line="240" w:lineRule="auto"/>
    </w:pPr>
    <w:rPr>
      <w:rFonts w:ascii="Times New Roman" w:hAnsi="Times New Roman"/>
      <w:sz w:val="21"/>
      <w:szCs w:val="24"/>
    </w:rPr>
  </w:style>
  <w:style w:type="paragraph" w:customStyle="1" w:styleId="317">
    <w:name w:val="表左"/>
    <w:basedOn w:val="1"/>
    <w:qFormat/>
    <w:uiPriority w:val="0"/>
    <w:pPr>
      <w:overflowPunct w:val="0"/>
      <w:adjustRightInd w:val="0"/>
      <w:spacing w:line="280" w:lineRule="exact"/>
      <w:jc w:val="center"/>
      <w:textAlignment w:val="baseline"/>
    </w:pPr>
    <w:rPr>
      <w:rFonts w:ascii="Times New Roman" w:hAnsi="Times New Roman"/>
      <w:color w:val="000000"/>
      <w:kern w:val="24"/>
      <w:sz w:val="18"/>
      <w:szCs w:val="20"/>
    </w:rPr>
  </w:style>
  <w:style w:type="paragraph" w:customStyle="1" w:styleId="318">
    <w:name w:val="font11"/>
    <w:basedOn w:val="1"/>
    <w:qFormat/>
    <w:uiPriority w:val="0"/>
    <w:pPr>
      <w:widowControl/>
      <w:spacing w:before="100" w:beforeAutospacing="1" w:after="100" w:afterAutospacing="1" w:line="240" w:lineRule="auto"/>
      <w:jc w:val="left"/>
    </w:pPr>
    <w:rPr>
      <w:rFonts w:ascii="Times New Roman" w:hAnsi="Times New Roman" w:eastAsia="Arial Unicode MS"/>
      <w:b/>
      <w:bCs/>
      <w:kern w:val="0"/>
      <w:sz w:val="32"/>
      <w:szCs w:val="32"/>
    </w:rPr>
  </w:style>
  <w:style w:type="paragraph" w:customStyle="1" w:styleId="31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20">
    <w:name w:val="xl101"/>
    <w:basedOn w:val="1"/>
    <w:qFormat/>
    <w:uiPriority w:val="0"/>
    <w:pPr>
      <w:widowControl/>
      <w:pBdr>
        <w:bottom w:val="single" w:color="auto" w:sz="4" w:space="0"/>
        <w:right w:val="single" w:color="auto" w:sz="8" w:space="0"/>
      </w:pBdr>
      <w:spacing w:before="100" w:beforeAutospacing="1" w:after="100" w:afterAutospacing="1" w:line="240" w:lineRule="auto"/>
    </w:pPr>
    <w:rPr>
      <w:rFonts w:ascii="Times New Roman" w:hAnsi="Times New Roman" w:eastAsia="Arial Unicode MS"/>
      <w:kern w:val="0"/>
      <w:sz w:val="22"/>
    </w:rPr>
  </w:style>
  <w:style w:type="paragraph" w:customStyle="1" w:styleId="321">
    <w:name w:val="xl34"/>
    <w:basedOn w:val="1"/>
    <w:qFormat/>
    <w:uiPriority w:val="0"/>
    <w:pPr>
      <w:widowControl/>
      <w:pBdr>
        <w:bottom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322">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color w:val="000000"/>
      <w:kern w:val="0"/>
      <w:sz w:val="20"/>
      <w:szCs w:val="20"/>
    </w:rPr>
  </w:style>
  <w:style w:type="paragraph" w:customStyle="1" w:styleId="323">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0"/>
      <w:szCs w:val="20"/>
    </w:rPr>
  </w:style>
  <w:style w:type="paragraph" w:customStyle="1" w:styleId="324">
    <w:name w:val="xl82"/>
    <w:basedOn w:val="1"/>
    <w:qFormat/>
    <w:uiPriority w:val="0"/>
    <w:pPr>
      <w:widowControl/>
      <w:spacing w:before="100" w:beforeAutospacing="1" w:after="100" w:afterAutospacing="1" w:line="240" w:lineRule="auto"/>
      <w:jc w:val="left"/>
      <w:textAlignment w:val="center"/>
    </w:pPr>
    <w:rPr>
      <w:rFonts w:ascii="Arial Unicode MS" w:hAnsi="Arial Unicode MS" w:eastAsia="Arial Unicode MS" w:cs="Arial Unicode MS"/>
      <w:color w:val="000000"/>
      <w:kern w:val="0"/>
      <w:sz w:val="24"/>
      <w:szCs w:val="24"/>
    </w:rPr>
  </w:style>
  <w:style w:type="paragraph" w:customStyle="1" w:styleId="325">
    <w:name w:val="正文报告"/>
    <w:basedOn w:val="1"/>
    <w:qFormat/>
    <w:uiPriority w:val="0"/>
    <w:pPr>
      <w:topLinePunct/>
      <w:spacing w:line="480" w:lineRule="auto"/>
      <w:ind w:firstLine="567"/>
    </w:pPr>
    <w:rPr>
      <w:rFonts w:ascii="Times New Roman" w:hAnsi="Times New Roman"/>
      <w:szCs w:val="28"/>
    </w:rPr>
  </w:style>
  <w:style w:type="paragraph" w:customStyle="1" w:styleId="326">
    <w:name w:val="xl63"/>
    <w:basedOn w:val="1"/>
    <w:qFormat/>
    <w:uiPriority w:val="0"/>
    <w:pPr>
      <w:widowControl/>
      <w:spacing w:before="100" w:beforeAutospacing="1" w:after="100" w:afterAutospacing="1" w:line="240" w:lineRule="auto"/>
      <w:jc w:val="left"/>
      <w:textAlignment w:val="center"/>
    </w:pPr>
    <w:rPr>
      <w:rFonts w:ascii="Arial Unicode MS" w:hAnsi="Arial Unicode MS" w:eastAsia="Arial Unicode MS" w:cs="Arial Unicode MS"/>
      <w:color w:val="000000"/>
      <w:kern w:val="0"/>
      <w:sz w:val="20"/>
      <w:szCs w:val="20"/>
    </w:rPr>
  </w:style>
  <w:style w:type="paragraph" w:customStyle="1" w:styleId="327">
    <w:name w:val="xl99"/>
    <w:basedOn w:val="1"/>
    <w:qFormat/>
    <w:uiPriority w:val="0"/>
    <w:pPr>
      <w:widowControl/>
      <w:pBdr>
        <w:bottom w:val="single" w:color="auto" w:sz="4" w:space="0"/>
      </w:pBdr>
      <w:spacing w:before="100" w:beforeAutospacing="1" w:after="100" w:afterAutospacing="1" w:line="240" w:lineRule="auto"/>
      <w:jc w:val="left"/>
    </w:pPr>
    <w:rPr>
      <w:rFonts w:ascii="Arial Unicode MS" w:hAnsi="Arial Unicode MS" w:eastAsia="Arial Unicode MS" w:cs="Arial Unicode MS"/>
      <w:kern w:val="0"/>
      <w:sz w:val="22"/>
    </w:rPr>
  </w:style>
  <w:style w:type="paragraph" w:customStyle="1" w:styleId="328">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kern w:val="0"/>
      <w:sz w:val="20"/>
      <w:szCs w:val="20"/>
    </w:rPr>
  </w:style>
  <w:style w:type="paragraph" w:customStyle="1" w:styleId="329">
    <w:name w:val="xl66"/>
    <w:basedOn w:val="1"/>
    <w:qFormat/>
    <w:uiPriority w:val="0"/>
    <w:pPr>
      <w:widowControl/>
      <w:pBdr>
        <w:top w:val="single" w:color="auto" w:sz="4" w:space="0"/>
        <w:lef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30">
    <w:name w:val="4"/>
    <w:basedOn w:val="1"/>
    <w:next w:val="29"/>
    <w:qFormat/>
    <w:uiPriority w:val="0"/>
    <w:pPr>
      <w:spacing w:line="220" w:lineRule="exact"/>
      <w:jc w:val="center"/>
    </w:pPr>
    <w:rPr>
      <w:rFonts w:ascii="Times New Roman" w:hAnsi="Times New Roman"/>
      <w:sz w:val="21"/>
      <w:szCs w:val="20"/>
    </w:rPr>
  </w:style>
  <w:style w:type="paragraph" w:customStyle="1" w:styleId="3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32">
    <w:name w:val="PP 行"/>
    <w:basedOn w:val="53"/>
    <w:uiPriority w:val="0"/>
  </w:style>
  <w:style w:type="paragraph" w:customStyle="1" w:styleId="333">
    <w:name w:val="Char Char Char1 Char"/>
    <w:basedOn w:val="1"/>
    <w:qFormat/>
    <w:uiPriority w:val="0"/>
    <w:pPr>
      <w:widowControl/>
      <w:ind w:firstLine="200" w:firstLineChars="200"/>
      <w:jc w:val="left"/>
    </w:pPr>
    <w:rPr>
      <w:rFonts w:ascii="宋体" w:hAnsi="宋体" w:cs="宋体"/>
      <w:kern w:val="0"/>
      <w:sz w:val="24"/>
      <w:szCs w:val="24"/>
    </w:rPr>
  </w:style>
  <w:style w:type="paragraph" w:customStyle="1" w:styleId="334">
    <w:name w:val="xl92"/>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4"/>
      <w:szCs w:val="24"/>
    </w:rPr>
  </w:style>
  <w:style w:type="paragraph" w:customStyle="1" w:styleId="335">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Arial Unicode MS"/>
      <w:color w:val="000000"/>
      <w:kern w:val="0"/>
      <w:sz w:val="20"/>
      <w:szCs w:val="20"/>
    </w:rPr>
  </w:style>
  <w:style w:type="paragraph" w:customStyle="1" w:styleId="336">
    <w:name w:val="xl48"/>
    <w:basedOn w:val="1"/>
    <w:qFormat/>
    <w:uiPriority w:val="0"/>
    <w:pPr>
      <w:widowControl/>
      <w:spacing w:before="100" w:beforeAutospacing="1" w:after="100" w:afterAutospacing="1" w:line="240" w:lineRule="auto"/>
      <w:jc w:val="left"/>
    </w:pPr>
    <w:rPr>
      <w:rFonts w:ascii="Arial Unicode MS" w:hAnsi="Arial Unicode MS" w:eastAsia="Arial Unicode MS" w:cs="Arial Unicode MS"/>
      <w:b/>
      <w:bCs/>
      <w:kern w:val="0"/>
      <w:szCs w:val="28"/>
    </w:rPr>
  </w:style>
  <w:style w:type="paragraph" w:customStyle="1" w:styleId="337">
    <w:name w:val="样式 标题 3h33rd levelH33Head 3level_3PIM 3Level 3 Head二级节名...2"/>
    <w:basedOn w:val="4"/>
    <w:qFormat/>
    <w:uiPriority w:val="0"/>
    <w:pPr>
      <w:tabs>
        <w:tab w:val="left" w:pos="0"/>
      </w:tabs>
      <w:spacing w:before="0" w:after="120" w:line="300" w:lineRule="auto"/>
    </w:pPr>
    <w:rPr>
      <w:rFonts w:ascii="Times New Roman" w:hAnsi="华文中宋" w:eastAsia="华文中宋"/>
      <w:b w:val="0"/>
      <w:kern w:val="0"/>
      <w:sz w:val="24"/>
      <w:szCs w:val="28"/>
      <w:lang w:val="zh-CN"/>
    </w:rPr>
  </w:style>
  <w:style w:type="paragraph" w:customStyle="1" w:styleId="338">
    <w:name w:val="Char1 Char Char"/>
    <w:basedOn w:val="1"/>
    <w:qFormat/>
    <w:uiPriority w:val="0"/>
    <w:pPr>
      <w:spacing w:line="240" w:lineRule="auto"/>
    </w:pPr>
    <w:rPr>
      <w:rFonts w:ascii="Times New Roman" w:hAnsi="Times New Roman"/>
      <w:sz w:val="21"/>
      <w:szCs w:val="24"/>
    </w:rPr>
  </w:style>
  <w:style w:type="paragraph" w:customStyle="1" w:styleId="339">
    <w:name w:val="font6"/>
    <w:basedOn w:val="1"/>
    <w:uiPriority w:val="0"/>
    <w:pPr>
      <w:widowControl/>
      <w:spacing w:before="100" w:beforeAutospacing="1" w:after="100" w:afterAutospacing="1" w:line="240" w:lineRule="auto"/>
      <w:jc w:val="left"/>
    </w:pPr>
    <w:rPr>
      <w:rFonts w:ascii="宋体" w:hAnsi="宋体" w:cs="宋体"/>
      <w:kern w:val="0"/>
      <w:sz w:val="20"/>
      <w:szCs w:val="20"/>
    </w:rPr>
  </w:style>
  <w:style w:type="paragraph" w:customStyle="1" w:styleId="340">
    <w:name w:val="xl76"/>
    <w:basedOn w:val="1"/>
    <w:qFormat/>
    <w:uiPriority w:val="0"/>
    <w:pPr>
      <w:widowControl/>
      <w:spacing w:before="100" w:beforeAutospacing="1" w:after="100" w:afterAutospacing="1" w:line="240" w:lineRule="auto"/>
      <w:jc w:val="center"/>
      <w:textAlignment w:val="center"/>
    </w:pPr>
    <w:rPr>
      <w:rFonts w:ascii="Times New Roman" w:hAnsi="Times New Roman" w:eastAsia="Arial Unicode MS"/>
      <w:kern w:val="0"/>
      <w:sz w:val="20"/>
      <w:szCs w:val="20"/>
    </w:rPr>
  </w:style>
  <w:style w:type="paragraph" w:customStyle="1" w:styleId="341">
    <w:name w:val="小节标题"/>
    <w:basedOn w:val="1"/>
    <w:next w:val="1"/>
    <w:qFormat/>
    <w:uiPriority w:val="0"/>
    <w:pPr>
      <w:widowControl/>
      <w:adjustRightInd w:val="0"/>
      <w:snapToGrid w:val="0"/>
      <w:spacing w:before="175" w:after="102" w:line="351" w:lineRule="atLeast"/>
      <w:ind w:firstLine="200" w:firstLineChars="200"/>
      <w:jc w:val="left"/>
      <w:textAlignment w:val="baseline"/>
    </w:pPr>
    <w:rPr>
      <w:rFonts w:ascii="Times New Roman" w:hAnsi="Times New Roman" w:eastAsia="黑体"/>
      <w:color w:val="000000"/>
      <w:kern w:val="0"/>
      <w:sz w:val="24"/>
      <w:szCs w:val="24"/>
      <w:u w:color="000000"/>
    </w:rPr>
  </w:style>
  <w:style w:type="paragraph" w:customStyle="1" w:styleId="342">
    <w:name w:val="默认段落字体 Para Char Char Char Char"/>
    <w:basedOn w:val="1"/>
    <w:qFormat/>
    <w:uiPriority w:val="0"/>
    <w:pPr>
      <w:spacing w:line="240" w:lineRule="auto"/>
    </w:pPr>
    <w:rPr>
      <w:rFonts w:ascii="Times New Roman" w:hAnsi="Times New Roman"/>
      <w:sz w:val="21"/>
      <w:szCs w:val="24"/>
    </w:rPr>
  </w:style>
  <w:style w:type="paragraph" w:customStyle="1" w:styleId="343">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0"/>
      <w:szCs w:val="20"/>
    </w:rPr>
  </w:style>
  <w:style w:type="paragraph" w:customStyle="1" w:styleId="344">
    <w:name w:val="样式1"/>
    <w:basedOn w:val="1"/>
    <w:link w:val="371"/>
    <w:qFormat/>
    <w:uiPriority w:val="0"/>
    <w:pPr>
      <w:overflowPunct w:val="0"/>
      <w:topLinePunct/>
      <w:autoSpaceDE w:val="0"/>
      <w:autoSpaceDN w:val="0"/>
      <w:adjustRightInd w:val="0"/>
      <w:snapToGrid w:val="0"/>
      <w:spacing w:line="400" w:lineRule="atLeast"/>
      <w:textAlignment w:val="baseline"/>
    </w:pPr>
    <w:rPr>
      <w:rFonts w:ascii="宋体" w:hAnsi="Times New Roman"/>
      <w:sz w:val="21"/>
      <w:szCs w:val="20"/>
    </w:rPr>
  </w:style>
  <w:style w:type="paragraph" w:customStyle="1" w:styleId="345">
    <w:name w:val="xl5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46">
    <w:name w:val="xl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szCs w:val="24"/>
    </w:rPr>
  </w:style>
  <w:style w:type="paragraph" w:customStyle="1" w:styleId="347">
    <w:name w:val="f14"/>
    <w:basedOn w:val="1"/>
    <w:qFormat/>
    <w:uiPriority w:val="0"/>
    <w:pPr>
      <w:widowControl/>
      <w:wordWrap w:val="0"/>
      <w:spacing w:before="100" w:beforeAutospacing="1" w:after="100" w:afterAutospacing="1" w:line="240" w:lineRule="auto"/>
      <w:jc w:val="left"/>
    </w:pPr>
    <w:rPr>
      <w:rFonts w:ascii="宋体" w:hAnsi="宋体"/>
      <w:color w:val="000000"/>
      <w:kern w:val="0"/>
      <w:sz w:val="18"/>
      <w:szCs w:val="18"/>
    </w:rPr>
  </w:style>
  <w:style w:type="paragraph" w:customStyle="1" w:styleId="348">
    <w:name w:val="xl71"/>
    <w:basedOn w:val="1"/>
    <w:qFormat/>
    <w:uiPriority w:val="0"/>
    <w:pPr>
      <w:widowControl/>
      <w:pBdr>
        <w:bottom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kern w:val="0"/>
      <w:sz w:val="20"/>
      <w:szCs w:val="20"/>
    </w:rPr>
  </w:style>
  <w:style w:type="paragraph" w:customStyle="1" w:styleId="349">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0"/>
      <w:szCs w:val="20"/>
    </w:rPr>
  </w:style>
  <w:style w:type="paragraph" w:customStyle="1" w:styleId="35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Arial Unicode MS" w:hAnsi="Arial Unicode MS" w:eastAsia="Arial Unicode MS" w:cs="Arial Unicode MS"/>
      <w:color w:val="FF0000"/>
      <w:kern w:val="0"/>
      <w:sz w:val="20"/>
      <w:szCs w:val="20"/>
    </w:rPr>
  </w:style>
  <w:style w:type="paragraph" w:customStyle="1" w:styleId="351">
    <w:name w:val="Char2"/>
    <w:basedOn w:val="2"/>
    <w:next w:val="2"/>
    <w:qFormat/>
    <w:uiPriority w:val="0"/>
    <w:pPr>
      <w:keepNext w:val="0"/>
      <w:keepLines w:val="0"/>
      <w:tabs>
        <w:tab w:val="left" w:pos="700"/>
      </w:tabs>
      <w:adjustRightInd w:val="0"/>
      <w:snapToGrid w:val="0"/>
      <w:spacing w:before="0" w:after="0" w:line="360" w:lineRule="exact"/>
      <w:jc w:val="center"/>
      <w:outlineLvl w:val="9"/>
    </w:pPr>
    <w:rPr>
      <w:rFonts w:ascii="仿宋_GB2312" w:hAnsi="Verdana" w:eastAsia="仿宋_GB2312"/>
      <w:snapToGrid w:val="0"/>
      <w:kern w:val="0"/>
      <w:sz w:val="28"/>
      <w:szCs w:val="28"/>
      <w:lang w:eastAsia="en-US"/>
    </w:rPr>
  </w:style>
  <w:style w:type="paragraph" w:customStyle="1" w:styleId="352">
    <w:name w:val="will head 1"/>
    <w:basedOn w:val="2"/>
    <w:qFormat/>
    <w:uiPriority w:val="0"/>
    <w:pPr>
      <w:numPr>
        <w:ilvl w:val="1"/>
        <w:numId w:val="4"/>
      </w:numPr>
      <w:spacing w:before="240" w:after="120" w:line="360" w:lineRule="auto"/>
    </w:pPr>
    <w:rPr>
      <w:sz w:val="32"/>
      <w:szCs w:val="32"/>
      <w:lang w:val="zh-CN"/>
    </w:rPr>
  </w:style>
  <w:style w:type="table" w:customStyle="1" w:styleId="353">
    <w:name w:val="网格型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54">
    <w:name w:val="Char Char132"/>
    <w:uiPriority w:val="0"/>
    <w:rPr>
      <w:b/>
      <w:bCs/>
      <w:kern w:val="28"/>
      <w:sz w:val="32"/>
      <w:szCs w:val="32"/>
    </w:rPr>
  </w:style>
  <w:style w:type="character" w:customStyle="1" w:styleId="355">
    <w:name w:val="Char Char152"/>
    <w:qFormat/>
    <w:uiPriority w:val="0"/>
    <w:rPr>
      <w:rFonts w:ascii="Times New Roman" w:hAnsi="Times New Roman"/>
      <w:b/>
      <w:bCs/>
      <w:kern w:val="44"/>
      <w:sz w:val="44"/>
      <w:szCs w:val="44"/>
    </w:rPr>
  </w:style>
  <w:style w:type="character" w:customStyle="1" w:styleId="356">
    <w:name w:val="页脚 Char2"/>
    <w:semiHidden/>
    <w:qFormat/>
    <w:uiPriority w:val="99"/>
    <w:rPr>
      <w:rFonts w:ascii="Calibri" w:hAnsi="Calibri" w:eastAsia="宋体" w:cs="Times New Roman"/>
      <w:sz w:val="18"/>
      <w:szCs w:val="18"/>
    </w:rPr>
  </w:style>
  <w:style w:type="character" w:customStyle="1" w:styleId="357">
    <w:name w:val="页眉 Char1"/>
    <w:qFormat/>
    <w:uiPriority w:val="99"/>
    <w:rPr>
      <w:rFonts w:ascii="Calibri" w:hAnsi="Calibri" w:eastAsia="宋体" w:cs="Times New Roman"/>
      <w:sz w:val="18"/>
      <w:szCs w:val="18"/>
    </w:rPr>
  </w:style>
  <w:style w:type="table" w:customStyle="1" w:styleId="358">
    <w:name w:val="网格型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9">
    <w:name w:val="网格型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0">
    <w:name w:val="网格型4"/>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1">
    <w:name w:val="网格型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62">
    <w:name w:val="默认段落字体 Para Char"/>
    <w:basedOn w:val="1"/>
    <w:qFormat/>
    <w:uiPriority w:val="0"/>
    <w:rPr>
      <w:rFonts w:ascii="宋体" w:hAnsi="宋体" w:cs="宋体"/>
      <w:sz w:val="24"/>
      <w:szCs w:val="24"/>
    </w:rPr>
  </w:style>
  <w:style w:type="paragraph" w:customStyle="1" w:styleId="363">
    <w:name w:val="自正文1"/>
    <w:basedOn w:val="1"/>
    <w:qFormat/>
    <w:uiPriority w:val="0"/>
    <w:pPr>
      <w:tabs>
        <w:tab w:val="left" w:pos="5670"/>
      </w:tabs>
      <w:adjustRightInd w:val="0"/>
      <w:snapToGrid w:val="0"/>
      <w:spacing w:line="240" w:lineRule="auto"/>
      <w:ind w:firstLine="353" w:firstLineChars="196"/>
      <w:textAlignment w:val="baseline"/>
    </w:pPr>
    <w:rPr>
      <w:rFonts w:ascii="Times New Roman" w:hAnsi="宋体"/>
      <w:kern w:val="24"/>
      <w:sz w:val="18"/>
      <w:szCs w:val="18"/>
    </w:rPr>
  </w:style>
  <w:style w:type="paragraph" w:customStyle="1" w:styleId="364">
    <w:name w:val="表格题目"/>
    <w:basedOn w:val="1"/>
    <w:qFormat/>
    <w:uiPriority w:val="0"/>
    <w:pPr>
      <w:adjustRightInd w:val="0"/>
      <w:spacing w:before="156" w:beforeLines="50" w:after="156" w:afterLines="50" w:line="240" w:lineRule="auto"/>
      <w:ind w:left="470" w:leftChars="224" w:firstLine="1878" w:firstLineChars="797"/>
    </w:pPr>
    <w:rPr>
      <w:rFonts w:ascii="宋体" w:hAnsi="Times New Roman"/>
      <w:b/>
      <w:bCs/>
      <w:sz w:val="24"/>
      <w:szCs w:val="20"/>
    </w:rPr>
  </w:style>
  <w:style w:type="paragraph" w:customStyle="1" w:styleId="365">
    <w:name w:val="表中文字"/>
    <w:basedOn w:val="1"/>
    <w:qFormat/>
    <w:uiPriority w:val="0"/>
    <w:pPr>
      <w:adjustRightInd w:val="0"/>
      <w:snapToGrid w:val="0"/>
      <w:spacing w:line="240" w:lineRule="auto"/>
      <w:jc w:val="center"/>
    </w:pPr>
    <w:rPr>
      <w:rFonts w:ascii="Times New Roman" w:hAnsi="Times New Roman"/>
      <w:sz w:val="21"/>
      <w:szCs w:val="24"/>
    </w:rPr>
  </w:style>
  <w:style w:type="paragraph" w:customStyle="1" w:styleId="366">
    <w:name w:val="环评正文"/>
    <w:basedOn w:val="1"/>
    <w:link w:val="367"/>
    <w:qFormat/>
    <w:uiPriority w:val="0"/>
    <w:pPr>
      <w:spacing w:before="60" w:after="60" w:line="400" w:lineRule="exact"/>
      <w:ind w:firstLine="200" w:firstLineChars="200"/>
    </w:pPr>
    <w:rPr>
      <w:rFonts w:ascii="Times New Roman" w:hAnsi="Times New Roman" w:eastAsia="仿宋_GB2312"/>
      <w:sz w:val="24"/>
      <w:szCs w:val="24"/>
    </w:rPr>
  </w:style>
  <w:style w:type="character" w:customStyle="1" w:styleId="367">
    <w:name w:val="环评正文 Char"/>
    <w:link w:val="366"/>
    <w:qFormat/>
    <w:uiPriority w:val="0"/>
    <w:rPr>
      <w:rFonts w:ascii="Times New Roman" w:hAnsi="Times New Roman" w:eastAsia="仿宋_GB2312" w:cs="Times New Roman"/>
      <w:sz w:val="24"/>
      <w:szCs w:val="24"/>
    </w:rPr>
  </w:style>
  <w:style w:type="character" w:customStyle="1" w:styleId="368">
    <w:name w:val="表格 Char"/>
    <w:qFormat/>
    <w:uiPriority w:val="0"/>
    <w:rPr>
      <w:rFonts w:eastAsia="宋体"/>
      <w:kern w:val="2"/>
      <w:sz w:val="21"/>
      <w:szCs w:val="21"/>
      <w:lang w:val="en-US" w:eastAsia="zh-CN" w:bidi="ar-SA"/>
    </w:rPr>
  </w:style>
  <w:style w:type="paragraph" w:customStyle="1" w:styleId="369">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sz w:val="21"/>
      <w:szCs w:val="20"/>
    </w:rPr>
  </w:style>
  <w:style w:type="paragraph" w:customStyle="1" w:styleId="370">
    <w:name w:val="日期1"/>
    <w:basedOn w:val="1"/>
    <w:next w:val="1"/>
    <w:qFormat/>
    <w:uiPriority w:val="0"/>
    <w:pPr>
      <w:adjustRightInd w:val="0"/>
      <w:spacing w:line="240" w:lineRule="auto"/>
      <w:textAlignment w:val="baseline"/>
    </w:pPr>
    <w:rPr>
      <w:rFonts w:ascii="Times New Roman" w:hAnsi="Times New Roman"/>
      <w:sz w:val="21"/>
      <w:szCs w:val="20"/>
    </w:rPr>
  </w:style>
  <w:style w:type="character" w:customStyle="1" w:styleId="371">
    <w:name w:val="样式1 Char"/>
    <w:link w:val="344"/>
    <w:qFormat/>
    <w:uiPriority w:val="0"/>
    <w:rPr>
      <w:rFonts w:ascii="宋体" w:hAnsi="Times New Roman" w:eastAsia="宋体" w:cs="Times New Roman"/>
      <w:szCs w:val="20"/>
    </w:rPr>
  </w:style>
  <w:style w:type="paragraph" w:customStyle="1" w:styleId="372">
    <w:name w:val="正文 首行缩进:  2 字符"/>
    <w:basedOn w:val="1"/>
    <w:qFormat/>
    <w:uiPriority w:val="0"/>
    <w:pPr>
      <w:spacing w:line="240" w:lineRule="auto"/>
      <w:ind w:firstLine="579" w:firstLineChars="200"/>
    </w:pPr>
    <w:rPr>
      <w:rFonts w:ascii="Times New Roman" w:hAnsi="Times New Roman" w:cs="Arial"/>
      <w:szCs w:val="28"/>
    </w:rPr>
  </w:style>
  <w:style w:type="paragraph" w:customStyle="1" w:styleId="373">
    <w:name w:val="表目录"/>
    <w:basedOn w:val="1"/>
    <w:uiPriority w:val="0"/>
    <w:pPr>
      <w:adjustRightInd w:val="0"/>
      <w:snapToGrid w:val="0"/>
    </w:pPr>
    <w:rPr>
      <w:rFonts w:ascii="黑体" w:hAnsi="宋体" w:eastAsia="黑体"/>
      <w:sz w:val="21"/>
      <w:szCs w:val="21"/>
    </w:rPr>
  </w:style>
  <w:style w:type="paragraph" w:customStyle="1" w:styleId="374">
    <w:name w:val="表体"/>
    <w:basedOn w:val="41"/>
    <w:link w:val="749"/>
    <w:qFormat/>
    <w:uiPriority w:val="0"/>
    <w:pPr>
      <w:widowControl w:val="0"/>
      <w:overflowPunct w:val="0"/>
      <w:adjustRightInd w:val="0"/>
      <w:spacing w:line="360" w:lineRule="auto"/>
      <w:ind w:left="-80" w:leftChars="-38" w:right="-71" w:rightChars="-34" w:firstLine="480" w:firstLineChars="200"/>
      <w:jc w:val="both"/>
      <w:textAlignment w:val="baseline"/>
    </w:pPr>
    <w:rPr>
      <w:rFonts w:ascii="Times New Roman" w:hAnsi="Times New Roman" w:cs="Times New Roman"/>
      <w:bCs/>
      <w:kern w:val="24"/>
      <w:sz w:val="24"/>
      <w:szCs w:val="24"/>
      <w:lang w:val="en-AU"/>
    </w:rPr>
  </w:style>
  <w:style w:type="paragraph" w:customStyle="1" w:styleId="375">
    <w:name w:val="Char5"/>
    <w:basedOn w:val="26"/>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376">
    <w:name w:val="表格中"/>
    <w:basedOn w:val="1"/>
    <w:qFormat/>
    <w:uiPriority w:val="0"/>
    <w:pPr>
      <w:spacing w:line="280" w:lineRule="exact"/>
      <w:jc w:val="center"/>
    </w:pPr>
    <w:rPr>
      <w:rFonts w:ascii="宋体" w:hAnsi="Times New Roman"/>
      <w:color w:val="000000"/>
      <w:sz w:val="18"/>
      <w:szCs w:val="30"/>
      <w:lang w:bidi="he-IL"/>
    </w:rPr>
  </w:style>
  <w:style w:type="paragraph" w:customStyle="1" w:styleId="377">
    <w:name w:val="Char4"/>
    <w:basedOn w:val="26"/>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378">
    <w:name w:val="表中"/>
    <w:basedOn w:val="1"/>
    <w:link w:val="752"/>
    <w:uiPriority w:val="0"/>
    <w:pPr>
      <w:spacing w:line="280" w:lineRule="exact"/>
      <w:jc w:val="center"/>
    </w:pPr>
    <w:rPr>
      <w:rFonts w:ascii="仿宋_GB2312" w:hAnsi="Times New Roman" w:eastAsia="仿宋_GB2312"/>
      <w:color w:val="000000"/>
      <w:sz w:val="18"/>
      <w:szCs w:val="20"/>
      <w:lang w:bidi="he-IL"/>
    </w:rPr>
  </w:style>
  <w:style w:type="paragraph" w:customStyle="1" w:styleId="379">
    <w:name w:val="表、图名"/>
    <w:basedOn w:val="1"/>
    <w:link w:val="744"/>
    <w:uiPriority w:val="0"/>
    <w:pPr>
      <w:adjustRightInd w:val="0"/>
      <w:snapToGrid w:val="0"/>
      <w:spacing w:line="240" w:lineRule="auto"/>
      <w:ind w:left="-6" w:firstLine="370" w:firstLineChars="154"/>
    </w:pPr>
    <w:rPr>
      <w:rFonts w:ascii="Times New Roman" w:hAnsi="宋体"/>
      <w:sz w:val="24"/>
      <w:szCs w:val="24"/>
    </w:rPr>
  </w:style>
  <w:style w:type="paragraph" w:customStyle="1" w:styleId="380">
    <w:name w:val="表注"/>
    <w:basedOn w:val="1"/>
    <w:qFormat/>
    <w:uiPriority w:val="0"/>
    <w:pPr>
      <w:keepLines/>
      <w:overflowPunct w:val="0"/>
      <w:adjustRightInd w:val="0"/>
      <w:spacing w:before="60" w:line="288" w:lineRule="auto"/>
      <w:ind w:left="737" w:hanging="397" w:firstLineChars="200"/>
      <w:textAlignment w:val="baseline"/>
    </w:pPr>
    <w:rPr>
      <w:rFonts w:ascii="宋体" w:hAnsi="Times New Roman"/>
      <w:color w:val="FF0000"/>
      <w:kern w:val="28"/>
      <w:sz w:val="21"/>
      <w:szCs w:val="20"/>
    </w:rPr>
  </w:style>
  <w:style w:type="character" w:customStyle="1" w:styleId="381">
    <w:name w:val="正文(首行缩进) Char"/>
    <w:qFormat/>
    <w:uiPriority w:val="0"/>
    <w:rPr>
      <w:rFonts w:eastAsia="宋体"/>
      <w:snapToGrid w:val="0"/>
      <w:spacing w:val="-4"/>
      <w:sz w:val="24"/>
      <w:szCs w:val="24"/>
      <w:lang w:val="en-US" w:eastAsia="zh-CN" w:bidi="ar-SA"/>
    </w:rPr>
  </w:style>
  <w:style w:type="character" w:customStyle="1" w:styleId="382">
    <w:name w:val="标题 2 Char1"/>
    <w:qFormat/>
    <w:uiPriority w:val="0"/>
    <w:rPr>
      <w:rFonts w:ascii="宋体" w:hAnsi="宋体" w:eastAsia="宋体"/>
      <w:b/>
      <w:spacing w:val="-8"/>
      <w:kern w:val="2"/>
      <w:sz w:val="30"/>
      <w:lang w:val="en-US" w:eastAsia="zh-CN" w:bidi="ar-SA"/>
    </w:rPr>
  </w:style>
  <w:style w:type="paragraph" w:customStyle="1" w:styleId="383">
    <w:name w:val="Char Char Char2"/>
    <w:basedOn w:val="1"/>
    <w:qFormat/>
    <w:uiPriority w:val="0"/>
    <w:pPr>
      <w:ind w:firstLine="200" w:firstLineChars="200"/>
    </w:pPr>
    <w:rPr>
      <w:rFonts w:ascii="宋体" w:hAnsi="宋体" w:cs="宋体"/>
      <w:szCs w:val="24"/>
    </w:rPr>
  </w:style>
  <w:style w:type="paragraph" w:customStyle="1" w:styleId="384">
    <w:name w:val="正文缩进2"/>
    <w:basedOn w:val="1"/>
    <w:next w:val="41"/>
    <w:qFormat/>
    <w:uiPriority w:val="0"/>
    <w:pPr>
      <w:snapToGrid w:val="0"/>
      <w:ind w:left="280" w:firstLine="590" w:firstLineChars="200"/>
      <w:jc w:val="right"/>
    </w:pPr>
    <w:rPr>
      <w:rFonts w:ascii="宋体" w:hAnsi="Courier New"/>
      <w:szCs w:val="20"/>
    </w:rPr>
  </w:style>
  <w:style w:type="character" w:customStyle="1" w:styleId="385">
    <w:name w:val="dectext1"/>
    <w:qFormat/>
    <w:uiPriority w:val="0"/>
    <w:rPr>
      <w:rFonts w:hint="eastAsia" w:ascii="宋体" w:hAnsi="宋体" w:eastAsia="宋体"/>
      <w:color w:val="333333"/>
      <w:sz w:val="28"/>
      <w:szCs w:val="28"/>
      <w:u w:val="none"/>
    </w:rPr>
  </w:style>
  <w:style w:type="paragraph" w:customStyle="1" w:styleId="386">
    <w:name w:val="表格，五宋"/>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387">
    <w:name w:val="自定义正文"/>
    <w:basedOn w:val="1"/>
    <w:qFormat/>
    <w:uiPriority w:val="0"/>
    <w:pPr>
      <w:adjustRightInd w:val="0"/>
      <w:snapToGrid w:val="0"/>
      <w:ind w:firstLine="560" w:firstLineChars="200"/>
      <w:textAlignment w:val="baseline"/>
    </w:pPr>
    <w:rPr>
      <w:rFonts w:ascii="宋体" w:hAnsi="宋体"/>
      <w:kern w:val="0"/>
      <w:szCs w:val="20"/>
    </w:rPr>
  </w:style>
  <w:style w:type="paragraph" w:customStyle="1" w:styleId="388">
    <w:name w:val="xl340"/>
    <w:basedOn w:val="1"/>
    <w:qFormat/>
    <w:uiPriority w:val="0"/>
    <w:pPr>
      <w:widowControl/>
      <w:snapToGrid w:val="0"/>
      <w:spacing w:before="100" w:after="100"/>
      <w:ind w:firstLine="590" w:firstLineChars="200"/>
      <w:textAlignment w:val="center"/>
    </w:pPr>
    <w:rPr>
      <w:rFonts w:ascii="宋体" w:hAnsi="宋体"/>
      <w:kern w:val="0"/>
      <w:szCs w:val="20"/>
    </w:rPr>
  </w:style>
  <w:style w:type="character" w:customStyle="1" w:styleId="389">
    <w:name w:val="unnamed31"/>
    <w:uiPriority w:val="0"/>
    <w:rPr>
      <w:color w:val="000000"/>
      <w:spacing w:val="408"/>
      <w:sz w:val="20"/>
      <w:szCs w:val="20"/>
      <w:u w:val="none"/>
    </w:rPr>
  </w:style>
  <w:style w:type="character" w:customStyle="1" w:styleId="390">
    <w:name w:val="f9wen1"/>
    <w:qFormat/>
    <w:uiPriority w:val="0"/>
    <w:rPr>
      <w:spacing w:val="12"/>
      <w:sz w:val="18"/>
      <w:szCs w:val="18"/>
      <w:u w:val="none"/>
    </w:rPr>
  </w:style>
  <w:style w:type="character" w:customStyle="1" w:styleId="391">
    <w:name w:val="a11"/>
    <w:qFormat/>
    <w:uiPriority w:val="0"/>
    <w:rPr>
      <w:spacing w:val="360"/>
      <w:sz w:val="20"/>
      <w:szCs w:val="20"/>
    </w:rPr>
  </w:style>
  <w:style w:type="paragraph" w:customStyle="1" w:styleId="392">
    <w:name w:val="表内文字"/>
    <w:basedOn w:val="1"/>
    <w:qFormat/>
    <w:uiPriority w:val="1"/>
    <w:pPr>
      <w:widowControl/>
      <w:autoSpaceDE w:val="0"/>
      <w:autoSpaceDN w:val="0"/>
      <w:adjustRightInd w:val="0"/>
      <w:snapToGrid w:val="0"/>
      <w:jc w:val="center"/>
      <w:textAlignment w:val="baseline"/>
    </w:pPr>
    <w:rPr>
      <w:rFonts w:ascii="宋体" w:hAnsi="宋体"/>
      <w:kern w:val="0"/>
      <w:sz w:val="21"/>
      <w:szCs w:val="20"/>
    </w:rPr>
  </w:style>
  <w:style w:type="paragraph" w:customStyle="1" w:styleId="393">
    <w:name w:val="标题4"/>
    <w:basedOn w:val="1"/>
    <w:uiPriority w:val="0"/>
    <w:pPr>
      <w:widowControl/>
      <w:autoSpaceDE w:val="0"/>
      <w:autoSpaceDN w:val="0"/>
      <w:adjustRightInd w:val="0"/>
      <w:snapToGrid w:val="0"/>
      <w:spacing w:beforeLines="50" w:afterLines="50"/>
      <w:ind w:firstLine="480" w:firstLineChars="295"/>
      <w:textAlignment w:val="baseline"/>
    </w:pPr>
    <w:rPr>
      <w:rFonts w:ascii="宋体" w:hAnsi="宋体"/>
      <w:kern w:val="0"/>
      <w:szCs w:val="20"/>
    </w:rPr>
  </w:style>
  <w:style w:type="paragraph" w:customStyle="1" w:styleId="394">
    <w:name w:val="图表名称"/>
    <w:basedOn w:val="1"/>
    <w:qFormat/>
    <w:uiPriority w:val="0"/>
    <w:pPr>
      <w:autoSpaceDE w:val="0"/>
      <w:autoSpaceDN w:val="0"/>
      <w:adjustRightInd w:val="0"/>
      <w:snapToGrid w:val="0"/>
      <w:spacing w:beforeLines="50" w:afterLines="50"/>
      <w:ind w:firstLine="2933" w:firstLineChars="1490"/>
      <w:jc w:val="left"/>
      <w:textAlignment w:val="baseline"/>
    </w:pPr>
    <w:rPr>
      <w:rFonts w:ascii="宋体" w:hAnsi="宋体"/>
      <w:b/>
      <w:bCs/>
      <w:kern w:val="0"/>
      <w:sz w:val="21"/>
      <w:szCs w:val="20"/>
    </w:rPr>
  </w:style>
  <w:style w:type="character" w:customStyle="1" w:styleId="395">
    <w:name w:val="标题2"/>
    <w:uiPriority w:val="0"/>
  </w:style>
  <w:style w:type="paragraph" w:customStyle="1" w:styleId="396">
    <w:name w:val="wtext"/>
    <w:basedOn w:val="1"/>
    <w:qFormat/>
    <w:uiPriority w:val="0"/>
    <w:pPr>
      <w:widowControl/>
      <w:snapToGrid w:val="0"/>
      <w:spacing w:before="100" w:beforeAutospacing="1" w:after="100" w:afterAutospacing="1"/>
      <w:jc w:val="left"/>
    </w:pPr>
    <w:rPr>
      <w:rFonts w:ascii="Arial Unicode MS" w:hAnsi="Arial Unicode MS" w:eastAsia="Arial Unicode MS"/>
      <w:kern w:val="0"/>
      <w:szCs w:val="24"/>
    </w:rPr>
  </w:style>
  <w:style w:type="paragraph" w:customStyle="1" w:styleId="397">
    <w:name w:val="3"/>
    <w:basedOn w:val="1"/>
    <w:next w:val="31"/>
    <w:qFormat/>
    <w:uiPriority w:val="0"/>
    <w:pPr>
      <w:snapToGrid w:val="0"/>
      <w:spacing w:after="120"/>
      <w:ind w:firstLine="752" w:firstLineChars="295"/>
    </w:pPr>
    <w:rPr>
      <w:rFonts w:ascii="宋体" w:hAnsi="宋体"/>
      <w:szCs w:val="24"/>
    </w:rPr>
  </w:style>
  <w:style w:type="paragraph" w:customStyle="1" w:styleId="398">
    <w:name w:val="正文文本 21"/>
    <w:basedOn w:val="1"/>
    <w:qFormat/>
    <w:uiPriority w:val="0"/>
    <w:pPr>
      <w:adjustRightInd w:val="0"/>
      <w:ind w:firstLine="567"/>
      <w:jc w:val="left"/>
      <w:textAlignment w:val="baseline"/>
    </w:pPr>
    <w:rPr>
      <w:rFonts w:ascii="Times New Roman" w:hAnsi="Times New Roman"/>
      <w:szCs w:val="20"/>
    </w:rPr>
  </w:style>
  <w:style w:type="paragraph" w:customStyle="1" w:styleId="399">
    <w:name w:val="备注"/>
    <w:basedOn w:val="1"/>
    <w:uiPriority w:val="0"/>
    <w:pPr>
      <w:tabs>
        <w:tab w:val="left" w:pos="547"/>
        <w:tab w:val="left" w:pos="1080"/>
      </w:tabs>
      <w:spacing w:line="400" w:lineRule="atLeast"/>
    </w:pPr>
    <w:rPr>
      <w:rFonts w:ascii="Times New Roman" w:hAnsi="Times New Roman"/>
      <w:sz w:val="21"/>
      <w:szCs w:val="21"/>
    </w:rPr>
  </w:style>
  <w:style w:type="character" w:customStyle="1" w:styleId="400">
    <w:name w:val="text-s1"/>
    <w:uiPriority w:val="0"/>
    <w:rPr>
      <w:sz w:val="20"/>
      <w:szCs w:val="20"/>
    </w:rPr>
  </w:style>
  <w:style w:type="paragraph" w:customStyle="1" w:styleId="401">
    <w:name w:val="样式 标题 2 + 红色"/>
    <w:basedOn w:val="3"/>
    <w:qFormat/>
    <w:uiPriority w:val="0"/>
    <w:pPr>
      <w:tabs>
        <w:tab w:val="clear" w:pos="1287"/>
      </w:tabs>
      <w:spacing w:before="0" w:beforeAutospacing="0" w:after="260" w:afterAutospacing="0" w:line="416" w:lineRule="auto"/>
    </w:pPr>
    <w:rPr>
      <w:rFonts w:ascii="Arial" w:hAnsi="Arial"/>
      <w:color w:val="FF0000"/>
      <w:sz w:val="28"/>
      <w:szCs w:val="32"/>
    </w:rPr>
  </w:style>
  <w:style w:type="character" w:customStyle="1" w:styleId="402">
    <w:name w:val="样式 标题 2 + 红色 Char"/>
    <w:qFormat/>
    <w:uiPriority w:val="0"/>
    <w:rPr>
      <w:rFonts w:ascii="Arial" w:hAnsi="Arial" w:eastAsia="黑体"/>
      <w:b/>
      <w:bCs/>
      <w:color w:val="FF0000"/>
      <w:spacing w:val="-8"/>
      <w:kern w:val="2"/>
      <w:sz w:val="28"/>
      <w:szCs w:val="32"/>
      <w:lang w:val="en-US" w:eastAsia="zh-CN" w:bidi="ar-SA"/>
    </w:rPr>
  </w:style>
  <w:style w:type="paragraph" w:customStyle="1" w:styleId="403">
    <w:name w:val="样式 标题 2 + 行距: 单倍行距"/>
    <w:basedOn w:val="3"/>
    <w:qFormat/>
    <w:uiPriority w:val="0"/>
    <w:pPr>
      <w:tabs>
        <w:tab w:val="clear" w:pos="1287"/>
      </w:tabs>
      <w:spacing w:before="0" w:beforeAutospacing="0" w:after="260" w:afterAutospacing="0" w:line="240" w:lineRule="auto"/>
    </w:pPr>
    <w:rPr>
      <w:rFonts w:ascii="Arial" w:hAnsi="Arial" w:cs="宋体"/>
      <w:b w:val="0"/>
      <w:sz w:val="28"/>
      <w:szCs w:val="20"/>
    </w:rPr>
  </w:style>
  <w:style w:type="paragraph" w:customStyle="1" w:styleId="404">
    <w:name w:val="样式 标题 2 + 四号 非加粗"/>
    <w:basedOn w:val="3"/>
    <w:qFormat/>
    <w:uiPriority w:val="0"/>
    <w:pPr>
      <w:tabs>
        <w:tab w:val="clear" w:pos="1287"/>
      </w:tabs>
      <w:spacing w:before="0" w:beforeAutospacing="0" w:after="260" w:afterAutospacing="0" w:line="416" w:lineRule="auto"/>
    </w:pPr>
    <w:rPr>
      <w:rFonts w:ascii="Arial" w:hAnsi="Arial"/>
      <w:b w:val="0"/>
      <w:bCs w:val="0"/>
      <w:sz w:val="28"/>
      <w:szCs w:val="32"/>
    </w:rPr>
  </w:style>
  <w:style w:type="paragraph" w:customStyle="1" w:styleId="405">
    <w:name w:val="表标题"/>
    <w:basedOn w:val="15"/>
    <w:qFormat/>
    <w:uiPriority w:val="0"/>
    <w:pPr>
      <w:spacing w:line="240" w:lineRule="auto"/>
      <w:ind w:firstLine="0" w:firstLineChars="0"/>
      <w:jc w:val="center"/>
    </w:pPr>
    <w:rPr>
      <w:rFonts w:ascii="宋体" w:hAnsi="宋体"/>
      <w:color w:val="auto"/>
      <w:kern w:val="2"/>
      <w:sz w:val="28"/>
      <w:szCs w:val="24"/>
    </w:rPr>
  </w:style>
  <w:style w:type="character" w:customStyle="1" w:styleId="406">
    <w:name w:val="正文首行缩进 2 Char"/>
    <w:basedOn w:val="198"/>
    <w:link w:val="51"/>
    <w:qFormat/>
    <w:uiPriority w:val="0"/>
    <w:rPr>
      <w:rFonts w:ascii="Times New Roman" w:hAnsi="Times New Roman" w:eastAsia="宋体" w:cs="Times New Roman"/>
      <w:sz w:val="28"/>
    </w:rPr>
  </w:style>
  <w:style w:type="character" w:customStyle="1" w:styleId="407">
    <w:name w:val="条，（一） Char"/>
    <w:qFormat/>
    <w:uiPriority w:val="0"/>
    <w:rPr>
      <w:rFonts w:eastAsia="宋体"/>
      <w:b/>
      <w:bCs/>
      <w:kern w:val="2"/>
      <w:sz w:val="32"/>
      <w:szCs w:val="32"/>
      <w:lang w:val="en-US" w:eastAsia="zh-CN" w:bidi="ar-SA"/>
    </w:rPr>
  </w:style>
  <w:style w:type="character" w:customStyle="1" w:styleId="408">
    <w:name w:val="(一) Char"/>
    <w:qFormat/>
    <w:uiPriority w:val="0"/>
    <w:rPr>
      <w:rFonts w:ascii="Arial" w:hAnsi="Arial" w:eastAsia="黑体"/>
      <w:b/>
      <w:bCs/>
      <w:kern w:val="2"/>
      <w:sz w:val="28"/>
      <w:szCs w:val="28"/>
      <w:lang w:val="en-US" w:eastAsia="zh-CN" w:bidi="ar-SA"/>
    </w:rPr>
  </w:style>
  <w:style w:type="paragraph" w:customStyle="1" w:styleId="409">
    <w:name w:val="表芯"/>
    <w:basedOn w:val="1"/>
    <w:next w:val="1"/>
    <w:qFormat/>
    <w:uiPriority w:val="0"/>
    <w:pPr>
      <w:keepNext/>
      <w:adjustRightInd w:val="0"/>
      <w:spacing w:before="20" w:line="0" w:lineRule="atLeast"/>
      <w:jc w:val="center"/>
      <w:textAlignment w:val="baseline"/>
    </w:pPr>
    <w:rPr>
      <w:rFonts w:ascii="宋体" w:hAnsi="宋体"/>
      <w:bCs/>
      <w:kern w:val="21"/>
      <w:sz w:val="21"/>
      <w:szCs w:val="20"/>
    </w:rPr>
  </w:style>
  <w:style w:type="character" w:customStyle="1" w:styleId="410">
    <w:name w:val="ss"/>
    <w:qFormat/>
    <w:uiPriority w:val="0"/>
  </w:style>
  <w:style w:type="paragraph" w:customStyle="1" w:styleId="411">
    <w:name w:val="样式 标题 1 + 红色 Char Char"/>
    <w:basedOn w:val="2"/>
    <w:link w:val="412"/>
    <w:qFormat/>
    <w:uiPriority w:val="0"/>
    <w:rPr>
      <w:rFonts w:ascii="Times New Roman" w:hAnsi="Times New Roman" w:eastAsia="黑体"/>
      <w:b w:val="0"/>
      <w:color w:val="FF0000"/>
      <w:sz w:val="32"/>
    </w:rPr>
  </w:style>
  <w:style w:type="character" w:customStyle="1" w:styleId="412">
    <w:name w:val="样式 标题 1 + 红色 Char Char Char"/>
    <w:link w:val="411"/>
    <w:qFormat/>
    <w:uiPriority w:val="0"/>
    <w:rPr>
      <w:rFonts w:ascii="Times New Roman" w:hAnsi="Times New Roman" w:eastAsia="黑体" w:cs="Times New Roman"/>
      <w:bCs/>
      <w:color w:val="FF0000"/>
      <w:kern w:val="44"/>
      <w:sz w:val="32"/>
      <w:szCs w:val="44"/>
    </w:rPr>
  </w:style>
  <w:style w:type="paragraph" w:customStyle="1" w:styleId="413">
    <w:name w:val="样式 样式 标题 2 + 红色 + 自动设置 Char Char"/>
    <w:basedOn w:val="401"/>
    <w:link w:val="414"/>
    <w:qFormat/>
    <w:uiPriority w:val="0"/>
    <w:pPr/>
    <w:rPr>
      <w:rFonts w:eastAsia="新宋体"/>
      <w:b w:val="0"/>
      <w:spacing w:val="-8"/>
    </w:rPr>
  </w:style>
  <w:style w:type="character" w:customStyle="1" w:styleId="414">
    <w:name w:val="样式 样式 标题 2 + 红色 + 自动设置 Char Char Char"/>
    <w:link w:val="413"/>
    <w:uiPriority w:val="0"/>
    <w:rPr>
      <w:rFonts w:ascii="Arial" w:hAnsi="Arial" w:eastAsia="新宋体" w:cs="Times New Roman"/>
      <w:bCs/>
      <w:color w:val="FF0000"/>
      <w:spacing w:val="-8"/>
      <w:sz w:val="28"/>
      <w:szCs w:val="32"/>
    </w:rPr>
  </w:style>
  <w:style w:type="paragraph" w:customStyle="1" w:styleId="415">
    <w:name w:val="表文 Char Char"/>
    <w:basedOn w:val="1"/>
    <w:qFormat/>
    <w:uiPriority w:val="0"/>
    <w:pPr>
      <w:overflowPunct w:val="0"/>
      <w:adjustRightInd w:val="0"/>
      <w:snapToGrid w:val="0"/>
      <w:spacing w:line="240" w:lineRule="auto"/>
      <w:jc w:val="center"/>
      <w:textAlignment w:val="baseline"/>
    </w:pPr>
    <w:rPr>
      <w:rFonts w:ascii="Times New Roman" w:hAnsi="Times New Roman"/>
      <w:sz w:val="21"/>
      <w:szCs w:val="20"/>
    </w:rPr>
  </w:style>
  <w:style w:type="paragraph" w:customStyle="1" w:styleId="416">
    <w:name w:val="纯文本1"/>
    <w:basedOn w:val="1"/>
    <w:link w:val="1516"/>
    <w:qFormat/>
    <w:uiPriority w:val="0"/>
    <w:pPr>
      <w:adjustRightInd w:val="0"/>
      <w:spacing w:line="240" w:lineRule="auto"/>
      <w:textAlignment w:val="baseline"/>
    </w:pPr>
    <w:rPr>
      <w:rFonts w:ascii="宋体" w:hAnsi="Times New Roman"/>
      <w:kern w:val="0"/>
      <w:sz w:val="21"/>
      <w:szCs w:val="20"/>
    </w:rPr>
  </w:style>
  <w:style w:type="paragraph" w:customStyle="1" w:styleId="417">
    <w:name w:val="图表说明"/>
    <w:basedOn w:val="363"/>
    <w:qFormat/>
    <w:uiPriority w:val="0"/>
    <w:pPr>
      <w:keepNext/>
      <w:tabs>
        <w:tab w:val="left" w:pos="0"/>
        <w:tab w:val="left" w:pos="142"/>
        <w:tab w:val="clear" w:pos="5670"/>
      </w:tabs>
      <w:spacing w:line="400" w:lineRule="exact"/>
      <w:ind w:firstLine="3600" w:firstLineChars="1500"/>
    </w:pPr>
    <w:rPr>
      <w:rFonts w:hAnsi="Times New Roman"/>
      <w:b/>
    </w:rPr>
  </w:style>
  <w:style w:type="character" w:customStyle="1" w:styleId="418">
    <w:name w:val="标题 11"/>
    <w:qFormat/>
    <w:uiPriority w:val="0"/>
    <w:rPr>
      <w:rFonts w:ascii="宋体" w:hAnsi="宋体" w:eastAsia="宋体"/>
      <w:b/>
      <w:bCs/>
      <w:kern w:val="44"/>
      <w:sz w:val="32"/>
      <w:szCs w:val="44"/>
      <w:lang w:val="en-US" w:eastAsia="zh-CN" w:bidi="ar-SA"/>
    </w:rPr>
  </w:style>
  <w:style w:type="character" w:customStyle="1" w:styleId="419">
    <w:name w:val="标题 21"/>
    <w:qFormat/>
    <w:uiPriority w:val="0"/>
    <w:rPr>
      <w:rFonts w:ascii="宋体" w:hAnsi="宋体" w:eastAsia="宋体"/>
      <w:b/>
      <w:spacing w:val="-8"/>
      <w:kern w:val="2"/>
      <w:sz w:val="30"/>
      <w:lang w:val="en-US" w:eastAsia="zh-CN" w:bidi="ar-SA"/>
    </w:rPr>
  </w:style>
  <w:style w:type="paragraph" w:customStyle="1" w:styleId="420">
    <w:name w:val="样式 标题 1 + 红色 Char"/>
    <w:basedOn w:val="2"/>
    <w:link w:val="421"/>
    <w:qFormat/>
    <w:uiPriority w:val="0"/>
    <w:rPr>
      <w:rFonts w:ascii="宋体" w:hAnsi="宋体" w:eastAsia="黑体"/>
      <w:color w:val="FF0000"/>
      <w:sz w:val="32"/>
    </w:rPr>
  </w:style>
  <w:style w:type="character" w:customStyle="1" w:styleId="421">
    <w:name w:val="样式 标题 1 + 红色 Char Char1"/>
    <w:link w:val="420"/>
    <w:qFormat/>
    <w:uiPriority w:val="0"/>
    <w:rPr>
      <w:rFonts w:ascii="宋体" w:hAnsi="宋体" w:eastAsia="黑体" w:cs="Times New Roman"/>
      <w:b/>
      <w:bCs/>
      <w:color w:val="FF0000"/>
      <w:kern w:val="44"/>
      <w:sz w:val="32"/>
      <w:szCs w:val="44"/>
    </w:rPr>
  </w:style>
  <w:style w:type="paragraph" w:customStyle="1" w:styleId="422">
    <w:name w:val="样式 样式 标题 2 + 红色 + 自动设置 Char"/>
    <w:basedOn w:val="401"/>
    <w:link w:val="423"/>
    <w:qFormat/>
    <w:uiPriority w:val="0"/>
    <w:pPr/>
    <w:rPr>
      <w:rFonts w:eastAsia="新宋体"/>
      <w:spacing w:val="-8"/>
    </w:rPr>
  </w:style>
  <w:style w:type="character" w:customStyle="1" w:styleId="423">
    <w:name w:val="样式 样式 标题 2 + 红色 + 自动设置 Char Char1"/>
    <w:link w:val="422"/>
    <w:qFormat/>
    <w:uiPriority w:val="0"/>
    <w:rPr>
      <w:rFonts w:ascii="Arial" w:hAnsi="Arial" w:eastAsia="新宋体" w:cs="Times New Roman"/>
      <w:b/>
      <w:bCs/>
      <w:color w:val="FF0000"/>
      <w:spacing w:val="-8"/>
      <w:sz w:val="28"/>
      <w:szCs w:val="32"/>
    </w:rPr>
  </w:style>
  <w:style w:type="character" w:customStyle="1" w:styleId="424">
    <w:name w:val="H212 Char"/>
    <w:qFormat/>
    <w:uiPriority w:val="0"/>
    <w:rPr>
      <w:rFonts w:ascii="宋体" w:hAnsi="宋体" w:eastAsia="宋体"/>
      <w:b/>
      <w:spacing w:val="-8"/>
      <w:kern w:val="2"/>
      <w:sz w:val="30"/>
      <w:lang w:val="en-US" w:eastAsia="zh-CN" w:bidi="ar-SA"/>
    </w:rPr>
  </w:style>
  <w:style w:type="paragraph" w:customStyle="1" w:styleId="425">
    <w:name w:val="样式 首行缩进:  2 字符1"/>
    <w:basedOn w:val="1"/>
    <w:qFormat/>
    <w:uiPriority w:val="0"/>
    <w:pPr>
      <w:spacing w:before="120" w:line="400" w:lineRule="exact"/>
      <w:ind w:firstLine="200" w:firstLineChars="200"/>
    </w:pPr>
    <w:rPr>
      <w:rFonts w:ascii="Times New Roman" w:hAnsi="Times New Roman"/>
      <w:szCs w:val="20"/>
    </w:rPr>
  </w:style>
  <w:style w:type="paragraph" w:customStyle="1" w:styleId="426">
    <w:name w:val="样式 首行缩进:  2 字符 行距: 1.5 倍行距"/>
    <w:basedOn w:val="1"/>
    <w:uiPriority w:val="0"/>
    <w:pPr>
      <w:spacing w:line="400" w:lineRule="exact"/>
      <w:ind w:firstLine="200" w:firstLineChars="200"/>
    </w:pPr>
    <w:rPr>
      <w:rFonts w:ascii="Times New Roman" w:hAnsi="Times New Roman"/>
      <w:szCs w:val="20"/>
    </w:rPr>
  </w:style>
  <w:style w:type="paragraph" w:customStyle="1" w:styleId="427">
    <w:name w:val="正文文本 22"/>
    <w:basedOn w:val="1"/>
    <w:qFormat/>
    <w:uiPriority w:val="0"/>
    <w:pPr>
      <w:adjustRightInd w:val="0"/>
      <w:ind w:firstLine="567"/>
      <w:jc w:val="left"/>
      <w:textAlignment w:val="baseline"/>
    </w:pPr>
    <w:rPr>
      <w:rFonts w:ascii="Times New Roman" w:hAnsi="Times New Roman"/>
      <w:szCs w:val="20"/>
    </w:rPr>
  </w:style>
  <w:style w:type="paragraph" w:customStyle="1" w:styleId="428">
    <w:name w:val="纯文本2"/>
    <w:basedOn w:val="1"/>
    <w:qFormat/>
    <w:uiPriority w:val="0"/>
    <w:pPr>
      <w:adjustRightInd w:val="0"/>
      <w:spacing w:line="240" w:lineRule="auto"/>
      <w:textAlignment w:val="baseline"/>
    </w:pPr>
    <w:rPr>
      <w:rFonts w:ascii="宋体" w:hAnsi="Times New Roman"/>
      <w:kern w:val="0"/>
      <w:sz w:val="21"/>
      <w:szCs w:val="20"/>
    </w:rPr>
  </w:style>
  <w:style w:type="paragraph" w:customStyle="1" w:styleId="429">
    <w:name w:val="Char6"/>
    <w:basedOn w:val="1"/>
    <w:qFormat/>
    <w:uiPriority w:val="0"/>
    <w:pPr>
      <w:ind w:firstLine="200" w:firstLineChars="200"/>
    </w:pPr>
    <w:rPr>
      <w:rFonts w:ascii="宋体" w:hAnsi="宋体" w:cs="宋体"/>
      <w:szCs w:val="24"/>
    </w:rPr>
  </w:style>
  <w:style w:type="paragraph" w:customStyle="1" w:styleId="430">
    <w:name w:val="Char Char Char Char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character" w:customStyle="1" w:styleId="431">
    <w:name w:val="章 Char1"/>
    <w:qFormat/>
    <w:uiPriority w:val="0"/>
    <w:rPr>
      <w:rFonts w:ascii="宋体" w:hAnsi="宋体" w:eastAsia="宋体"/>
      <w:b/>
      <w:spacing w:val="-8"/>
      <w:kern w:val="2"/>
      <w:sz w:val="30"/>
      <w:lang w:val="en-US" w:eastAsia="zh-CN" w:bidi="ar-SA"/>
    </w:rPr>
  </w:style>
  <w:style w:type="character" w:customStyle="1" w:styleId="432">
    <w:name w:val="章 Char2"/>
    <w:qFormat/>
    <w:uiPriority w:val="0"/>
    <w:rPr>
      <w:rFonts w:ascii="宋体" w:hAnsi="宋体" w:eastAsia="宋体"/>
      <w:b/>
      <w:spacing w:val="-8"/>
      <w:kern w:val="2"/>
      <w:sz w:val="30"/>
      <w:lang w:val="en-US" w:eastAsia="zh-CN" w:bidi="ar-SA"/>
    </w:rPr>
  </w:style>
  <w:style w:type="character" w:customStyle="1" w:styleId="433">
    <w:name w:val="标题 23"/>
    <w:qFormat/>
    <w:uiPriority w:val="0"/>
    <w:rPr>
      <w:rFonts w:ascii="宋体" w:hAnsi="宋体" w:eastAsia="宋体"/>
      <w:b/>
      <w:spacing w:val="-8"/>
      <w:kern w:val="2"/>
      <w:sz w:val="30"/>
      <w:lang w:val="en-US" w:eastAsia="zh-CN" w:bidi="ar-SA"/>
    </w:rPr>
  </w:style>
  <w:style w:type="character" w:customStyle="1" w:styleId="434">
    <w:name w:val="标题 22"/>
    <w:qFormat/>
    <w:uiPriority w:val="0"/>
    <w:rPr>
      <w:rFonts w:ascii="宋体" w:hAnsi="宋体" w:eastAsia="宋体"/>
      <w:b/>
      <w:spacing w:val="-8"/>
      <w:kern w:val="2"/>
      <w:sz w:val="30"/>
      <w:lang w:val="en-US" w:eastAsia="zh-CN" w:bidi="ar-SA"/>
    </w:rPr>
  </w:style>
  <w:style w:type="paragraph" w:customStyle="1" w:styleId="435">
    <w:name w:val="表格内容"/>
    <w:link w:val="607"/>
    <w:uiPriority w:val="0"/>
    <w:pPr>
      <w:keepLines/>
      <w:widowControl w:val="0"/>
      <w:adjustRightInd w:val="0"/>
      <w:snapToGrid w:val="0"/>
      <w:jc w:val="center"/>
    </w:pPr>
    <w:rPr>
      <w:rFonts w:ascii="Times New Roman" w:hAnsi="Times New Roman" w:eastAsia="宋体" w:cs="Times New Roman"/>
      <w:snapToGrid w:val="0"/>
      <w:sz w:val="18"/>
      <w:szCs w:val="18"/>
      <w:lang w:val="en-US" w:eastAsia="zh-CN" w:bidi="ar-SA"/>
    </w:rPr>
  </w:style>
  <w:style w:type="paragraph" w:customStyle="1" w:styleId="436">
    <w:name w:val="表号"/>
    <w:basedOn w:val="1"/>
    <w:qFormat/>
    <w:uiPriority w:val="0"/>
    <w:pPr>
      <w:spacing w:line="240" w:lineRule="auto"/>
      <w:ind w:firstLine="420" w:firstLineChars="200"/>
    </w:pPr>
    <w:rPr>
      <w:rFonts w:ascii="黑体" w:hAnsi="Times New Roman"/>
      <w:snapToGrid w:val="0"/>
      <w:kern w:val="0"/>
      <w:sz w:val="21"/>
      <w:szCs w:val="24"/>
    </w:rPr>
  </w:style>
  <w:style w:type="paragraph" w:customStyle="1" w:styleId="437">
    <w:name w:val="标题3"/>
    <w:basedOn w:val="1"/>
    <w:qFormat/>
    <w:uiPriority w:val="0"/>
    <w:pPr>
      <w:overflowPunct w:val="0"/>
      <w:topLinePunct/>
      <w:spacing w:before="163" w:beforeLines="50" w:line="240" w:lineRule="auto"/>
      <w:outlineLvl w:val="2"/>
    </w:pPr>
    <w:rPr>
      <w:rFonts w:ascii="Times New Roman" w:hAnsi="Times New Roman" w:eastAsia="黑体"/>
      <w:b/>
      <w:bCs/>
      <w:kern w:val="10"/>
      <w:szCs w:val="28"/>
    </w:rPr>
  </w:style>
  <w:style w:type="character" w:customStyle="1" w:styleId="438">
    <w:name w:val="脚注文本 Char"/>
    <w:basedOn w:val="79"/>
    <w:link w:val="62"/>
    <w:qFormat/>
    <w:uiPriority w:val="0"/>
    <w:rPr>
      <w:rFonts w:ascii="Times New Roman" w:hAnsi="Times New Roman" w:eastAsia="宋体" w:cs="Times New Roman"/>
      <w:sz w:val="18"/>
      <w:szCs w:val="18"/>
    </w:rPr>
  </w:style>
  <w:style w:type="paragraph" w:customStyle="1" w:styleId="439">
    <w:name w:val="样式 宋体 12 磅 首行缩进:  2 字符"/>
    <w:basedOn w:val="1"/>
    <w:qFormat/>
    <w:uiPriority w:val="0"/>
    <w:pPr>
      <w:spacing w:line="500" w:lineRule="exact"/>
      <w:ind w:firstLine="200" w:firstLineChars="200"/>
    </w:pPr>
    <w:rPr>
      <w:rFonts w:ascii="宋体" w:hAnsi="宋体"/>
      <w:sz w:val="26"/>
      <w:szCs w:val="20"/>
    </w:rPr>
  </w:style>
  <w:style w:type="paragraph" w:customStyle="1" w:styleId="440">
    <w:name w:val="Char5 Char Char Char"/>
    <w:basedOn w:val="26"/>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441">
    <w:name w:val="Char Char1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442">
    <w:name w:val="xl139"/>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line="240" w:lineRule="auto"/>
      <w:jc w:val="center"/>
    </w:pPr>
    <w:rPr>
      <w:rFonts w:ascii="Arial Unicode MS" w:hAnsi="Arial Unicode MS" w:cs="Arial Unicode MS"/>
      <w:color w:val="FF0000"/>
      <w:kern w:val="0"/>
      <w:sz w:val="20"/>
      <w:szCs w:val="20"/>
    </w:rPr>
  </w:style>
  <w:style w:type="paragraph" w:customStyle="1" w:styleId="443">
    <w:name w:val="表后空行"/>
    <w:basedOn w:val="1"/>
    <w:qFormat/>
    <w:uiPriority w:val="0"/>
    <w:pPr>
      <w:overflowPunct w:val="0"/>
      <w:adjustRightInd w:val="0"/>
      <w:spacing w:line="240" w:lineRule="auto"/>
      <w:textAlignment w:val="baseline"/>
    </w:pPr>
    <w:rPr>
      <w:rFonts w:ascii="Times New Roman" w:hAnsi="Times New Roman"/>
      <w:kern w:val="28"/>
      <w:sz w:val="10"/>
      <w:szCs w:val="20"/>
    </w:rPr>
  </w:style>
  <w:style w:type="paragraph" w:customStyle="1" w:styleId="444">
    <w:name w:val="正文3"/>
    <w:basedOn w:val="1"/>
    <w:qFormat/>
    <w:uiPriority w:val="0"/>
    <w:pPr>
      <w:jc w:val="center"/>
    </w:pPr>
    <w:rPr>
      <w:rFonts w:ascii="黑体" w:hAnsi="Times New Roman" w:eastAsia="黑体"/>
      <w:bCs/>
      <w:color w:val="000000"/>
      <w:szCs w:val="20"/>
      <w:lang w:bidi="he-IL"/>
    </w:rPr>
  </w:style>
  <w:style w:type="paragraph" w:customStyle="1" w:styleId="445">
    <w:name w:val="正文2"/>
    <w:basedOn w:val="1"/>
    <w:link w:val="636"/>
    <w:qFormat/>
    <w:uiPriority w:val="0"/>
    <w:pPr>
      <w:jc w:val="center"/>
    </w:pPr>
    <w:rPr>
      <w:rFonts w:ascii="黑体" w:hAnsi="Times New Roman" w:eastAsia="黑体"/>
      <w:bCs/>
      <w:color w:val="000000"/>
      <w:sz w:val="24"/>
      <w:szCs w:val="20"/>
      <w:lang w:bidi="he-IL"/>
    </w:rPr>
  </w:style>
  <w:style w:type="character" w:customStyle="1" w:styleId="446">
    <w:name w:val="注释标题 Char"/>
    <w:basedOn w:val="79"/>
    <w:link w:val="18"/>
    <w:qFormat/>
    <w:uiPriority w:val="0"/>
    <w:rPr>
      <w:rFonts w:ascii="Times New Roman" w:hAnsi="Times New Roman" w:eastAsia="楷体_GB2312" w:cs="Times New Roman"/>
      <w:szCs w:val="20"/>
    </w:rPr>
  </w:style>
  <w:style w:type="character" w:customStyle="1" w:styleId="447">
    <w:name w:val="标准正文 Char Char"/>
    <w:qFormat/>
    <w:uiPriority w:val="0"/>
    <w:rPr>
      <w:rFonts w:eastAsia="宋体"/>
      <w:kern w:val="2"/>
      <w:sz w:val="28"/>
      <w:szCs w:val="28"/>
      <w:lang w:val="en-US" w:eastAsia="zh-CN" w:bidi="ar-SA"/>
    </w:rPr>
  </w:style>
  <w:style w:type="paragraph" w:customStyle="1" w:styleId="448">
    <w:name w:val="字元 字元1"/>
    <w:basedOn w:val="1"/>
    <w:qFormat/>
    <w:uiPriority w:val="0"/>
    <w:pPr>
      <w:spacing w:line="240" w:lineRule="auto"/>
    </w:pPr>
    <w:rPr>
      <w:rFonts w:ascii="Times New Roman" w:hAnsi="Times New Roman"/>
      <w:sz w:val="21"/>
      <w:szCs w:val="24"/>
    </w:rPr>
  </w:style>
  <w:style w:type="paragraph" w:customStyle="1" w:styleId="449">
    <w:name w:val="段落"/>
    <w:basedOn w:val="1"/>
    <w:qFormat/>
    <w:uiPriority w:val="0"/>
    <w:pPr>
      <w:ind w:firstLine="200" w:firstLineChars="200"/>
    </w:pPr>
    <w:rPr>
      <w:rFonts w:ascii="Times New Roman" w:hAnsi="Times New Roman"/>
      <w:sz w:val="24"/>
      <w:szCs w:val="24"/>
    </w:rPr>
  </w:style>
  <w:style w:type="paragraph" w:customStyle="1" w:styleId="450">
    <w:name w:val="1正文段落"/>
    <w:basedOn w:val="1"/>
    <w:qFormat/>
    <w:uiPriority w:val="0"/>
    <w:pPr>
      <w:ind w:firstLine="480" w:firstLineChars="200"/>
      <w:jc w:val="left"/>
    </w:pPr>
    <w:rPr>
      <w:rFonts w:ascii="Times New Roman" w:hAnsi="Times New Roman"/>
      <w:snapToGrid w:val="0"/>
      <w:kern w:val="0"/>
      <w:sz w:val="24"/>
      <w:szCs w:val="24"/>
    </w:rPr>
  </w:style>
  <w:style w:type="character" w:customStyle="1" w:styleId="451">
    <w:name w:val="标准正文 Char Char Char Char"/>
    <w:qFormat/>
    <w:uiPriority w:val="0"/>
    <w:rPr>
      <w:rFonts w:eastAsia="宋体" w:cs="宋体"/>
      <w:kern w:val="2"/>
      <w:sz w:val="28"/>
      <w:szCs w:val="28"/>
      <w:lang w:val="en-US" w:eastAsia="zh-CN" w:bidi="ar-SA"/>
    </w:rPr>
  </w:style>
  <w:style w:type="paragraph" w:customStyle="1" w:styleId="452">
    <w:name w:val="表头文字"/>
    <w:basedOn w:val="1"/>
    <w:qFormat/>
    <w:uiPriority w:val="0"/>
    <w:pPr>
      <w:tabs>
        <w:tab w:val="left" w:pos="1260"/>
      </w:tabs>
      <w:adjustRightInd w:val="0"/>
      <w:snapToGrid w:val="0"/>
      <w:jc w:val="center"/>
    </w:pPr>
    <w:rPr>
      <w:rFonts w:ascii="宋体" w:hAnsi="宋体" w:eastAsia="黑体"/>
      <w:position w:val="-6"/>
      <w:sz w:val="24"/>
      <w:szCs w:val="28"/>
    </w:rPr>
  </w:style>
  <w:style w:type="paragraph" w:customStyle="1" w:styleId="453">
    <w:name w:val="表格1"/>
    <w:basedOn w:val="1"/>
    <w:qFormat/>
    <w:uiPriority w:val="0"/>
    <w:pPr>
      <w:spacing w:line="240" w:lineRule="auto"/>
      <w:jc w:val="center"/>
    </w:pPr>
    <w:rPr>
      <w:rFonts w:ascii="宋体" w:hAnsi="宋体"/>
      <w:kern w:val="0"/>
      <w:sz w:val="21"/>
      <w:szCs w:val="21"/>
    </w:rPr>
  </w:style>
  <w:style w:type="paragraph" w:customStyle="1" w:styleId="454">
    <w:name w:val="Char2 Char Char Char Char Char Char Char Char Char"/>
    <w:basedOn w:val="1"/>
    <w:next w:val="1"/>
    <w:qFormat/>
    <w:uiPriority w:val="0"/>
    <w:pPr>
      <w:ind w:firstLine="200" w:firstLineChars="200"/>
    </w:pPr>
    <w:rPr>
      <w:rFonts w:ascii="宋体" w:hAnsi="宋体" w:cs="宋体"/>
      <w:sz w:val="24"/>
      <w:szCs w:val="24"/>
    </w:rPr>
  </w:style>
  <w:style w:type="paragraph" w:customStyle="1" w:styleId="455">
    <w:name w:val="Char2 Char Char Char Char Char Char Char Char Char Char Char Char"/>
    <w:basedOn w:val="1"/>
    <w:next w:val="1"/>
    <w:qFormat/>
    <w:uiPriority w:val="0"/>
    <w:pPr>
      <w:ind w:firstLine="200" w:firstLineChars="200"/>
    </w:pPr>
    <w:rPr>
      <w:rFonts w:ascii="宋体" w:hAnsi="宋体" w:cs="宋体"/>
      <w:sz w:val="24"/>
      <w:szCs w:val="24"/>
    </w:rPr>
  </w:style>
  <w:style w:type="paragraph" w:customStyle="1" w:styleId="456">
    <w:name w:val="Char Char Char Char Char Char Char Char Char"/>
    <w:basedOn w:val="1"/>
    <w:next w:val="17"/>
    <w:qFormat/>
    <w:uiPriority w:val="0"/>
    <w:pPr>
      <w:spacing w:line="240" w:lineRule="auto"/>
    </w:pPr>
    <w:rPr>
      <w:rFonts w:ascii="Times New Roman" w:hAnsi="Times New Roman"/>
      <w:szCs w:val="28"/>
    </w:rPr>
  </w:style>
  <w:style w:type="character" w:customStyle="1" w:styleId="457">
    <w:name w:val="宏文本 Char"/>
    <w:basedOn w:val="79"/>
    <w:link w:val="17"/>
    <w:qFormat/>
    <w:uiPriority w:val="0"/>
    <w:rPr>
      <w:rFonts w:ascii="Courier New" w:hAnsi="Courier New" w:eastAsia="宋体" w:cs="Courier New"/>
      <w:sz w:val="24"/>
      <w:szCs w:val="24"/>
    </w:rPr>
  </w:style>
  <w:style w:type="paragraph" w:customStyle="1" w:styleId="458">
    <w:name w:val="样式 样式 四号 行距: 1.5 倍行距 首行缩进:  2 字符1 + 首行缩进:  2 字符"/>
    <w:basedOn w:val="1"/>
    <w:qFormat/>
    <w:uiPriority w:val="0"/>
    <w:pPr>
      <w:ind w:firstLine="480" w:firstLineChars="200"/>
    </w:pPr>
    <w:rPr>
      <w:rFonts w:ascii="Times New Roman" w:hAnsi="Times New Roman"/>
      <w:kern w:val="0"/>
      <w:szCs w:val="20"/>
    </w:rPr>
  </w:style>
  <w:style w:type="paragraph" w:customStyle="1" w:styleId="459">
    <w:name w:val="样式 四号 行距: 1.5 倍行距 首行缩进:  2 字符1"/>
    <w:basedOn w:val="1"/>
    <w:qFormat/>
    <w:uiPriority w:val="0"/>
    <w:pPr>
      <w:ind w:firstLine="560" w:firstLineChars="200"/>
    </w:pPr>
    <w:rPr>
      <w:rFonts w:ascii="Times New Roman" w:hAnsi="Times New Roman" w:cs="宋体"/>
      <w:kern w:val="0"/>
      <w:sz w:val="24"/>
      <w:szCs w:val="20"/>
    </w:rPr>
  </w:style>
  <w:style w:type="paragraph" w:customStyle="1" w:styleId="460">
    <w:name w:val="!表格(alt+t)"/>
    <w:next w:val="1"/>
    <w:qFormat/>
    <w:uiPriority w:val="0"/>
    <w:pPr>
      <w:adjustRightInd w:val="0"/>
      <w:spacing w:line="280" w:lineRule="atLeast"/>
      <w:jc w:val="center"/>
      <w:textAlignment w:val="center"/>
    </w:pPr>
    <w:rPr>
      <w:rFonts w:ascii="Times New Roman" w:hAnsi="Times New Roman" w:eastAsia="宋体" w:cs="Times New Roman"/>
      <w:sz w:val="21"/>
      <w:szCs w:val="18"/>
      <w:lang w:val="en-US" w:eastAsia="zh-CN" w:bidi="ar-SA"/>
    </w:rPr>
  </w:style>
  <w:style w:type="character" w:customStyle="1" w:styleId="461">
    <w:name w:val="!正文(alt+c) Char2"/>
    <w:qFormat/>
    <w:uiPriority w:val="0"/>
    <w:rPr>
      <w:rFonts w:eastAsia="宋体"/>
      <w:sz w:val="24"/>
      <w:szCs w:val="24"/>
      <w:lang w:val="en-US" w:eastAsia="zh-CN" w:bidi="ar-SA"/>
    </w:rPr>
  </w:style>
  <w:style w:type="paragraph" w:customStyle="1" w:styleId="462">
    <w:name w:val="Para 2 bullet"/>
    <w:basedOn w:val="1"/>
    <w:qFormat/>
    <w:uiPriority w:val="0"/>
    <w:pPr>
      <w:widowControl/>
      <w:spacing w:after="60" w:line="300" w:lineRule="auto"/>
      <w:jc w:val="left"/>
    </w:pPr>
    <w:rPr>
      <w:rFonts w:ascii="Times New Roman" w:hAnsi="Times New Roman"/>
      <w:color w:val="000000"/>
      <w:kern w:val="0"/>
      <w:sz w:val="22"/>
      <w:lang w:val="en-GB" w:eastAsia="en-US"/>
    </w:rPr>
  </w:style>
  <w:style w:type="paragraph" w:customStyle="1" w:styleId="463">
    <w:name w:val="s1"/>
    <w:basedOn w:val="1"/>
    <w:qFormat/>
    <w:uiPriority w:val="0"/>
    <w:pPr>
      <w:widowControl/>
      <w:spacing w:before="100" w:beforeAutospacing="1" w:after="100" w:afterAutospacing="1" w:line="240" w:lineRule="auto"/>
      <w:jc w:val="left"/>
    </w:pPr>
    <w:rPr>
      <w:color w:val="000000"/>
      <w:kern w:val="0"/>
      <w:sz w:val="21"/>
      <w:szCs w:val="21"/>
    </w:rPr>
  </w:style>
  <w:style w:type="paragraph" w:customStyle="1" w:styleId="464">
    <w:name w:val="Para 0 bullet"/>
    <w:basedOn w:val="1"/>
    <w:qFormat/>
    <w:uiPriority w:val="0"/>
    <w:pPr>
      <w:widowControl/>
      <w:tabs>
        <w:tab w:val="left" w:pos="397"/>
      </w:tabs>
      <w:spacing w:after="60" w:line="300" w:lineRule="auto"/>
      <w:ind w:left="397" w:hanging="397"/>
      <w:jc w:val="left"/>
    </w:pPr>
    <w:rPr>
      <w:rFonts w:ascii="Times New Roman" w:hAnsi="Times New Roman"/>
      <w:color w:val="000000"/>
      <w:kern w:val="0"/>
      <w:sz w:val="22"/>
      <w:lang w:val="en-GB" w:eastAsia="en-US"/>
    </w:rPr>
  </w:style>
  <w:style w:type="paragraph" w:customStyle="1" w:styleId="465">
    <w:name w:val="Text1"/>
    <w:basedOn w:val="1"/>
    <w:qFormat/>
    <w:uiPriority w:val="0"/>
    <w:pPr>
      <w:widowControl/>
      <w:numPr>
        <w:ilvl w:val="0"/>
        <w:numId w:val="5"/>
      </w:numPr>
      <w:tabs>
        <w:tab w:val="clear" w:pos="397"/>
      </w:tabs>
      <w:spacing w:before="240" w:line="240" w:lineRule="auto"/>
      <w:ind w:left="0" w:firstLine="0"/>
      <w:jc w:val="left"/>
    </w:pPr>
    <w:rPr>
      <w:rFonts w:ascii="L Helvetica Light" w:hAnsi="L Helvetica Light"/>
      <w:kern w:val="0"/>
      <w:sz w:val="21"/>
      <w:szCs w:val="24"/>
      <w:lang w:val="en-AU"/>
    </w:rPr>
  </w:style>
  <w:style w:type="paragraph" w:customStyle="1" w:styleId="466">
    <w:name w:val="右齐"/>
    <w:basedOn w:val="376"/>
    <w:uiPriority w:val="0"/>
    <w:pPr>
      <w:jc w:val="right"/>
    </w:pPr>
    <w:rPr>
      <w:rFonts w:ascii="仿宋_GB2312" w:eastAsia="仿宋_GB2312"/>
    </w:rPr>
  </w:style>
  <w:style w:type="paragraph" w:customStyle="1" w:styleId="467">
    <w:name w:val="图名"/>
    <w:basedOn w:val="1"/>
    <w:next w:val="1"/>
    <w:qFormat/>
    <w:uiPriority w:val="0"/>
    <w:pPr>
      <w:jc w:val="center"/>
    </w:pPr>
    <w:rPr>
      <w:rFonts w:ascii="Times New Roman" w:hAnsi="Times New Roman"/>
      <w:b/>
      <w:szCs w:val="20"/>
    </w:rPr>
  </w:style>
  <w:style w:type="paragraph" w:customStyle="1" w:styleId="468">
    <w:name w:val="表格1粗"/>
    <w:basedOn w:val="453"/>
    <w:qFormat/>
    <w:uiPriority w:val="0"/>
    <w:pPr>
      <w:ind w:left="210" w:leftChars="100" w:right="210" w:rightChars="100"/>
    </w:pPr>
    <w:rPr>
      <w:b/>
      <w:iCs/>
      <w:color w:val="000000"/>
      <w:kern w:val="2"/>
    </w:rPr>
  </w:style>
  <w:style w:type="paragraph" w:customStyle="1" w:styleId="469">
    <w:name w:val="正文首行缩进2字符"/>
    <w:qFormat/>
    <w:uiPriority w:val="0"/>
    <w:pPr>
      <w:widowControl w:val="0"/>
      <w:tabs>
        <w:tab w:val="left" w:pos="2910"/>
      </w:tabs>
      <w:spacing w:line="360" w:lineRule="auto"/>
      <w:ind w:firstLine="420" w:firstLineChars="150"/>
      <w:jc w:val="both"/>
    </w:pPr>
    <w:rPr>
      <w:rFonts w:ascii="Times New Roman" w:hAnsi="Times New Roman" w:eastAsia="宋体" w:cs="Times New Roman"/>
      <w:sz w:val="28"/>
      <w:szCs w:val="28"/>
      <w:lang w:val="en-US" w:eastAsia="zh-CN" w:bidi="ar-SA"/>
    </w:rPr>
  </w:style>
  <w:style w:type="character" w:customStyle="1" w:styleId="470">
    <w:name w:val="正文首行缩进2字符 Char"/>
    <w:uiPriority w:val="0"/>
    <w:rPr>
      <w:rFonts w:eastAsia="宋体" w:cs="宋体"/>
      <w:sz w:val="28"/>
      <w:lang w:val="en-US" w:eastAsia="zh-CN" w:bidi="ar-SA"/>
    </w:rPr>
  </w:style>
  <w:style w:type="paragraph" w:customStyle="1" w:styleId="471">
    <w:name w:val="表格数字"/>
    <w:basedOn w:val="1"/>
    <w:qFormat/>
    <w:uiPriority w:val="0"/>
    <w:pPr>
      <w:spacing w:line="240" w:lineRule="auto"/>
      <w:jc w:val="right"/>
    </w:pPr>
    <w:rPr>
      <w:rFonts w:ascii="Times New Roman" w:hAnsi="Times New Roman"/>
      <w:snapToGrid w:val="0"/>
      <w:kern w:val="0"/>
      <w:sz w:val="21"/>
      <w:szCs w:val="21"/>
    </w:rPr>
  </w:style>
  <w:style w:type="paragraph" w:customStyle="1" w:styleId="472">
    <w:name w:val="表格项目名称(五号)"/>
    <w:basedOn w:val="1"/>
    <w:qFormat/>
    <w:uiPriority w:val="0"/>
    <w:pPr>
      <w:spacing w:line="240" w:lineRule="auto"/>
      <w:jc w:val="center"/>
    </w:pPr>
    <w:rPr>
      <w:rFonts w:ascii="Times New Roman" w:hAnsi="Times New Roman"/>
      <w:snapToGrid w:val="0"/>
      <w:kern w:val="0"/>
      <w:sz w:val="21"/>
      <w:szCs w:val="28"/>
    </w:rPr>
  </w:style>
  <w:style w:type="paragraph" w:customStyle="1" w:styleId="473">
    <w:name w:val="表格2"/>
    <w:basedOn w:val="1"/>
    <w:uiPriority w:val="0"/>
    <w:pPr>
      <w:spacing w:line="240" w:lineRule="auto"/>
      <w:jc w:val="center"/>
    </w:pPr>
    <w:rPr>
      <w:rFonts w:ascii="Times New Roman" w:hAnsi="Times New Roman"/>
      <w:color w:val="000000"/>
      <w:sz w:val="21"/>
      <w:szCs w:val="20"/>
    </w:rPr>
  </w:style>
  <w:style w:type="paragraph" w:customStyle="1" w:styleId="474">
    <w:name w:val="font14"/>
    <w:basedOn w:val="1"/>
    <w:qFormat/>
    <w:uiPriority w:val="0"/>
    <w:pPr>
      <w:widowControl/>
      <w:spacing w:before="100" w:beforeAutospacing="1" w:after="100" w:afterAutospacing="1" w:line="240" w:lineRule="auto"/>
      <w:jc w:val="left"/>
    </w:pPr>
    <w:rPr>
      <w:rFonts w:ascii="Arial Narrow" w:hAnsi="Arial Narrow"/>
      <w:kern w:val="0"/>
      <w:sz w:val="16"/>
      <w:szCs w:val="16"/>
    </w:rPr>
  </w:style>
  <w:style w:type="paragraph" w:customStyle="1" w:styleId="475">
    <w:name w:val="font15"/>
    <w:basedOn w:val="1"/>
    <w:qFormat/>
    <w:uiPriority w:val="0"/>
    <w:pPr>
      <w:widowControl/>
      <w:spacing w:before="100" w:beforeAutospacing="1" w:after="100" w:afterAutospacing="1" w:line="240" w:lineRule="auto"/>
      <w:jc w:val="left"/>
    </w:pPr>
    <w:rPr>
      <w:rFonts w:ascii="Times New Roman" w:hAnsi="Times New Roman"/>
      <w:kern w:val="0"/>
      <w:sz w:val="12"/>
      <w:szCs w:val="12"/>
    </w:rPr>
  </w:style>
  <w:style w:type="paragraph" w:customStyle="1" w:styleId="476">
    <w:name w:val="font16"/>
    <w:basedOn w:val="1"/>
    <w:qFormat/>
    <w:uiPriority w:val="0"/>
    <w:pPr>
      <w:widowControl/>
      <w:spacing w:before="100" w:beforeAutospacing="1" w:after="100" w:afterAutospacing="1" w:line="240" w:lineRule="auto"/>
      <w:jc w:val="left"/>
    </w:pPr>
    <w:rPr>
      <w:rFonts w:ascii="Times New Roman" w:hAnsi="Times New Roman"/>
      <w:b/>
      <w:bCs/>
      <w:kern w:val="0"/>
      <w:sz w:val="16"/>
      <w:szCs w:val="16"/>
    </w:rPr>
  </w:style>
  <w:style w:type="paragraph" w:customStyle="1" w:styleId="477">
    <w:name w:val="Char52"/>
    <w:basedOn w:val="26"/>
    <w:qFormat/>
    <w:uiPriority w:val="0"/>
    <w:pPr>
      <w:shd w:val="clear" w:color="auto" w:fill="000080"/>
      <w:adjustRightInd w:val="0"/>
      <w:spacing w:line="240" w:lineRule="auto"/>
      <w:jc w:val="left"/>
      <w:outlineLvl w:val="3"/>
    </w:pPr>
    <w:rPr>
      <w:rFonts w:ascii="Tahoma" w:hAnsi="Tahoma"/>
      <w:b/>
      <w:szCs w:val="28"/>
    </w:rPr>
  </w:style>
  <w:style w:type="character" w:customStyle="1" w:styleId="478">
    <w:name w:val="defaultfont"/>
    <w:qFormat/>
    <w:uiPriority w:val="0"/>
  </w:style>
  <w:style w:type="paragraph" w:customStyle="1" w:styleId="479">
    <w:name w:val="Char1 Char Char Char"/>
    <w:basedOn w:val="26"/>
    <w:qFormat/>
    <w:uiPriority w:val="0"/>
    <w:pPr>
      <w:shd w:val="clear" w:color="auto" w:fill="000080"/>
      <w:adjustRightInd w:val="0"/>
      <w:spacing w:line="436" w:lineRule="exact"/>
      <w:ind w:left="357"/>
      <w:jc w:val="left"/>
      <w:outlineLvl w:val="3"/>
    </w:pPr>
    <w:rPr>
      <w:rFonts w:ascii="Tahoma" w:hAnsi="Tahoma"/>
      <w:b/>
      <w:sz w:val="24"/>
      <w:szCs w:val="24"/>
    </w:rPr>
  </w:style>
  <w:style w:type="character" w:customStyle="1" w:styleId="480">
    <w:name w:val="条，(一) Char"/>
    <w:qFormat/>
    <w:locked/>
    <w:uiPriority w:val="0"/>
    <w:rPr>
      <w:rFonts w:ascii="宋体" w:hAnsi="宋体" w:eastAsia="宋体"/>
      <w:bCs/>
      <w:kern w:val="2"/>
      <w:sz w:val="28"/>
      <w:szCs w:val="24"/>
      <w:lang w:val="en-US" w:eastAsia="zh-CN" w:bidi="ar-SA"/>
    </w:rPr>
  </w:style>
  <w:style w:type="character" w:customStyle="1" w:styleId="481">
    <w:name w:val="标题 5 Char1"/>
    <w:qFormat/>
    <w:locked/>
    <w:uiPriority w:val="0"/>
    <w:rPr>
      <w:rFonts w:ascii="宋体" w:hAnsi="宋体" w:eastAsia="宋体"/>
      <w:b/>
      <w:kern w:val="2"/>
      <w:sz w:val="28"/>
      <w:lang w:val="en-US" w:eastAsia="zh-CN" w:bidi="ar-SA"/>
    </w:rPr>
  </w:style>
  <w:style w:type="character" w:customStyle="1" w:styleId="482">
    <w:name w:val="Char Char11"/>
    <w:qFormat/>
    <w:locked/>
    <w:uiPriority w:val="0"/>
    <w:rPr>
      <w:rFonts w:eastAsia="宋体"/>
      <w:kern w:val="2"/>
      <w:sz w:val="18"/>
      <w:szCs w:val="18"/>
      <w:lang w:val="en-US" w:eastAsia="zh-CN" w:bidi="ar-SA"/>
    </w:rPr>
  </w:style>
  <w:style w:type="character" w:customStyle="1" w:styleId="483">
    <w:name w:val="Char Char9"/>
    <w:qFormat/>
    <w:locked/>
    <w:uiPriority w:val="0"/>
    <w:rPr>
      <w:rFonts w:ascii="宋体" w:hAnsi="宋体" w:eastAsia="宋体"/>
      <w:kern w:val="2"/>
      <w:sz w:val="28"/>
      <w:lang w:val="en-US" w:eastAsia="zh-CN" w:bidi="ar-SA"/>
    </w:rPr>
  </w:style>
  <w:style w:type="character" w:customStyle="1" w:styleId="484">
    <w:name w:val="Char Char7"/>
    <w:qFormat/>
    <w:locked/>
    <w:uiPriority w:val="0"/>
    <w:rPr>
      <w:rFonts w:ascii="宋体" w:hAnsi="宋体" w:eastAsia="宋体"/>
      <w:kern w:val="2"/>
      <w:sz w:val="16"/>
      <w:szCs w:val="16"/>
      <w:lang w:val="en-US" w:eastAsia="zh-CN" w:bidi="ar-SA"/>
    </w:rPr>
  </w:style>
  <w:style w:type="character" w:customStyle="1" w:styleId="485">
    <w:name w:val="Char Char12"/>
    <w:qFormat/>
    <w:locked/>
    <w:uiPriority w:val="0"/>
    <w:rPr>
      <w:rFonts w:ascii="宋体" w:hAnsi="宋体" w:eastAsia="宋体"/>
      <w:kern w:val="2"/>
      <w:sz w:val="18"/>
      <w:szCs w:val="18"/>
      <w:lang w:val="en-US" w:eastAsia="zh-CN" w:bidi="ar-SA"/>
    </w:rPr>
  </w:style>
  <w:style w:type="character" w:customStyle="1" w:styleId="486">
    <w:name w:val="Char Char5"/>
    <w:qFormat/>
    <w:locked/>
    <w:uiPriority w:val="0"/>
    <w:rPr>
      <w:rFonts w:ascii="宋体" w:hAnsi="宋体" w:eastAsia="宋体"/>
      <w:kern w:val="2"/>
      <w:sz w:val="18"/>
      <w:szCs w:val="18"/>
      <w:lang w:val="en-US" w:eastAsia="zh-CN" w:bidi="ar-SA"/>
    </w:rPr>
  </w:style>
  <w:style w:type="paragraph" w:customStyle="1" w:styleId="487">
    <w:name w:val="Char62"/>
    <w:basedOn w:val="1"/>
    <w:qFormat/>
    <w:uiPriority w:val="0"/>
    <w:pPr>
      <w:ind w:firstLine="200" w:firstLineChars="200"/>
    </w:pPr>
    <w:rPr>
      <w:rFonts w:ascii="宋体" w:hAnsi="宋体" w:cs="宋体"/>
      <w:szCs w:val="24"/>
    </w:rPr>
  </w:style>
  <w:style w:type="paragraph" w:customStyle="1" w:styleId="488">
    <w:name w:val="Char5 Char Char Char2"/>
    <w:basedOn w:val="26"/>
    <w:qFormat/>
    <w:uiPriority w:val="0"/>
    <w:pPr>
      <w:shd w:val="clear" w:color="auto" w:fill="000080"/>
      <w:adjustRightInd w:val="0"/>
      <w:spacing w:line="436" w:lineRule="exact"/>
      <w:ind w:left="357"/>
      <w:jc w:val="left"/>
      <w:outlineLvl w:val="3"/>
    </w:pPr>
    <w:rPr>
      <w:rFonts w:hint="eastAsia" w:ascii="Tahoma" w:hAnsi="Tahoma"/>
      <w:b/>
      <w:sz w:val="24"/>
      <w:szCs w:val="28"/>
    </w:rPr>
  </w:style>
  <w:style w:type="paragraph" w:customStyle="1" w:styleId="489">
    <w:name w:val="Char Char1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490">
    <w:name w:val="字元 字元12"/>
    <w:basedOn w:val="1"/>
    <w:qFormat/>
    <w:uiPriority w:val="0"/>
    <w:pPr>
      <w:spacing w:line="240" w:lineRule="auto"/>
    </w:pPr>
    <w:rPr>
      <w:rFonts w:ascii="Times New Roman" w:hAnsi="Times New Roman"/>
      <w:sz w:val="21"/>
      <w:szCs w:val="24"/>
    </w:rPr>
  </w:style>
  <w:style w:type="paragraph" w:customStyle="1" w:styleId="491">
    <w:name w:val="Char2 Char Char Char Char Char Char Char Char Char2"/>
    <w:basedOn w:val="1"/>
    <w:next w:val="1"/>
    <w:qFormat/>
    <w:uiPriority w:val="0"/>
    <w:pPr>
      <w:ind w:firstLine="200" w:firstLineChars="200"/>
    </w:pPr>
    <w:rPr>
      <w:rFonts w:ascii="宋体" w:hAnsi="宋体" w:cs="宋体"/>
      <w:sz w:val="24"/>
      <w:szCs w:val="24"/>
    </w:rPr>
  </w:style>
  <w:style w:type="paragraph" w:customStyle="1" w:styleId="492">
    <w:name w:val="Char2 Char Char Char Char Char Char Char Char Char Char Char Char2"/>
    <w:basedOn w:val="1"/>
    <w:next w:val="1"/>
    <w:qFormat/>
    <w:uiPriority w:val="0"/>
    <w:pPr>
      <w:ind w:firstLine="200" w:firstLineChars="200"/>
    </w:pPr>
    <w:rPr>
      <w:rFonts w:ascii="宋体" w:hAnsi="宋体" w:cs="宋体"/>
      <w:sz w:val="24"/>
      <w:szCs w:val="24"/>
    </w:rPr>
  </w:style>
  <w:style w:type="character" w:customStyle="1" w:styleId="493">
    <w:name w:val="Char1"/>
    <w:qFormat/>
    <w:uiPriority w:val="0"/>
    <w:rPr>
      <w:rFonts w:hint="eastAsia" w:ascii="宋体" w:hAnsi="宋体" w:eastAsia="宋体"/>
      <w:b/>
      <w:bCs/>
      <w:kern w:val="44"/>
      <w:sz w:val="44"/>
      <w:szCs w:val="44"/>
      <w:lang w:val="en-US" w:eastAsia="zh-CN" w:bidi="ar-SA"/>
    </w:rPr>
  </w:style>
  <w:style w:type="paragraph" w:customStyle="1" w:styleId="494">
    <w:name w:val="框图文字1"/>
    <w:basedOn w:val="1"/>
    <w:qFormat/>
    <w:uiPriority w:val="0"/>
    <w:pPr>
      <w:adjustRightInd w:val="0"/>
      <w:snapToGrid w:val="0"/>
      <w:spacing w:before="78" w:line="240" w:lineRule="auto"/>
      <w:jc w:val="center"/>
    </w:pPr>
    <w:rPr>
      <w:rFonts w:ascii="Times New Roman" w:hAnsi="Times New Roman"/>
      <w:sz w:val="18"/>
      <w:szCs w:val="20"/>
    </w:rPr>
  </w:style>
  <w:style w:type="character" w:customStyle="1" w:styleId="495">
    <w:name w:val="H-4 Char"/>
    <w:locked/>
    <w:uiPriority w:val="0"/>
    <w:rPr>
      <w:rFonts w:ascii="宋体" w:hAnsi="宋体" w:eastAsia="宋体"/>
      <w:bCs/>
      <w:kern w:val="2"/>
      <w:sz w:val="28"/>
      <w:szCs w:val="24"/>
      <w:lang w:val="en-US" w:eastAsia="zh-CN" w:bidi="ar-SA"/>
    </w:rPr>
  </w:style>
  <w:style w:type="character" w:customStyle="1" w:styleId="496">
    <w:name w:val="Char Char112"/>
    <w:qFormat/>
    <w:locked/>
    <w:uiPriority w:val="0"/>
    <w:rPr>
      <w:rFonts w:eastAsia="宋体"/>
      <w:kern w:val="2"/>
      <w:sz w:val="18"/>
      <w:szCs w:val="18"/>
      <w:lang w:val="en-US" w:eastAsia="zh-CN" w:bidi="ar-SA"/>
    </w:rPr>
  </w:style>
  <w:style w:type="character" w:customStyle="1" w:styleId="497">
    <w:name w:val="Char Char10"/>
    <w:qFormat/>
    <w:locked/>
    <w:uiPriority w:val="0"/>
    <w:rPr>
      <w:rFonts w:ascii="Times New Roman" w:hAnsi="Times New Roman" w:eastAsia="宋体" w:cs="Times New Roman"/>
      <w:spacing w:val="-20"/>
      <w:kern w:val="2"/>
      <w:sz w:val="28"/>
      <w:szCs w:val="24"/>
      <w:lang w:val="en-US" w:eastAsia="zh-CN" w:bidi="ar-SA"/>
    </w:rPr>
  </w:style>
  <w:style w:type="character" w:customStyle="1" w:styleId="498">
    <w:name w:val="Char Char6"/>
    <w:qFormat/>
    <w:locked/>
    <w:uiPriority w:val="0"/>
    <w:rPr>
      <w:rFonts w:ascii="宋体" w:eastAsia="宋体"/>
      <w:b/>
      <w:kern w:val="2"/>
      <w:sz w:val="21"/>
      <w:szCs w:val="24"/>
      <w:lang w:val="en-US" w:eastAsia="zh-CN" w:bidi="ar-SA"/>
    </w:rPr>
  </w:style>
  <w:style w:type="paragraph" w:customStyle="1" w:styleId="499">
    <w:name w:val="投标表格五号"/>
    <w:basedOn w:val="1"/>
    <w:qFormat/>
    <w:uiPriority w:val="0"/>
    <w:pPr>
      <w:spacing w:line="240" w:lineRule="auto"/>
      <w:jc w:val="left"/>
    </w:pPr>
    <w:rPr>
      <w:rFonts w:ascii="Verdana" w:hAnsi="Verdana"/>
      <w:sz w:val="21"/>
      <w:szCs w:val="28"/>
    </w:rPr>
  </w:style>
  <w:style w:type="paragraph" w:customStyle="1" w:styleId="500">
    <w:name w:val="Char4 Char Char Char2"/>
    <w:basedOn w:val="1"/>
    <w:qFormat/>
    <w:uiPriority w:val="0"/>
    <w:pPr>
      <w:adjustRightInd w:val="0"/>
      <w:snapToGrid w:val="0"/>
      <w:ind w:firstLine="200" w:firstLineChars="200"/>
    </w:pPr>
    <w:rPr>
      <w:rFonts w:ascii="宋体" w:hAnsi="宋体" w:cs="宋体"/>
      <w:sz w:val="24"/>
      <w:szCs w:val="26"/>
    </w:rPr>
  </w:style>
  <w:style w:type="paragraph" w:customStyle="1" w:styleId="501">
    <w:name w:val="环评"/>
    <w:basedOn w:val="1"/>
    <w:uiPriority w:val="0"/>
    <w:pPr>
      <w:spacing w:before="60" w:after="60" w:line="360" w:lineRule="exact"/>
    </w:pPr>
    <w:rPr>
      <w:rFonts w:ascii="Times New Roman" w:hAnsi="Times New Roman" w:eastAsia="仿宋_GB2312"/>
      <w:bCs/>
      <w:sz w:val="24"/>
      <w:szCs w:val="24"/>
    </w:rPr>
  </w:style>
  <w:style w:type="character" w:customStyle="1" w:styleId="502">
    <w:name w:val="普通文字 Char Char"/>
    <w:qFormat/>
    <w:uiPriority w:val="1"/>
    <w:rPr>
      <w:rFonts w:ascii="宋体" w:hAnsi="Courier New" w:eastAsia="宋体" w:cs="Courier New"/>
      <w:kern w:val="2"/>
      <w:sz w:val="21"/>
      <w:szCs w:val="21"/>
      <w:lang w:val="en-US" w:eastAsia="zh-CN" w:bidi="ar-SA"/>
    </w:rPr>
  </w:style>
  <w:style w:type="character" w:customStyle="1" w:styleId="503">
    <w:name w:val="Char Char"/>
    <w:locked/>
    <w:uiPriority w:val="0"/>
    <w:rPr>
      <w:rFonts w:ascii="Courier New" w:hAnsi="Courier New" w:eastAsia="宋体" w:cs="Courier New"/>
      <w:kern w:val="2"/>
      <w:sz w:val="24"/>
      <w:szCs w:val="24"/>
      <w:lang w:val="en-US" w:eastAsia="zh-CN" w:bidi="ar-SA"/>
    </w:rPr>
  </w:style>
  <w:style w:type="character" w:customStyle="1" w:styleId="504">
    <w:name w:val="Char Char1"/>
    <w:qFormat/>
    <w:locked/>
    <w:uiPriority w:val="0"/>
    <w:rPr>
      <w:rFonts w:eastAsia="楷体_GB2312"/>
      <w:kern w:val="2"/>
      <w:sz w:val="21"/>
      <w:lang w:val="en-US" w:eastAsia="zh-CN" w:bidi="ar-SA"/>
    </w:rPr>
  </w:style>
  <w:style w:type="paragraph" w:customStyle="1" w:styleId="505">
    <w:name w:val="Char Char Char Char"/>
    <w:basedOn w:val="1"/>
    <w:qFormat/>
    <w:uiPriority w:val="0"/>
    <w:pPr>
      <w:spacing w:line="240" w:lineRule="auto"/>
    </w:pPr>
    <w:rPr>
      <w:rFonts w:ascii="Times New Roman" w:hAnsi="Times New Roman"/>
      <w:sz w:val="21"/>
      <w:szCs w:val="24"/>
    </w:rPr>
  </w:style>
  <w:style w:type="paragraph" w:customStyle="1" w:styleId="506">
    <w:name w:val="6表格"/>
    <w:basedOn w:val="1"/>
    <w:qFormat/>
    <w:uiPriority w:val="0"/>
    <w:pPr>
      <w:adjustRightInd w:val="0"/>
      <w:snapToGrid w:val="0"/>
      <w:spacing w:before="60" w:line="240" w:lineRule="atLeast"/>
      <w:jc w:val="center"/>
    </w:pPr>
    <w:rPr>
      <w:rFonts w:ascii="Times New Roman" w:hAnsi="Times New Roman"/>
      <w:snapToGrid w:val="0"/>
      <w:kern w:val="0"/>
      <w:sz w:val="21"/>
      <w:szCs w:val="20"/>
    </w:rPr>
  </w:style>
  <w:style w:type="paragraph" w:customStyle="1" w:styleId="507">
    <w:name w:val="表格五号字"/>
    <w:basedOn w:val="1"/>
    <w:link w:val="508"/>
    <w:qFormat/>
    <w:uiPriority w:val="0"/>
    <w:pPr>
      <w:adjustRightInd w:val="0"/>
      <w:snapToGrid w:val="0"/>
      <w:spacing w:beforeLines="20" w:afterLines="20" w:line="240" w:lineRule="auto"/>
      <w:jc w:val="center"/>
    </w:pPr>
    <w:rPr>
      <w:rFonts w:ascii="Times New Roman" w:hAnsi="Times New Roman"/>
      <w:kern w:val="0"/>
      <w:sz w:val="21"/>
      <w:szCs w:val="20"/>
    </w:rPr>
  </w:style>
  <w:style w:type="character" w:customStyle="1" w:styleId="508">
    <w:name w:val="表格五号字 Char"/>
    <w:link w:val="507"/>
    <w:locked/>
    <w:uiPriority w:val="0"/>
    <w:rPr>
      <w:rFonts w:ascii="Times New Roman" w:hAnsi="Times New Roman" w:eastAsia="宋体" w:cs="Times New Roman"/>
      <w:kern w:val="0"/>
      <w:szCs w:val="20"/>
    </w:rPr>
  </w:style>
  <w:style w:type="paragraph" w:customStyle="1" w:styleId="509">
    <w:name w:val="表格五号字 + 加粗"/>
    <w:basedOn w:val="507"/>
    <w:link w:val="510"/>
    <w:qFormat/>
    <w:uiPriority w:val="0"/>
    <w:pPr>
      <w:spacing w:before="93" w:after="93"/>
    </w:pPr>
    <w:rPr>
      <w:b/>
      <w:bCs/>
    </w:rPr>
  </w:style>
  <w:style w:type="character" w:customStyle="1" w:styleId="510">
    <w:name w:val="表格五号字 + 加粗 Char Char"/>
    <w:link w:val="509"/>
    <w:qFormat/>
    <w:locked/>
    <w:uiPriority w:val="0"/>
    <w:rPr>
      <w:rFonts w:ascii="Times New Roman" w:hAnsi="Times New Roman" w:eastAsia="宋体" w:cs="Times New Roman"/>
      <w:b/>
      <w:bCs/>
      <w:kern w:val="0"/>
      <w:szCs w:val="20"/>
    </w:rPr>
  </w:style>
  <w:style w:type="paragraph" w:customStyle="1" w:styleId="511">
    <w:name w:val="样式 表头小四 + 段前: 0.3 行"/>
    <w:basedOn w:val="1"/>
    <w:uiPriority w:val="0"/>
    <w:pPr>
      <w:tabs>
        <w:tab w:val="center" w:pos="4320"/>
        <w:tab w:val="right" w:pos="8460"/>
      </w:tabs>
      <w:adjustRightInd w:val="0"/>
      <w:snapToGrid w:val="0"/>
      <w:spacing w:line="240" w:lineRule="auto"/>
    </w:pPr>
    <w:rPr>
      <w:rFonts w:ascii="Times New Roman" w:hAnsi="Times New Roman" w:cs="宋体"/>
      <w:b/>
      <w:bCs/>
      <w:sz w:val="24"/>
      <w:szCs w:val="20"/>
    </w:rPr>
  </w:style>
  <w:style w:type="paragraph" w:customStyle="1" w:styleId="512">
    <w:name w:val="样式 首行缩进:  2 字符 段前: 0.3 行"/>
    <w:basedOn w:val="1"/>
    <w:qFormat/>
    <w:uiPriority w:val="0"/>
    <w:pPr>
      <w:autoSpaceDE w:val="0"/>
      <w:autoSpaceDN w:val="0"/>
      <w:adjustRightInd w:val="0"/>
      <w:snapToGrid w:val="0"/>
      <w:ind w:firstLine="480" w:firstLineChars="200"/>
    </w:pPr>
    <w:rPr>
      <w:rFonts w:ascii="Times New Roman" w:hAnsi="Times New Roman" w:cs="宋体"/>
      <w:bCs/>
      <w:color w:val="000000"/>
      <w:sz w:val="24"/>
      <w:szCs w:val="24"/>
    </w:rPr>
  </w:style>
  <w:style w:type="paragraph" w:customStyle="1" w:styleId="513">
    <w:name w:val="样式 首行缩进:  2 字符"/>
    <w:basedOn w:val="1"/>
    <w:link w:val="514"/>
    <w:uiPriority w:val="0"/>
    <w:pPr>
      <w:adjustRightInd w:val="0"/>
      <w:snapToGrid w:val="0"/>
      <w:ind w:firstLine="560" w:firstLineChars="200"/>
    </w:pPr>
    <w:rPr>
      <w:rFonts w:ascii="Times New Roman" w:hAnsi="Times New Roman" w:cs="宋体"/>
      <w:szCs w:val="28"/>
    </w:rPr>
  </w:style>
  <w:style w:type="character" w:customStyle="1" w:styleId="514">
    <w:name w:val="样式 首行缩进:  2 字符 Char"/>
    <w:link w:val="513"/>
    <w:uiPriority w:val="0"/>
    <w:rPr>
      <w:rFonts w:ascii="Times New Roman" w:hAnsi="Times New Roman" w:eastAsia="宋体" w:cs="宋体"/>
      <w:sz w:val="28"/>
      <w:szCs w:val="28"/>
    </w:rPr>
  </w:style>
  <w:style w:type="paragraph" w:customStyle="1" w:styleId="515">
    <w:name w:val="样式 小四 行距: 2 倍行距 首行缩进:  2 字符"/>
    <w:basedOn w:val="1"/>
    <w:qFormat/>
    <w:uiPriority w:val="0"/>
    <w:pPr>
      <w:ind w:firstLine="480" w:firstLineChars="200"/>
      <w:jc w:val="left"/>
    </w:pPr>
    <w:rPr>
      <w:rFonts w:ascii="Times New Roman" w:hAnsi="Times New Roman"/>
      <w:color w:val="0000FF"/>
      <w:sz w:val="24"/>
      <w:szCs w:val="21"/>
    </w:rPr>
  </w:style>
  <w:style w:type="character" w:customStyle="1" w:styleId="516">
    <w:name w:val="节名 Char Char"/>
    <w:uiPriority w:val="0"/>
    <w:rPr>
      <w:rFonts w:ascii="Arial" w:hAnsi="Arial" w:eastAsia="黑体"/>
      <w:bCs/>
      <w:kern w:val="2"/>
      <w:sz w:val="32"/>
      <w:szCs w:val="32"/>
      <w:lang w:val="en-US" w:eastAsia="zh-CN" w:bidi="ar-SA"/>
    </w:rPr>
  </w:style>
  <w:style w:type="paragraph" w:customStyle="1" w:styleId="517">
    <w:name w:val="表头小四"/>
    <w:basedOn w:val="1"/>
    <w:link w:val="518"/>
    <w:uiPriority w:val="0"/>
    <w:pPr>
      <w:tabs>
        <w:tab w:val="center" w:pos="4320"/>
        <w:tab w:val="right" w:pos="8460"/>
      </w:tabs>
      <w:adjustRightInd w:val="0"/>
      <w:snapToGrid w:val="0"/>
      <w:spacing w:before="93" w:beforeLines="30"/>
      <w:jc w:val="left"/>
    </w:pPr>
    <w:rPr>
      <w:rFonts w:ascii="Times New Roman" w:hAnsi="Times New Roman"/>
      <w:b/>
      <w:sz w:val="24"/>
      <w:szCs w:val="20"/>
    </w:rPr>
  </w:style>
  <w:style w:type="character" w:customStyle="1" w:styleId="518">
    <w:name w:val="表头小四 Char"/>
    <w:link w:val="517"/>
    <w:qFormat/>
    <w:uiPriority w:val="0"/>
    <w:rPr>
      <w:rFonts w:ascii="Times New Roman" w:hAnsi="Times New Roman" w:eastAsia="宋体" w:cs="Times New Roman"/>
      <w:b/>
      <w:sz w:val="24"/>
      <w:szCs w:val="20"/>
    </w:rPr>
  </w:style>
  <w:style w:type="character" w:customStyle="1" w:styleId="519">
    <w:name w:val="款名 Char Char"/>
    <w:qFormat/>
    <w:locked/>
    <w:uiPriority w:val="0"/>
    <w:rPr>
      <w:rFonts w:ascii="Arial" w:hAnsi="Arial" w:eastAsia="黑体"/>
      <w:b/>
      <w:bCs/>
      <w:kern w:val="2"/>
      <w:sz w:val="28"/>
      <w:szCs w:val="28"/>
      <w:lang w:val="en-US" w:eastAsia="zh-CN" w:bidi="ar-SA"/>
    </w:rPr>
  </w:style>
  <w:style w:type="paragraph" w:customStyle="1" w:styleId="520">
    <w:name w:val="样式 样式 样式 样式 左侧:  0.99 厘米 + 首行缩进:  2 字符 + 首行缩进:  2 字符 + 首行缩进:  2...."/>
    <w:basedOn w:val="1"/>
    <w:qFormat/>
    <w:uiPriority w:val="0"/>
    <w:pPr>
      <w:ind w:firstLine="200" w:firstLineChars="200"/>
    </w:pPr>
    <w:rPr>
      <w:rFonts w:ascii="Times New Roman" w:hAnsi="Times New Roman"/>
      <w:szCs w:val="20"/>
    </w:rPr>
  </w:style>
  <w:style w:type="paragraph" w:customStyle="1" w:styleId="521">
    <w:name w:val="indent"/>
    <w:basedOn w:val="1"/>
    <w:uiPriority w:val="0"/>
    <w:pPr>
      <w:widowControl/>
      <w:spacing w:before="100" w:beforeAutospacing="1" w:after="100" w:afterAutospacing="1" w:line="240" w:lineRule="auto"/>
      <w:ind w:firstLine="525"/>
      <w:jc w:val="left"/>
    </w:pPr>
    <w:rPr>
      <w:rFonts w:ascii="宋体" w:hAnsi="宋体" w:cs="宋体"/>
      <w:kern w:val="0"/>
      <w:sz w:val="24"/>
      <w:szCs w:val="24"/>
    </w:rPr>
  </w:style>
  <w:style w:type="character" w:customStyle="1" w:styleId="522">
    <w:name w:val="x正文 Char1"/>
    <w:link w:val="523"/>
    <w:qFormat/>
    <w:uiPriority w:val="0"/>
    <w:rPr>
      <w:sz w:val="24"/>
    </w:rPr>
  </w:style>
  <w:style w:type="paragraph" w:customStyle="1" w:styleId="523">
    <w:name w:val="x正文"/>
    <w:basedOn w:val="1"/>
    <w:link w:val="522"/>
    <w:qFormat/>
    <w:uiPriority w:val="0"/>
    <w:pPr>
      <w:spacing w:line="300" w:lineRule="auto"/>
      <w:ind w:firstLine="200" w:firstLineChars="200"/>
    </w:pPr>
    <w:rPr>
      <w:rFonts w:asciiTheme="minorHAnsi" w:hAnsiTheme="minorHAnsi" w:eastAsiaTheme="minorEastAsia" w:cstheme="minorBidi"/>
      <w:sz w:val="24"/>
    </w:rPr>
  </w:style>
  <w:style w:type="paragraph" w:customStyle="1" w:styleId="524">
    <w:name w:val="!表标题(alt+h)"/>
    <w:next w:val="1"/>
    <w:uiPriority w:val="0"/>
    <w:pPr>
      <w:spacing w:before="120" w:after="80" w:line="360" w:lineRule="exact"/>
      <w:jc w:val="center"/>
      <w:outlineLvl w:val="4"/>
    </w:pPr>
    <w:rPr>
      <w:rFonts w:ascii="Times New Roman" w:hAnsi="Times New Roman" w:eastAsia="黑体" w:cs="Times New Roman"/>
      <w:sz w:val="24"/>
      <w:lang w:val="en-US" w:eastAsia="zh-CN" w:bidi="ar-SA"/>
    </w:rPr>
  </w:style>
  <w:style w:type="paragraph" w:customStyle="1" w:styleId="525">
    <w:name w:val="!正文(alt+c)"/>
    <w:link w:val="526"/>
    <w:qFormat/>
    <w:uiPriority w:val="0"/>
    <w:pPr>
      <w:spacing w:line="420" w:lineRule="exact"/>
      <w:ind w:firstLine="480" w:firstLineChars="200"/>
      <w:jc w:val="both"/>
    </w:pPr>
    <w:rPr>
      <w:rFonts w:ascii="Times New Roman" w:hAnsi="Times New Roman" w:eastAsia="宋体" w:cs="Times New Roman"/>
      <w:sz w:val="24"/>
      <w:lang w:val="en-US" w:eastAsia="zh-CN" w:bidi="ar-SA"/>
    </w:rPr>
  </w:style>
  <w:style w:type="character" w:customStyle="1" w:styleId="526">
    <w:name w:val="!正文(alt+c) Char4"/>
    <w:link w:val="525"/>
    <w:qFormat/>
    <w:uiPriority w:val="0"/>
    <w:rPr>
      <w:rFonts w:ascii="Times New Roman" w:hAnsi="Times New Roman" w:eastAsia="宋体" w:cs="Times New Roman"/>
      <w:kern w:val="0"/>
      <w:sz w:val="24"/>
      <w:szCs w:val="20"/>
    </w:rPr>
  </w:style>
  <w:style w:type="paragraph" w:customStyle="1" w:styleId="527">
    <w:name w:val="!标题3(alt+3)"/>
    <w:next w:val="1"/>
    <w:qFormat/>
    <w:uiPriority w:val="0"/>
    <w:pPr>
      <w:spacing w:before="93" w:beforeLines="30" w:after="62" w:afterLines="20" w:line="500" w:lineRule="exact"/>
      <w:outlineLvl w:val="2"/>
    </w:pPr>
    <w:rPr>
      <w:rFonts w:ascii="Times New Roman" w:hAnsi="Times New Roman" w:eastAsia="黑体" w:cs="Times New Roman"/>
      <w:kern w:val="2"/>
      <w:sz w:val="24"/>
      <w:lang w:val="en-US" w:eastAsia="zh-CN" w:bidi="ar-SA"/>
    </w:rPr>
  </w:style>
  <w:style w:type="character" w:customStyle="1" w:styleId="528">
    <w:name w:val="!表标题(alt+h) Char2"/>
    <w:uiPriority w:val="0"/>
    <w:rPr>
      <w:rFonts w:eastAsia="黑体"/>
      <w:color w:val="000000"/>
      <w:sz w:val="24"/>
      <w:u w:color="3366FF"/>
      <w:lang w:val="en-US" w:eastAsia="zh-CN"/>
    </w:rPr>
  </w:style>
  <w:style w:type="character" w:customStyle="1" w:styleId="529">
    <w:name w:val="样式 !正文(alt+c) + 黑色 Char"/>
    <w:qFormat/>
    <w:uiPriority w:val="0"/>
    <w:rPr>
      <w:rFonts w:eastAsia="宋体"/>
      <w:color w:val="000000"/>
      <w:sz w:val="24"/>
      <w:lang w:val="en-US" w:eastAsia="zh-CN"/>
    </w:rPr>
  </w:style>
  <w:style w:type="character" w:customStyle="1" w:styleId="530">
    <w:name w:val="!表标题(alt+h) Char1"/>
    <w:qFormat/>
    <w:uiPriority w:val="0"/>
    <w:rPr>
      <w:rFonts w:eastAsia="黑体"/>
      <w:sz w:val="24"/>
      <w:u w:color="3366FF"/>
      <w:lang w:val="en-US" w:eastAsia="zh-CN"/>
    </w:rPr>
  </w:style>
  <w:style w:type="character" w:customStyle="1" w:styleId="531">
    <w:name w:val="gg_body Char"/>
    <w:qFormat/>
    <w:uiPriority w:val="0"/>
    <w:rPr>
      <w:rFonts w:ascii="宋体" w:hAnsi="宋体" w:eastAsia="宋体"/>
      <w:kern w:val="2"/>
      <w:sz w:val="24"/>
      <w:lang w:val="en-US" w:eastAsia="zh-CN"/>
    </w:rPr>
  </w:style>
  <w:style w:type="character" w:customStyle="1" w:styleId="532">
    <w:name w:val="图表头 Char1"/>
    <w:qFormat/>
    <w:uiPriority w:val="0"/>
    <w:rPr>
      <w:rFonts w:ascii="宋体" w:hAnsi="宋体" w:eastAsia="宋体"/>
      <w:b/>
      <w:kern w:val="2"/>
      <w:sz w:val="24"/>
      <w:lang w:val="en-US" w:eastAsia="zh-CN"/>
    </w:rPr>
  </w:style>
  <w:style w:type="character" w:customStyle="1" w:styleId="533">
    <w:name w:val="链接"/>
    <w:qFormat/>
    <w:uiPriority w:val="0"/>
    <w:rPr>
      <w:rFonts w:ascii="Times New Roman" w:eastAsia="宋体"/>
      <w:color w:val="0000FF"/>
      <w:sz w:val="21"/>
      <w:u w:val="single" w:color="0000FF"/>
      <w:vertAlign w:val="baseline"/>
      <w:lang w:val="en-US" w:eastAsia="zh-CN"/>
    </w:rPr>
  </w:style>
  <w:style w:type="character" w:customStyle="1" w:styleId="534">
    <w:name w:val="!注_字符(alt+p)"/>
    <w:qFormat/>
    <w:uiPriority w:val="0"/>
    <w:rPr>
      <w:rFonts w:eastAsia="宋体"/>
      <w:sz w:val="21"/>
    </w:rPr>
  </w:style>
  <w:style w:type="character" w:customStyle="1" w:styleId="535">
    <w:name w:val="aspmaker1"/>
    <w:qFormat/>
    <w:uiPriority w:val="0"/>
    <w:rPr>
      <w:rFonts w:hint="default" w:ascii="Verdana" w:hAnsi="Verdana"/>
      <w:sz w:val="20"/>
    </w:rPr>
  </w:style>
  <w:style w:type="character" w:customStyle="1" w:styleId="536">
    <w:name w:val="!表标题(alt+h) Char"/>
    <w:qFormat/>
    <w:uiPriority w:val="0"/>
    <w:rPr>
      <w:rFonts w:eastAsia="黑体"/>
      <w:sz w:val="24"/>
      <w:lang w:val="en-US" w:eastAsia="zh-CN"/>
    </w:rPr>
  </w:style>
  <w:style w:type="character" w:customStyle="1" w:styleId="537">
    <w:name w:val="!正文(alt+c) Char3"/>
    <w:qFormat/>
    <w:uiPriority w:val="0"/>
    <w:rPr>
      <w:rFonts w:eastAsia="宋体"/>
      <w:sz w:val="24"/>
      <w:lang w:val="en-US" w:eastAsia="zh-CN"/>
    </w:rPr>
  </w:style>
  <w:style w:type="character" w:customStyle="1" w:styleId="538">
    <w:name w:val="!正文(alt+c) Char1"/>
    <w:qFormat/>
    <w:uiPriority w:val="0"/>
    <w:rPr>
      <w:rFonts w:eastAsia="宋体"/>
      <w:sz w:val="24"/>
      <w:lang w:val="en-US" w:eastAsia="zh-CN"/>
    </w:rPr>
  </w:style>
  <w:style w:type="character" w:customStyle="1" w:styleId="539">
    <w:name w:val="!正文(alt+c) Char"/>
    <w:qFormat/>
    <w:uiPriority w:val="0"/>
    <w:rPr>
      <w:rFonts w:eastAsia="宋体"/>
      <w:sz w:val="24"/>
      <w:lang w:val="en-US" w:eastAsia="zh-CN"/>
    </w:rPr>
  </w:style>
  <w:style w:type="paragraph" w:customStyle="1" w:styleId="540">
    <w:name w:val="文章总标题"/>
    <w:basedOn w:val="1"/>
    <w:next w:val="541"/>
    <w:qFormat/>
    <w:uiPriority w:val="0"/>
    <w:pPr>
      <w:widowControl/>
      <w:spacing w:before="566" w:after="544" w:line="566" w:lineRule="atLeast"/>
      <w:jc w:val="center"/>
      <w:textAlignment w:val="baseline"/>
    </w:pPr>
    <w:rPr>
      <w:rFonts w:ascii="Arial" w:hAnsi="Times New Roman" w:eastAsia="黑体"/>
      <w:color w:val="000000"/>
      <w:kern w:val="0"/>
      <w:sz w:val="54"/>
      <w:szCs w:val="20"/>
      <w:u w:color="000000"/>
    </w:rPr>
  </w:style>
  <w:style w:type="paragraph" w:customStyle="1" w:styleId="541">
    <w:name w:val="文章副标题"/>
    <w:basedOn w:val="1"/>
    <w:next w:val="2"/>
    <w:uiPriority w:val="0"/>
    <w:pPr>
      <w:widowControl/>
      <w:spacing w:before="187" w:after="175" w:line="374" w:lineRule="atLeast"/>
      <w:jc w:val="center"/>
      <w:textAlignment w:val="baseline"/>
    </w:pPr>
    <w:rPr>
      <w:rFonts w:ascii="Times New Roman" w:hAnsi="Times New Roman"/>
      <w:color w:val="000000"/>
      <w:kern w:val="0"/>
      <w:sz w:val="36"/>
      <w:szCs w:val="20"/>
      <w:u w:color="000000"/>
    </w:rPr>
  </w:style>
  <w:style w:type="paragraph" w:customStyle="1" w:styleId="542">
    <w:name w:val="xl108"/>
    <w:basedOn w:val="1"/>
    <w:qFormat/>
    <w:uiPriority w:val="0"/>
    <w:pPr>
      <w:widowControl/>
      <w:pBdr>
        <w:left w:val="single" w:color="auto" w:sz="4" w:space="0"/>
        <w:bottom w:val="single" w:color="auto" w:sz="4" w:space="0"/>
      </w:pBdr>
      <w:spacing w:before="100" w:beforeAutospacing="1" w:after="100" w:afterAutospacing="1" w:line="240" w:lineRule="auto"/>
      <w:jc w:val="right"/>
    </w:pPr>
    <w:rPr>
      <w:rFonts w:ascii="Arial Unicode MS" w:hAnsi="Arial Unicode MS"/>
      <w:kern w:val="0"/>
      <w:sz w:val="20"/>
      <w:szCs w:val="20"/>
    </w:rPr>
  </w:style>
  <w:style w:type="paragraph" w:customStyle="1" w:styleId="543">
    <w:name w:val="xl120"/>
    <w:basedOn w:val="1"/>
    <w:uiPriority w:val="0"/>
    <w:pPr>
      <w:widowControl/>
      <w:pBdr>
        <w:bottom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44">
    <w:name w:val="xl104"/>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4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46">
    <w:name w:val="正文2000"/>
    <w:basedOn w:val="1"/>
    <w:qFormat/>
    <w:uiPriority w:val="0"/>
    <w:pPr>
      <w:snapToGrid w:val="0"/>
      <w:ind w:firstLine="480" w:firstLineChars="200"/>
    </w:pPr>
    <w:rPr>
      <w:rFonts w:ascii="Times New Roman" w:hAnsi="Times New Roman"/>
      <w:kern w:val="0"/>
      <w:sz w:val="24"/>
      <w:szCs w:val="20"/>
    </w:rPr>
  </w:style>
  <w:style w:type="paragraph" w:customStyle="1" w:styleId="547">
    <w:name w:val="text"/>
    <w:basedOn w:val="1"/>
    <w:uiPriority w:val="0"/>
    <w:pPr>
      <w:widowControl/>
      <w:pBdr>
        <w:top w:val="single" w:color="9CDB73" w:sz="6" w:space="0"/>
        <w:left w:val="single" w:color="9CDB73" w:sz="6" w:space="0"/>
        <w:bottom w:val="single" w:color="9CDB73" w:sz="6" w:space="0"/>
        <w:right w:val="single" w:color="9CDB73" w:sz="6" w:space="0"/>
      </w:pBdr>
      <w:shd w:val="clear" w:color="auto" w:fill="F8FFE8"/>
      <w:spacing w:before="100" w:beforeAutospacing="1" w:after="100" w:afterAutospacing="1" w:line="320" w:lineRule="atLeast"/>
      <w:jc w:val="left"/>
    </w:pPr>
    <w:rPr>
      <w:rFonts w:hint="eastAsia" w:ascii="宋体" w:hAnsi="宋体"/>
      <w:kern w:val="0"/>
      <w:sz w:val="18"/>
      <w:szCs w:val="20"/>
    </w:rPr>
  </w:style>
  <w:style w:type="paragraph" w:customStyle="1" w:styleId="548">
    <w:name w:val="xl10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49">
    <w:name w:val="xl114"/>
    <w:basedOn w:val="1"/>
    <w:qFormat/>
    <w:uiPriority w:val="0"/>
    <w:pPr>
      <w:widowControl/>
      <w:pBdr>
        <w:top w:val="single" w:color="auto" w:sz="4" w:space="0"/>
        <w:bottom w:val="single" w:color="auto" w:sz="8" w:space="0"/>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550">
    <w:name w:val="xl103"/>
    <w:basedOn w:val="1"/>
    <w:qFormat/>
    <w:uiPriority w:val="0"/>
    <w:pPr>
      <w:widowControl/>
      <w:pBdr>
        <w:top w:val="single" w:color="auto" w:sz="4" w:space="0"/>
        <w:bottom w:val="single" w:color="auto" w:sz="8" w:space="0"/>
        <w:right w:val="single" w:color="auto" w:sz="4" w:space="0"/>
      </w:pBdr>
      <w:shd w:val="clear" w:color="auto" w:fill="FFFF00"/>
      <w:spacing w:before="100" w:beforeAutospacing="1" w:after="100" w:afterAutospacing="1" w:line="240" w:lineRule="auto"/>
      <w:jc w:val="left"/>
    </w:pPr>
    <w:rPr>
      <w:rFonts w:ascii="Arial Unicode MS" w:hAnsi="Arial Unicode MS"/>
      <w:kern w:val="0"/>
      <w:sz w:val="20"/>
      <w:szCs w:val="20"/>
    </w:rPr>
  </w:style>
  <w:style w:type="paragraph" w:customStyle="1" w:styleId="551">
    <w:name w:val="目录1"/>
    <w:basedOn w:val="1"/>
    <w:next w:val="1"/>
    <w:uiPriority w:val="0"/>
    <w:pPr>
      <w:widowControl/>
      <w:tabs>
        <w:tab w:val="left" w:leader="dot" w:pos="8503"/>
      </w:tabs>
      <w:spacing w:after="102" w:line="215" w:lineRule="atLeast"/>
      <w:ind w:firstLine="419"/>
      <w:jc w:val="left"/>
      <w:textAlignment w:val="baseline"/>
    </w:pPr>
    <w:rPr>
      <w:rFonts w:ascii="Times New Roman" w:hAnsi="Times New Roman"/>
      <w:color w:val="000000"/>
      <w:kern w:val="0"/>
      <w:sz w:val="21"/>
      <w:szCs w:val="20"/>
      <w:u w:color="000000"/>
    </w:rPr>
  </w:style>
  <w:style w:type="paragraph" w:customStyle="1" w:styleId="552">
    <w:name w:val="!标题2(alt+2)"/>
    <w:next w:val="1"/>
    <w:qFormat/>
    <w:uiPriority w:val="0"/>
    <w:pPr>
      <w:spacing w:before="40" w:after="120" w:line="500" w:lineRule="exact"/>
      <w:outlineLvl w:val="1"/>
    </w:pPr>
    <w:rPr>
      <w:rFonts w:ascii="Times New Roman" w:hAnsi="Times New Roman" w:eastAsia="宋体" w:cs="Times New Roman"/>
      <w:kern w:val="2"/>
      <w:sz w:val="30"/>
      <w:lang w:val="en-US" w:eastAsia="zh-CN" w:bidi="ar-SA"/>
    </w:rPr>
  </w:style>
  <w:style w:type="paragraph" w:customStyle="1" w:styleId="553">
    <w:name w:val="表格文字块"/>
    <w:basedOn w:val="36"/>
    <w:uiPriority w:val="0"/>
    <w:pPr>
      <w:keepNext/>
      <w:snapToGrid w:val="0"/>
      <w:spacing w:after="0"/>
      <w:ind w:left="0" w:right="0" w:firstLine="200" w:firstLineChars="200"/>
      <w:jc w:val="center"/>
    </w:pPr>
    <w:rPr>
      <w:rFonts w:eastAsia="楷体_GB2312"/>
      <w:snapToGrid w:val="0"/>
      <w:kern w:val="0"/>
      <w:sz w:val="24"/>
      <w:szCs w:val="20"/>
    </w:rPr>
  </w:style>
  <w:style w:type="paragraph" w:customStyle="1" w:styleId="554">
    <w:name w:val="Char Char Char Char1"/>
    <w:basedOn w:val="1"/>
    <w:qFormat/>
    <w:uiPriority w:val="0"/>
    <w:pPr>
      <w:adjustRightInd w:val="0"/>
      <w:snapToGrid w:val="0"/>
      <w:ind w:firstLine="200" w:firstLineChars="200"/>
      <w:jc w:val="left"/>
    </w:pPr>
    <w:rPr>
      <w:rFonts w:ascii="仿宋_GB2312" w:hAnsi="仿宋_GB2312" w:eastAsia="仿宋_GB2312"/>
      <w:sz w:val="24"/>
      <w:szCs w:val="20"/>
    </w:rPr>
  </w:style>
  <w:style w:type="paragraph" w:customStyle="1" w:styleId="555">
    <w:name w:val="xl107"/>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56">
    <w:name w:val="报告书正文"/>
    <w:basedOn w:val="1"/>
    <w:link w:val="763"/>
    <w:qFormat/>
    <w:uiPriority w:val="0"/>
    <w:pPr>
      <w:snapToGrid w:val="0"/>
      <w:spacing w:line="460" w:lineRule="exact"/>
      <w:ind w:firstLine="480" w:firstLineChars="200"/>
      <w:textAlignment w:val="baseline"/>
    </w:pPr>
    <w:rPr>
      <w:rFonts w:ascii="Times New Roman" w:hAnsi="Times New Roman"/>
      <w:kern w:val="0"/>
      <w:sz w:val="24"/>
      <w:szCs w:val="20"/>
    </w:rPr>
  </w:style>
  <w:style w:type="paragraph" w:customStyle="1" w:styleId="557">
    <w:name w:val="xl126"/>
    <w:basedOn w:val="1"/>
    <w:uiPriority w:val="0"/>
    <w:pPr>
      <w:widowControl/>
      <w:pBdr>
        <w:top w:val="single" w:color="auto" w:sz="4" w:space="0"/>
        <w:bottom w:val="single" w:color="auto" w:sz="8" w:space="0"/>
      </w:pBdr>
      <w:spacing w:before="100" w:beforeAutospacing="1" w:after="100" w:afterAutospacing="1" w:line="240" w:lineRule="auto"/>
      <w:jc w:val="center"/>
    </w:pPr>
    <w:rPr>
      <w:rFonts w:ascii="Arial Unicode MS" w:hAnsi="Arial Unicode MS"/>
      <w:kern w:val="0"/>
      <w:sz w:val="20"/>
      <w:szCs w:val="20"/>
    </w:rPr>
  </w:style>
  <w:style w:type="paragraph" w:customStyle="1" w:styleId="558">
    <w:name w:val="pra"/>
    <w:basedOn w:val="1"/>
    <w:qFormat/>
    <w:uiPriority w:val="0"/>
    <w:pPr>
      <w:widowControl/>
      <w:spacing w:before="100" w:beforeAutospacing="1" w:after="100" w:afterAutospacing="1" w:line="440" w:lineRule="exact"/>
      <w:ind w:firstLine="480" w:firstLineChars="200"/>
      <w:jc w:val="left"/>
    </w:pPr>
    <w:rPr>
      <w:rFonts w:ascii="Arial Unicode MS" w:hAnsi="Arial Unicode MS" w:eastAsia="Arial Unicode MS"/>
      <w:kern w:val="0"/>
      <w:sz w:val="24"/>
      <w:szCs w:val="20"/>
    </w:rPr>
  </w:style>
  <w:style w:type="paragraph" w:customStyle="1" w:styleId="559">
    <w:name w:val="样式5"/>
    <w:basedOn w:val="525"/>
    <w:link w:val="694"/>
    <w:qFormat/>
    <w:uiPriority w:val="0"/>
    <w:pPr>
      <w:spacing w:line="320" w:lineRule="exact"/>
      <w:ind w:firstLine="0" w:firstLineChars="0"/>
      <w:jc w:val="center"/>
    </w:pPr>
    <w:rPr>
      <w:rFonts w:eastAsia="Times New Roman"/>
      <w:sz w:val="21"/>
    </w:rPr>
  </w:style>
  <w:style w:type="paragraph" w:customStyle="1" w:styleId="560">
    <w:name w:val="xl124"/>
    <w:basedOn w:val="1"/>
    <w:qFormat/>
    <w:uiPriority w:val="0"/>
    <w:pPr>
      <w:widowControl/>
      <w:pBdr>
        <w:top w:val="single" w:color="auto" w:sz="4" w:space="0"/>
        <w:bottom w:val="single" w:color="auto" w:sz="8" w:space="0"/>
      </w:pBdr>
      <w:spacing w:before="100" w:beforeAutospacing="1" w:after="100" w:afterAutospacing="1" w:line="240" w:lineRule="auto"/>
      <w:jc w:val="left"/>
    </w:pPr>
    <w:rPr>
      <w:rFonts w:ascii="Arial Unicode MS" w:hAnsi="Arial Unicode MS"/>
      <w:kern w:val="0"/>
      <w:sz w:val="20"/>
      <w:szCs w:val="20"/>
    </w:rPr>
  </w:style>
  <w:style w:type="paragraph" w:customStyle="1" w:styleId="561">
    <w:name w:val="xl127"/>
    <w:basedOn w:val="1"/>
    <w:uiPriority w:val="0"/>
    <w:pPr>
      <w:widowControl/>
      <w:pBdr>
        <w:top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62">
    <w:name w:val="xl10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63">
    <w:name w:val="xl110"/>
    <w:basedOn w:val="1"/>
    <w:uiPriority w:val="0"/>
    <w:pPr>
      <w:widowControl/>
      <w:pBdr>
        <w:bottom w:val="single" w:color="auto" w:sz="4"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64">
    <w:name w:val="批注框文本 Char Char"/>
    <w:basedOn w:val="1"/>
    <w:qFormat/>
    <w:uiPriority w:val="0"/>
    <w:pPr>
      <w:spacing w:line="440" w:lineRule="exact"/>
      <w:ind w:firstLine="200" w:firstLineChars="200"/>
    </w:pPr>
    <w:rPr>
      <w:rFonts w:ascii="Times New Roman" w:hAnsi="Times New Roman"/>
      <w:sz w:val="18"/>
      <w:szCs w:val="20"/>
    </w:rPr>
  </w:style>
  <w:style w:type="paragraph" w:customStyle="1" w:styleId="565">
    <w:name w:val="目录3"/>
    <w:basedOn w:val="1"/>
    <w:next w:val="1"/>
    <w:uiPriority w:val="0"/>
    <w:pPr>
      <w:widowControl/>
      <w:tabs>
        <w:tab w:val="left" w:leader="dot" w:pos="8503"/>
      </w:tabs>
      <w:spacing w:line="317" w:lineRule="atLeast"/>
      <w:ind w:left="419" w:firstLine="419"/>
      <w:textAlignment w:val="baseline"/>
    </w:pPr>
    <w:rPr>
      <w:rFonts w:ascii="Times New Roman" w:hAnsi="Times New Roman"/>
      <w:color w:val="000000"/>
      <w:kern w:val="0"/>
      <w:sz w:val="21"/>
      <w:szCs w:val="20"/>
      <w:u w:color="000000"/>
    </w:rPr>
  </w:style>
  <w:style w:type="paragraph" w:customStyle="1" w:styleId="566">
    <w:name w:val="表格_dg"/>
    <w:basedOn w:val="1"/>
    <w:qFormat/>
    <w:uiPriority w:val="0"/>
    <w:pPr>
      <w:adjustRightInd w:val="0"/>
      <w:spacing w:line="360" w:lineRule="exact"/>
      <w:jc w:val="center"/>
      <w:textAlignment w:val="center"/>
    </w:pPr>
    <w:rPr>
      <w:rFonts w:ascii="Times New Roman" w:hAnsi="Times New Roman"/>
      <w:kern w:val="0"/>
      <w:sz w:val="21"/>
      <w:szCs w:val="20"/>
    </w:rPr>
  </w:style>
  <w:style w:type="paragraph" w:customStyle="1" w:styleId="567">
    <w:name w:val="font"/>
    <w:basedOn w:val="1"/>
    <w:uiPriority w:val="0"/>
    <w:pPr>
      <w:widowControl/>
      <w:spacing w:before="100" w:beforeAutospacing="1" w:after="100" w:afterAutospacing="1" w:line="270" w:lineRule="atLeast"/>
      <w:jc w:val="left"/>
    </w:pPr>
    <w:rPr>
      <w:rFonts w:hint="eastAsia" w:ascii="宋体" w:hAnsi="宋体"/>
      <w:kern w:val="0"/>
      <w:sz w:val="24"/>
      <w:szCs w:val="20"/>
    </w:rPr>
  </w:style>
  <w:style w:type="paragraph" w:customStyle="1" w:styleId="568">
    <w:name w:val="xl12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69">
    <w:name w:val="二章正文"/>
    <w:basedOn w:val="1"/>
    <w:qFormat/>
    <w:uiPriority w:val="0"/>
    <w:pPr>
      <w:spacing w:line="0" w:lineRule="atLeast"/>
      <w:jc w:val="right"/>
    </w:pPr>
    <w:rPr>
      <w:rFonts w:ascii="宋体" w:hAnsi="宋体"/>
      <w:sz w:val="21"/>
      <w:szCs w:val="20"/>
    </w:rPr>
  </w:style>
  <w:style w:type="paragraph" w:customStyle="1" w:styleId="570">
    <w:name w:val="xl115"/>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71">
    <w:name w:val="xl122"/>
    <w:basedOn w:val="1"/>
    <w:uiPriority w:val="0"/>
    <w:pPr>
      <w:widowControl/>
      <w:pBdr>
        <w:top w:val="single" w:color="auto" w:sz="4" w:space="0"/>
        <w:bottom w:val="single" w:color="auto" w:sz="4" w:space="0"/>
      </w:pBdr>
      <w:spacing w:before="100" w:beforeAutospacing="1" w:after="100" w:afterAutospacing="1" w:line="240" w:lineRule="auto"/>
      <w:jc w:val="right"/>
    </w:pPr>
    <w:rPr>
      <w:rFonts w:ascii="Arial Unicode MS" w:hAnsi="Arial Unicode MS"/>
      <w:kern w:val="0"/>
      <w:sz w:val="20"/>
      <w:szCs w:val="20"/>
    </w:rPr>
  </w:style>
  <w:style w:type="paragraph" w:customStyle="1" w:styleId="572">
    <w:name w:val="xl128"/>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73">
    <w:name w:val="!标题4(alt+4)"/>
    <w:basedOn w:val="1"/>
    <w:uiPriority w:val="0"/>
    <w:pPr>
      <w:spacing w:line="420" w:lineRule="exact"/>
      <w:outlineLvl w:val="3"/>
    </w:pPr>
    <w:rPr>
      <w:rFonts w:ascii="Times New Roman" w:hAnsi="Times New Roman"/>
      <w:sz w:val="24"/>
      <w:szCs w:val="20"/>
    </w:rPr>
  </w:style>
  <w:style w:type="paragraph" w:customStyle="1" w:styleId="574">
    <w:name w:val="样式 首行缩进:  2.01 字符"/>
    <w:basedOn w:val="1"/>
    <w:qFormat/>
    <w:uiPriority w:val="0"/>
    <w:pPr>
      <w:spacing w:line="440" w:lineRule="exact"/>
      <w:ind w:firstLine="200" w:firstLineChars="200"/>
    </w:pPr>
    <w:rPr>
      <w:rFonts w:ascii="Times New Roman" w:hAnsi="Times New Roman"/>
      <w:sz w:val="24"/>
      <w:szCs w:val="20"/>
    </w:rPr>
  </w:style>
  <w:style w:type="paragraph" w:customStyle="1" w:styleId="575">
    <w:name w:val="表文字"/>
    <w:basedOn w:val="1"/>
    <w:next w:val="1"/>
    <w:uiPriority w:val="0"/>
    <w:pPr>
      <w:adjustRightInd w:val="0"/>
      <w:spacing w:line="0" w:lineRule="atLeast"/>
      <w:ind w:firstLine="200" w:firstLineChars="200"/>
      <w:jc w:val="left"/>
    </w:pPr>
    <w:rPr>
      <w:rFonts w:ascii="宋体" w:hAnsi="宋体"/>
      <w:kern w:val="0"/>
      <w:sz w:val="18"/>
      <w:szCs w:val="20"/>
    </w:rPr>
  </w:style>
  <w:style w:type="paragraph" w:customStyle="1" w:styleId="576">
    <w:name w:val="!章名(alt+m)"/>
    <w:next w:val="1"/>
    <w:uiPriority w:val="0"/>
    <w:pPr>
      <w:spacing w:line="500" w:lineRule="exact"/>
      <w:jc w:val="center"/>
      <w:outlineLvl w:val="0"/>
    </w:pPr>
    <w:rPr>
      <w:rFonts w:ascii="Arial" w:hAnsi="Arial" w:eastAsia="黑体" w:cs="Times New Roman"/>
      <w:spacing w:val="-5"/>
      <w:sz w:val="32"/>
      <w:lang w:val="en-US" w:eastAsia="zh-CN" w:bidi="ar-SA"/>
    </w:rPr>
  </w:style>
  <w:style w:type="paragraph" w:customStyle="1" w:styleId="577">
    <w:name w:val="样式 标题 3 + 段前: 0.25 行 段后: 0.25 行"/>
    <w:basedOn w:val="4"/>
    <w:uiPriority w:val="0"/>
    <w:pPr>
      <w:keepNext w:val="0"/>
      <w:keepLines w:val="0"/>
      <w:spacing w:before="60" w:after="60" w:line="500" w:lineRule="exact"/>
    </w:pPr>
    <w:rPr>
      <w:rFonts w:ascii="黑体" w:hAnsi="Times New Roman" w:eastAsia="黑体"/>
      <w:b w:val="0"/>
      <w:bCs w:val="0"/>
      <w:sz w:val="24"/>
      <w:szCs w:val="20"/>
    </w:rPr>
  </w:style>
  <w:style w:type="paragraph" w:customStyle="1" w:styleId="578">
    <w:name w:val="xl118"/>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79">
    <w:name w:val="xl112"/>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kern w:val="0"/>
      <w:sz w:val="20"/>
      <w:szCs w:val="20"/>
    </w:rPr>
  </w:style>
  <w:style w:type="paragraph" w:customStyle="1" w:styleId="580">
    <w:name w:val="标准"/>
    <w:basedOn w:val="1"/>
    <w:uiPriority w:val="0"/>
    <w:pPr>
      <w:adjustRightInd w:val="0"/>
      <w:jc w:val="center"/>
      <w:textAlignment w:val="baseline"/>
    </w:pPr>
    <w:rPr>
      <w:rFonts w:ascii="Times New Roman" w:hAnsi="Times New Roman"/>
      <w:kern w:val="0"/>
      <w:sz w:val="21"/>
      <w:szCs w:val="20"/>
    </w:rPr>
  </w:style>
  <w:style w:type="paragraph" w:customStyle="1" w:styleId="581">
    <w:name w:val="图形中文字"/>
    <w:basedOn w:val="1"/>
    <w:uiPriority w:val="0"/>
    <w:pPr>
      <w:autoSpaceDE w:val="0"/>
      <w:autoSpaceDN w:val="0"/>
      <w:adjustRightInd w:val="0"/>
      <w:spacing w:line="240" w:lineRule="auto"/>
      <w:jc w:val="center"/>
    </w:pPr>
    <w:rPr>
      <w:rFonts w:ascii="宋体" w:hAnsi="Tms Rmn"/>
      <w:kern w:val="0"/>
      <w:sz w:val="24"/>
      <w:szCs w:val="20"/>
    </w:rPr>
  </w:style>
  <w:style w:type="paragraph" w:customStyle="1" w:styleId="582">
    <w:name w:val="xl119"/>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jc w:val="left"/>
    </w:pPr>
    <w:rPr>
      <w:rFonts w:ascii="Arial Unicode MS" w:hAnsi="Arial Unicode MS"/>
      <w:kern w:val="0"/>
      <w:sz w:val="20"/>
      <w:szCs w:val="20"/>
    </w:rPr>
  </w:style>
  <w:style w:type="paragraph" w:customStyle="1" w:styleId="583">
    <w:name w:val="目录2"/>
    <w:basedOn w:val="1"/>
    <w:next w:val="1"/>
    <w:uiPriority w:val="0"/>
    <w:pPr>
      <w:widowControl/>
      <w:tabs>
        <w:tab w:val="left" w:leader="dot" w:pos="8503"/>
      </w:tabs>
      <w:spacing w:line="317" w:lineRule="atLeast"/>
      <w:ind w:left="419" w:firstLine="419"/>
      <w:textAlignment w:val="baseline"/>
    </w:pPr>
    <w:rPr>
      <w:rFonts w:ascii="Times New Roman" w:hAnsi="Times New Roman"/>
      <w:color w:val="000000"/>
      <w:kern w:val="0"/>
      <w:sz w:val="21"/>
      <w:szCs w:val="20"/>
      <w:u w:color="000000"/>
    </w:rPr>
  </w:style>
  <w:style w:type="paragraph" w:customStyle="1" w:styleId="584">
    <w:name w:val="xl113"/>
    <w:basedOn w:val="1"/>
    <w:uiPriority w:val="0"/>
    <w:pPr>
      <w:widowControl/>
      <w:pBdr>
        <w:top w:val="single" w:color="auto" w:sz="4" w:space="0"/>
        <w:left w:val="single" w:color="auto" w:sz="4" w:space="0"/>
        <w:bottom w:val="single" w:color="auto" w:sz="8" w:space="0"/>
      </w:pBdr>
      <w:spacing w:before="100" w:beforeAutospacing="1" w:after="100" w:afterAutospacing="1" w:line="240" w:lineRule="auto"/>
      <w:jc w:val="right"/>
    </w:pPr>
    <w:rPr>
      <w:rFonts w:ascii="Arial Unicode MS" w:hAnsi="Arial Unicode MS"/>
      <w:kern w:val="0"/>
      <w:sz w:val="20"/>
      <w:szCs w:val="20"/>
    </w:rPr>
  </w:style>
  <w:style w:type="paragraph" w:customStyle="1" w:styleId="585">
    <w:name w:val="NOTE"/>
    <w:basedOn w:val="1"/>
    <w:uiPriority w:val="0"/>
    <w:pPr>
      <w:adjustRightInd w:val="0"/>
      <w:spacing w:line="420" w:lineRule="atLeast"/>
      <w:ind w:left="567" w:hanging="567"/>
      <w:textAlignment w:val="baseline"/>
    </w:pPr>
    <w:rPr>
      <w:rFonts w:ascii="宋体" w:hAnsi="Times New Roman"/>
      <w:spacing w:val="30"/>
      <w:kern w:val="0"/>
      <w:sz w:val="21"/>
      <w:szCs w:val="20"/>
    </w:rPr>
  </w:style>
  <w:style w:type="paragraph" w:customStyle="1" w:styleId="586">
    <w:name w:val="table1"/>
    <w:basedOn w:val="1"/>
    <w:uiPriority w:val="0"/>
    <w:pPr>
      <w:adjustRightInd w:val="0"/>
      <w:spacing w:line="240" w:lineRule="atLeast"/>
      <w:jc w:val="center"/>
      <w:textAlignment w:val="baseline"/>
    </w:pPr>
    <w:rPr>
      <w:rFonts w:ascii="Times New Roman" w:hAnsi="Times New Roman" w:eastAsia="黑体"/>
      <w:kern w:val="0"/>
      <w:sz w:val="24"/>
      <w:szCs w:val="20"/>
    </w:rPr>
  </w:style>
  <w:style w:type="paragraph" w:customStyle="1" w:styleId="587">
    <w:name w:val="xl125"/>
    <w:basedOn w:val="1"/>
    <w:uiPriority w:val="0"/>
    <w:pPr>
      <w:widowControl/>
      <w:pBdr>
        <w:top w:val="single" w:color="auto" w:sz="4" w:space="0"/>
        <w:left w:val="single" w:color="auto" w:sz="4" w:space="0"/>
        <w:bottom w:val="single" w:color="auto" w:sz="8" w:space="0"/>
      </w:pBdr>
      <w:spacing w:before="100" w:beforeAutospacing="1" w:after="100" w:afterAutospacing="1" w:line="240" w:lineRule="auto"/>
      <w:jc w:val="center"/>
    </w:pPr>
    <w:rPr>
      <w:rFonts w:ascii="Arial Unicode MS" w:hAnsi="Arial Unicode MS"/>
      <w:kern w:val="0"/>
      <w:sz w:val="20"/>
      <w:szCs w:val="20"/>
    </w:rPr>
  </w:style>
  <w:style w:type="paragraph" w:customStyle="1" w:styleId="588">
    <w:name w:val="列表延续 5"/>
    <w:basedOn w:val="1"/>
    <w:qFormat/>
    <w:uiPriority w:val="0"/>
    <w:pPr>
      <w:autoSpaceDE w:val="0"/>
      <w:autoSpaceDN w:val="0"/>
      <w:adjustRightInd w:val="0"/>
      <w:spacing w:after="120" w:line="400" w:lineRule="exact"/>
      <w:ind w:left="1260"/>
      <w:jc w:val="left"/>
    </w:pPr>
    <w:rPr>
      <w:rFonts w:ascii="宋体" w:hAnsi="Tms Rmn"/>
      <w:spacing w:val="-5"/>
      <w:kern w:val="0"/>
      <w:sz w:val="26"/>
      <w:szCs w:val="20"/>
    </w:rPr>
  </w:style>
  <w:style w:type="paragraph" w:customStyle="1" w:styleId="589">
    <w:name w:val="注角"/>
    <w:basedOn w:val="1"/>
    <w:next w:val="1"/>
    <w:qFormat/>
    <w:uiPriority w:val="0"/>
    <w:pPr>
      <w:spacing w:line="340" w:lineRule="exact"/>
      <w:jc w:val="left"/>
    </w:pPr>
    <w:rPr>
      <w:rFonts w:ascii="Times New Roman" w:hAnsi="Times New Roman"/>
      <w:sz w:val="21"/>
      <w:szCs w:val="20"/>
    </w:rPr>
  </w:style>
  <w:style w:type="paragraph" w:customStyle="1" w:styleId="590">
    <w:name w:val="xl116"/>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91">
    <w:name w:val="样式 !正文(alt+c) + 首行缩进:  2 字符"/>
    <w:basedOn w:val="525"/>
    <w:qFormat/>
    <w:uiPriority w:val="0"/>
    <w:pPr>
      <w:spacing w:line="440" w:lineRule="exact"/>
      <w:jc w:val="left"/>
    </w:pPr>
    <w:rPr>
      <w:color w:val="000000"/>
    </w:rPr>
  </w:style>
  <w:style w:type="paragraph" w:customStyle="1" w:styleId="592">
    <w:name w:val="xl109"/>
    <w:basedOn w:val="1"/>
    <w:qFormat/>
    <w:uiPriority w:val="0"/>
    <w:pPr>
      <w:widowControl/>
      <w:pBdr>
        <w:bottom w:val="single" w:color="auto" w:sz="4" w:space="0"/>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593">
    <w:name w:val="目录4"/>
    <w:basedOn w:val="1"/>
    <w:next w:val="1"/>
    <w:uiPriority w:val="0"/>
    <w:pPr>
      <w:widowControl/>
      <w:tabs>
        <w:tab w:val="left" w:leader="dot" w:pos="8503"/>
      </w:tabs>
      <w:spacing w:line="317" w:lineRule="atLeast"/>
      <w:ind w:left="419" w:firstLine="629"/>
      <w:textAlignment w:val="baseline"/>
    </w:pPr>
    <w:rPr>
      <w:rFonts w:ascii="Times New Roman" w:hAnsi="Times New Roman"/>
      <w:color w:val="000000"/>
      <w:kern w:val="0"/>
      <w:sz w:val="21"/>
      <w:szCs w:val="20"/>
      <w:u w:color="000000"/>
    </w:rPr>
  </w:style>
  <w:style w:type="paragraph" w:customStyle="1" w:styleId="594">
    <w:name w:val="xl117"/>
    <w:basedOn w:val="1"/>
    <w:uiPriority w:val="0"/>
    <w:pPr>
      <w:widowControl/>
      <w:spacing w:before="100" w:beforeAutospacing="1" w:after="100" w:afterAutospacing="1" w:line="240" w:lineRule="auto"/>
      <w:jc w:val="left"/>
    </w:pPr>
    <w:rPr>
      <w:rFonts w:ascii="Arial Unicode MS" w:hAnsi="Arial Unicode MS"/>
      <w:kern w:val="0"/>
      <w:sz w:val="20"/>
      <w:szCs w:val="20"/>
    </w:rPr>
  </w:style>
  <w:style w:type="paragraph" w:customStyle="1" w:styleId="595">
    <w:name w:val="样式 标题 1 + 行距: 多倍行距 2.5 字行"/>
    <w:basedOn w:val="2"/>
    <w:qFormat/>
    <w:uiPriority w:val="0"/>
    <w:pPr>
      <w:spacing w:before="400" w:after="0" w:line="600" w:lineRule="auto"/>
      <w:jc w:val="center"/>
    </w:pPr>
    <w:rPr>
      <w:rFonts w:ascii="Times New Roman" w:hAnsi="Times New Roman" w:eastAsia="黑体"/>
      <w:bCs w:val="0"/>
      <w:sz w:val="32"/>
      <w:szCs w:val="20"/>
    </w:rPr>
  </w:style>
  <w:style w:type="paragraph" w:customStyle="1" w:styleId="5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kern w:val="0"/>
      <w:sz w:val="20"/>
      <w:szCs w:val="20"/>
    </w:rPr>
  </w:style>
  <w:style w:type="paragraph" w:customStyle="1" w:styleId="597">
    <w:name w:val="样式1-1级项目编号"/>
    <w:basedOn w:val="1"/>
    <w:qFormat/>
    <w:uiPriority w:val="0"/>
    <w:pPr>
      <w:tabs>
        <w:tab w:val="left" w:pos="482"/>
      </w:tabs>
      <w:adjustRightInd w:val="0"/>
      <w:snapToGrid w:val="0"/>
      <w:spacing w:line="380" w:lineRule="exact"/>
      <w:ind w:left="482"/>
      <w:textAlignment w:val="center"/>
    </w:pPr>
    <w:rPr>
      <w:rFonts w:ascii="Times New Roman" w:hAnsi="Times New Roman"/>
      <w:snapToGrid w:val="0"/>
      <w:kern w:val="0"/>
      <w:sz w:val="24"/>
      <w:szCs w:val="20"/>
    </w:rPr>
  </w:style>
  <w:style w:type="paragraph" w:customStyle="1" w:styleId="598">
    <w:name w:val="!标题1(alt+1)"/>
    <w:basedOn w:val="576"/>
    <w:next w:val="1"/>
    <w:qFormat/>
    <w:uiPriority w:val="0"/>
    <w:pPr>
      <w:spacing w:before="100" w:after="300" w:line="600" w:lineRule="exact"/>
      <w:ind w:left="482"/>
    </w:pPr>
  </w:style>
  <w:style w:type="paragraph" w:customStyle="1" w:styleId="599">
    <w:name w:val="wdjh"/>
    <w:basedOn w:val="1"/>
    <w:qFormat/>
    <w:uiPriority w:val="0"/>
    <w:pPr>
      <w:widowControl/>
      <w:spacing w:before="100" w:beforeAutospacing="1" w:after="100" w:afterAutospacing="1" w:line="360" w:lineRule="atLeast"/>
      <w:ind w:firstLine="480" w:firstLineChars="200"/>
      <w:jc w:val="left"/>
    </w:pPr>
    <w:rPr>
      <w:rFonts w:eastAsia="Arial Unicode MS"/>
      <w:color w:val="333333"/>
      <w:kern w:val="0"/>
      <w:sz w:val="24"/>
      <w:szCs w:val="20"/>
    </w:rPr>
  </w:style>
  <w:style w:type="paragraph" w:customStyle="1" w:styleId="600">
    <w:name w:val="图表头"/>
    <w:basedOn w:val="1"/>
    <w:next w:val="1"/>
    <w:uiPriority w:val="0"/>
    <w:pPr>
      <w:tabs>
        <w:tab w:val="left" w:pos="360"/>
      </w:tabs>
      <w:spacing w:before="234" w:beforeLines="75" w:after="78" w:afterLines="25" w:line="460" w:lineRule="exact"/>
      <w:jc w:val="center"/>
    </w:pPr>
    <w:rPr>
      <w:rFonts w:ascii="宋体" w:hAnsi="宋体" w:eastAsia="黑体"/>
      <w:sz w:val="24"/>
      <w:szCs w:val="20"/>
    </w:rPr>
  </w:style>
  <w:style w:type="paragraph" w:customStyle="1" w:styleId="601">
    <w:name w:val="正文 + Times New Roman"/>
    <w:basedOn w:val="1"/>
    <w:qFormat/>
    <w:uiPriority w:val="0"/>
    <w:pPr>
      <w:adjustRightInd w:val="0"/>
      <w:snapToGrid w:val="0"/>
      <w:spacing w:line="500" w:lineRule="exact"/>
      <w:ind w:firstLine="480" w:firstLineChars="200"/>
    </w:pPr>
    <w:rPr>
      <w:rFonts w:ascii="Times New Roman" w:hAnsi="Times New Roman"/>
      <w:kern w:val="0"/>
      <w:sz w:val="24"/>
      <w:szCs w:val="20"/>
    </w:rPr>
  </w:style>
  <w:style w:type="paragraph" w:customStyle="1" w:styleId="602">
    <w:name w:val="gg_body"/>
    <w:basedOn w:val="1"/>
    <w:qFormat/>
    <w:uiPriority w:val="0"/>
    <w:pPr>
      <w:spacing w:line="440" w:lineRule="exact"/>
      <w:ind w:firstLine="200" w:firstLineChars="200"/>
    </w:pPr>
    <w:rPr>
      <w:rFonts w:ascii="宋体" w:hAnsi="宋体"/>
      <w:sz w:val="24"/>
      <w:szCs w:val="20"/>
    </w:rPr>
  </w:style>
  <w:style w:type="paragraph" w:customStyle="1" w:styleId="603">
    <w:name w:val="样式 标题 2 + 段前: 0.5 行 段后: 0.5 行"/>
    <w:basedOn w:val="3"/>
    <w:uiPriority w:val="0"/>
    <w:pPr>
      <w:tabs>
        <w:tab w:val="clear" w:pos="1287"/>
      </w:tabs>
      <w:autoSpaceDE w:val="0"/>
      <w:autoSpaceDN w:val="0"/>
      <w:adjustRightInd w:val="0"/>
      <w:spacing w:before="120" w:beforeAutospacing="0" w:after="120" w:afterAutospacing="0" w:line="560" w:lineRule="exact"/>
      <w:jc w:val="left"/>
    </w:pPr>
    <w:rPr>
      <w:b w:val="0"/>
      <w:bCs w:val="0"/>
      <w:kern w:val="0"/>
      <w:sz w:val="30"/>
      <w:szCs w:val="20"/>
    </w:rPr>
  </w:style>
  <w:style w:type="paragraph" w:customStyle="1" w:styleId="604">
    <w:name w:val="表头 Char Char Char"/>
    <w:basedOn w:val="7"/>
    <w:next w:val="1"/>
    <w:qFormat/>
    <w:uiPriority w:val="0"/>
    <w:pPr>
      <w:keepNext w:val="0"/>
      <w:tabs>
        <w:tab w:val="left" w:pos="780"/>
      </w:tabs>
      <w:adjustRightInd w:val="0"/>
      <w:snapToGrid w:val="0"/>
      <w:spacing w:before="120" w:after="156" w:afterLines="50" w:line="400" w:lineRule="exact"/>
      <w:ind w:left="780" w:hanging="360"/>
      <w:jc w:val="center"/>
    </w:pPr>
    <w:rPr>
      <w:rFonts w:ascii="楷体_GB2312" w:hAnsi="宋体" w:eastAsia="楷体_GB2312"/>
      <w:bCs w:val="0"/>
      <w:snapToGrid w:val="0"/>
      <w:szCs w:val="20"/>
    </w:rPr>
  </w:style>
  <w:style w:type="paragraph" w:customStyle="1" w:styleId="605">
    <w:name w:val="b2"/>
    <w:basedOn w:val="1"/>
    <w:qFormat/>
    <w:uiPriority w:val="0"/>
    <w:pPr>
      <w:widowControl/>
      <w:spacing w:before="100" w:beforeAutospacing="1" w:after="100" w:afterAutospacing="1" w:line="315" w:lineRule="atLeast"/>
      <w:jc w:val="left"/>
    </w:pPr>
    <w:rPr>
      <w:rFonts w:hint="eastAsia" w:ascii="宋体" w:hAnsi="宋体"/>
      <w:color w:val="000000"/>
      <w:kern w:val="0"/>
      <w:sz w:val="21"/>
      <w:szCs w:val="20"/>
    </w:rPr>
  </w:style>
  <w:style w:type="paragraph" w:customStyle="1" w:styleId="606">
    <w:name w:val="xl129"/>
    <w:basedOn w:val="1"/>
    <w:uiPriority w:val="0"/>
    <w:pPr>
      <w:widowControl/>
      <w:pBdr>
        <w:top w:val="single" w:color="auto" w:sz="8" w:space="0"/>
        <w:bottom w:val="single" w:color="auto" w:sz="4" w:space="0"/>
      </w:pBdr>
      <w:spacing w:before="100" w:beforeAutospacing="1" w:after="100" w:afterAutospacing="1" w:line="240" w:lineRule="auto"/>
      <w:jc w:val="center"/>
    </w:pPr>
    <w:rPr>
      <w:rFonts w:ascii="Arial Unicode MS" w:hAnsi="Arial Unicode MS"/>
      <w:kern w:val="0"/>
      <w:sz w:val="20"/>
      <w:szCs w:val="20"/>
    </w:rPr>
  </w:style>
  <w:style w:type="character" w:customStyle="1" w:styleId="607">
    <w:name w:val="表格内容 Char"/>
    <w:link w:val="435"/>
    <w:uiPriority w:val="0"/>
    <w:rPr>
      <w:rFonts w:ascii="Times New Roman" w:hAnsi="Times New Roman" w:eastAsia="宋体" w:cs="Times New Roman"/>
      <w:snapToGrid w:val="0"/>
      <w:kern w:val="0"/>
      <w:sz w:val="18"/>
      <w:szCs w:val="18"/>
    </w:rPr>
  </w:style>
  <w:style w:type="paragraph" w:customStyle="1" w:styleId="608">
    <w:name w:val="表格名称"/>
    <w:basedOn w:val="224"/>
    <w:qFormat/>
    <w:uiPriority w:val="1"/>
    <w:pPr>
      <w:widowControl w:val="0"/>
      <w:pBdr>
        <w:top w:val="none" w:color="auto" w:sz="0" w:space="0"/>
        <w:left w:val="none" w:color="auto" w:sz="0" w:space="0"/>
        <w:bottom w:val="none" w:color="auto" w:sz="0" w:space="0"/>
        <w:right w:val="none" w:color="auto" w:sz="0" w:space="0"/>
      </w:pBdr>
      <w:tabs>
        <w:tab w:val="left" w:pos="-24"/>
      </w:tabs>
      <w:snapToGrid w:val="0"/>
      <w:spacing w:before="0" w:beforeAutospacing="0" w:after="0" w:afterAutospacing="0" w:line="460" w:lineRule="exact"/>
      <w:ind w:firstLine="480" w:firstLineChars="200"/>
      <w:textAlignment w:val="baseline"/>
      <w:outlineLvl w:val="4"/>
    </w:pPr>
    <w:rPr>
      <w:rFonts w:ascii="宋体" w:hAnsi="宋体" w:eastAsia="宋体"/>
      <w:b/>
      <w:bCs/>
      <w:color w:val="3366FF"/>
      <w:sz w:val="24"/>
      <w:u w:color="000000"/>
    </w:rPr>
  </w:style>
  <w:style w:type="paragraph" w:customStyle="1" w:styleId="609">
    <w:name w:val="!正文"/>
    <w:basedOn w:val="1"/>
    <w:link w:val="610"/>
    <w:uiPriority w:val="0"/>
    <w:pPr>
      <w:snapToGrid w:val="0"/>
      <w:spacing w:line="336" w:lineRule="auto"/>
      <w:ind w:firstLine="200" w:firstLineChars="200"/>
      <w:jc w:val="left"/>
      <w:textAlignment w:val="baseline"/>
    </w:pPr>
    <w:rPr>
      <w:rFonts w:ascii="Times New Roman" w:hAnsi="Times New Roman"/>
      <w:color w:val="000000"/>
      <w:kern w:val="0"/>
      <w:sz w:val="24"/>
      <w:szCs w:val="24"/>
      <w:u w:color="000000"/>
    </w:rPr>
  </w:style>
  <w:style w:type="character" w:customStyle="1" w:styleId="610">
    <w:name w:val="!正文 Char"/>
    <w:link w:val="609"/>
    <w:qFormat/>
    <w:uiPriority w:val="0"/>
    <w:rPr>
      <w:rFonts w:ascii="Times New Roman" w:hAnsi="Times New Roman" w:eastAsia="宋体" w:cs="Times New Roman"/>
      <w:color w:val="000000"/>
      <w:kern w:val="0"/>
      <w:sz w:val="24"/>
      <w:szCs w:val="24"/>
      <w:u w:color="000000"/>
    </w:rPr>
  </w:style>
  <w:style w:type="paragraph" w:customStyle="1" w:styleId="611">
    <w:name w:val="!标题2"/>
    <w:basedOn w:val="1"/>
    <w:next w:val="1"/>
    <w:uiPriority w:val="0"/>
    <w:pPr>
      <w:widowControl/>
      <w:spacing w:before="25" w:beforeLines="25"/>
      <w:jc w:val="left"/>
      <w:textAlignment w:val="baseline"/>
      <w:outlineLvl w:val="1"/>
    </w:pPr>
    <w:rPr>
      <w:rFonts w:ascii="Arial" w:hAnsi="Arial" w:eastAsia="黑体"/>
      <w:b/>
      <w:color w:val="000000"/>
      <w:kern w:val="0"/>
      <w:sz w:val="32"/>
      <w:szCs w:val="32"/>
      <w:u w:color="000000"/>
    </w:rPr>
  </w:style>
  <w:style w:type="paragraph" w:customStyle="1" w:styleId="612">
    <w:name w:val="！表格"/>
    <w:basedOn w:val="1"/>
    <w:next w:val="609"/>
    <w:link w:val="613"/>
    <w:uiPriority w:val="0"/>
    <w:pPr>
      <w:widowControl/>
      <w:spacing w:line="180" w:lineRule="atLeast"/>
      <w:jc w:val="center"/>
      <w:textAlignment w:val="baseline"/>
    </w:pPr>
    <w:rPr>
      <w:rFonts w:ascii="宋体" w:hAnsi="宋体"/>
      <w:color w:val="000000"/>
      <w:kern w:val="0"/>
      <w:sz w:val="21"/>
      <w:szCs w:val="21"/>
      <w:u w:color="000000"/>
    </w:rPr>
  </w:style>
  <w:style w:type="character" w:customStyle="1" w:styleId="613">
    <w:name w:val="！表格 Char"/>
    <w:link w:val="612"/>
    <w:qFormat/>
    <w:uiPriority w:val="0"/>
    <w:rPr>
      <w:rFonts w:ascii="宋体" w:hAnsi="宋体" w:eastAsia="宋体" w:cs="Times New Roman"/>
      <w:color w:val="000000"/>
      <w:kern w:val="0"/>
      <w:szCs w:val="21"/>
      <w:u w:color="000000"/>
    </w:rPr>
  </w:style>
  <w:style w:type="paragraph" w:customStyle="1" w:styleId="614">
    <w:name w:val="样式 !正文 + 首行缩进:  2 字符1"/>
    <w:basedOn w:val="609"/>
    <w:link w:val="615"/>
    <w:uiPriority w:val="0"/>
    <w:pPr>
      <w:ind w:firstLine="480"/>
    </w:pPr>
    <w:rPr>
      <w:rFonts w:cs="宋体"/>
    </w:rPr>
  </w:style>
  <w:style w:type="character" w:customStyle="1" w:styleId="615">
    <w:name w:val="样式 !正文 + 首行缩进:  2 字符1 Char"/>
    <w:link w:val="614"/>
    <w:qFormat/>
    <w:uiPriority w:val="0"/>
    <w:rPr>
      <w:rFonts w:ascii="Times New Roman" w:hAnsi="Times New Roman" w:eastAsia="宋体" w:cs="宋体"/>
      <w:color w:val="000000"/>
      <w:kern w:val="0"/>
      <w:sz w:val="24"/>
      <w:szCs w:val="24"/>
      <w:u w:color="000000"/>
    </w:rPr>
  </w:style>
  <w:style w:type="paragraph" w:customStyle="1" w:styleId="616">
    <w:name w:val="签字页"/>
    <w:basedOn w:val="1"/>
    <w:uiPriority w:val="0"/>
    <w:pPr>
      <w:widowControl/>
      <w:tabs>
        <w:tab w:val="left" w:pos="-24"/>
      </w:tabs>
      <w:spacing w:line="0" w:lineRule="atLeast"/>
      <w:jc w:val="center"/>
      <w:textAlignment w:val="baseline"/>
    </w:pPr>
    <w:rPr>
      <w:rFonts w:ascii="宋体" w:hAnsi="宋体"/>
      <w:b/>
      <w:bCs/>
      <w:color w:val="000000"/>
      <w:kern w:val="0"/>
      <w:sz w:val="21"/>
      <w:szCs w:val="20"/>
      <w:u w:color="000000"/>
    </w:rPr>
  </w:style>
  <w:style w:type="character" w:customStyle="1" w:styleId="617">
    <w:name w:val="HTML 预设格式 Char"/>
    <w:basedOn w:val="79"/>
    <w:link w:val="74"/>
    <w:uiPriority w:val="0"/>
    <w:rPr>
      <w:rFonts w:ascii="Arial" w:hAnsi="Arial" w:eastAsia="宋体" w:cs="Arial"/>
      <w:kern w:val="0"/>
      <w:szCs w:val="21"/>
    </w:rPr>
  </w:style>
  <w:style w:type="paragraph" w:customStyle="1" w:styleId="618">
    <w:name w:val="wg"/>
    <w:basedOn w:val="1"/>
    <w:uiPriority w:val="0"/>
    <w:pPr>
      <w:spacing w:line="240" w:lineRule="auto"/>
    </w:pPr>
    <w:rPr>
      <w:rFonts w:ascii="Times New Roman" w:hAnsi="Times New Roman"/>
      <w:szCs w:val="20"/>
    </w:rPr>
  </w:style>
  <w:style w:type="paragraph" w:customStyle="1" w:styleId="619">
    <w:name w:val="图"/>
    <w:basedOn w:val="1"/>
    <w:link w:val="620"/>
    <w:uiPriority w:val="0"/>
    <w:pPr>
      <w:spacing w:beforeLines="30"/>
      <w:jc w:val="center"/>
    </w:pPr>
    <w:rPr>
      <w:rFonts w:ascii="宋体" w:hAnsi="宋体"/>
      <w:sz w:val="24"/>
      <w:szCs w:val="24"/>
    </w:rPr>
  </w:style>
  <w:style w:type="character" w:customStyle="1" w:styleId="620">
    <w:name w:val="图 Char"/>
    <w:link w:val="619"/>
    <w:qFormat/>
    <w:uiPriority w:val="0"/>
    <w:rPr>
      <w:rFonts w:ascii="宋体" w:hAnsi="宋体" w:eastAsia="宋体" w:cs="Times New Roman"/>
      <w:sz w:val="24"/>
      <w:szCs w:val="24"/>
    </w:rPr>
  </w:style>
  <w:style w:type="character" w:customStyle="1" w:styleId="621">
    <w:name w:val="viewthreadtxt"/>
    <w:uiPriority w:val="0"/>
  </w:style>
  <w:style w:type="paragraph" w:customStyle="1" w:styleId="622">
    <w:name w:val="CM2"/>
    <w:basedOn w:val="1"/>
    <w:next w:val="1"/>
    <w:uiPriority w:val="0"/>
    <w:pPr>
      <w:autoSpaceDE w:val="0"/>
      <w:autoSpaceDN w:val="0"/>
      <w:adjustRightInd w:val="0"/>
      <w:spacing w:line="468" w:lineRule="atLeast"/>
      <w:jc w:val="left"/>
    </w:pPr>
    <w:rPr>
      <w:rFonts w:ascii="Times New Roman" w:hAnsi="Times New Roman"/>
      <w:kern w:val="0"/>
      <w:sz w:val="24"/>
      <w:szCs w:val="24"/>
    </w:rPr>
  </w:style>
  <w:style w:type="paragraph" w:customStyle="1" w:styleId="623">
    <w:name w:val="图表"/>
    <w:basedOn w:val="1"/>
    <w:qFormat/>
    <w:uiPriority w:val="0"/>
    <w:pPr>
      <w:spacing w:line="400" w:lineRule="exact"/>
      <w:jc w:val="center"/>
    </w:pPr>
    <w:rPr>
      <w:rFonts w:ascii="Times New Roman" w:hAnsi="Times New Roman"/>
      <w:kern w:val="0"/>
      <w:sz w:val="21"/>
      <w:szCs w:val="24"/>
    </w:rPr>
  </w:style>
  <w:style w:type="paragraph" w:customStyle="1" w:styleId="624">
    <w:name w:val="表内字"/>
    <w:semiHidden/>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625">
    <w:name w:val="！标题1 Alt+1"/>
    <w:basedOn w:val="1"/>
    <w:next w:val="626"/>
    <w:qFormat/>
    <w:uiPriority w:val="0"/>
    <w:pPr>
      <w:numPr>
        <w:ilvl w:val="0"/>
        <w:numId w:val="6"/>
      </w:numPr>
      <w:shd w:val="pct10" w:color="auto" w:fill="auto"/>
      <w:spacing w:beforeLines="100" w:line="240" w:lineRule="auto"/>
      <w:jc w:val="center"/>
      <w:outlineLvl w:val="0"/>
    </w:pPr>
    <w:rPr>
      <w:rFonts w:ascii="Times New Roman" w:hAnsi="Times New Roman" w:eastAsia="黑体"/>
      <w:spacing w:val="20"/>
      <w:w w:val="110"/>
      <w:sz w:val="32"/>
      <w:szCs w:val="32"/>
    </w:rPr>
  </w:style>
  <w:style w:type="paragraph" w:customStyle="1" w:styleId="626">
    <w:name w:val="！正文 Alt+0"/>
    <w:basedOn w:val="1"/>
    <w:qFormat/>
    <w:uiPriority w:val="0"/>
    <w:pPr>
      <w:spacing w:beforeLines="50"/>
      <w:ind w:firstLine="200" w:firstLineChars="200"/>
    </w:pPr>
    <w:rPr>
      <w:rFonts w:ascii="Times New Roman" w:hAnsi="Times New Roman"/>
      <w:szCs w:val="28"/>
    </w:rPr>
  </w:style>
  <w:style w:type="paragraph" w:customStyle="1" w:styleId="627">
    <w:name w:val="！标题2 Alt+2"/>
    <w:basedOn w:val="1"/>
    <w:next w:val="626"/>
    <w:qFormat/>
    <w:uiPriority w:val="0"/>
    <w:pPr>
      <w:numPr>
        <w:ilvl w:val="1"/>
        <w:numId w:val="6"/>
      </w:numPr>
      <w:spacing w:beforeLines="100"/>
      <w:outlineLvl w:val="1"/>
    </w:pPr>
    <w:rPr>
      <w:rFonts w:ascii="Times New Roman" w:hAnsi="Times New Roman" w:eastAsia="黑体"/>
      <w:sz w:val="30"/>
      <w:szCs w:val="30"/>
    </w:rPr>
  </w:style>
  <w:style w:type="paragraph" w:customStyle="1" w:styleId="628">
    <w:name w:val="！标题3 Alt+3"/>
    <w:basedOn w:val="1"/>
    <w:next w:val="626"/>
    <w:qFormat/>
    <w:uiPriority w:val="0"/>
    <w:pPr>
      <w:numPr>
        <w:ilvl w:val="2"/>
        <w:numId w:val="6"/>
      </w:numPr>
      <w:spacing w:beforeLines="50"/>
      <w:outlineLvl w:val="2"/>
    </w:pPr>
    <w:rPr>
      <w:rFonts w:ascii="Times New Roman" w:hAnsi="Times New Roman" w:eastAsia="黑体"/>
      <w:szCs w:val="28"/>
    </w:rPr>
  </w:style>
  <w:style w:type="paragraph" w:customStyle="1" w:styleId="629">
    <w:name w:val="！标题4 Alt+4"/>
    <w:basedOn w:val="628"/>
    <w:next w:val="626"/>
    <w:qFormat/>
    <w:uiPriority w:val="0"/>
    <w:pPr>
      <w:numPr>
        <w:ilvl w:val="3"/>
      </w:numPr>
      <w:outlineLvl w:val="3"/>
    </w:pPr>
  </w:style>
  <w:style w:type="paragraph" w:customStyle="1" w:styleId="630">
    <w:name w:val="正文四号"/>
    <w:basedOn w:val="1"/>
    <w:uiPriority w:val="0"/>
    <w:pPr>
      <w:ind w:firstLine="200" w:firstLineChars="200"/>
    </w:pPr>
    <w:rPr>
      <w:rFonts w:ascii="Times New Roman" w:hAnsi="Times New Roman"/>
      <w:szCs w:val="24"/>
    </w:rPr>
  </w:style>
  <w:style w:type="paragraph" w:customStyle="1" w:styleId="631">
    <w:name w:val="正文格式"/>
    <w:basedOn w:val="1"/>
    <w:link w:val="632"/>
    <w:qFormat/>
    <w:uiPriority w:val="0"/>
    <w:pPr>
      <w:ind w:firstLine="544" w:firstLineChars="200"/>
    </w:pPr>
    <w:rPr>
      <w:rFonts w:ascii="Times New Roman" w:hAnsi="Times New Roman" w:cs="宋体"/>
      <w:sz w:val="24"/>
      <w:szCs w:val="24"/>
    </w:rPr>
  </w:style>
  <w:style w:type="character" w:customStyle="1" w:styleId="632">
    <w:name w:val="正文格式 Char"/>
    <w:link w:val="631"/>
    <w:qFormat/>
    <w:uiPriority w:val="0"/>
    <w:rPr>
      <w:rFonts w:ascii="Times New Roman" w:hAnsi="Times New Roman" w:eastAsia="宋体" w:cs="宋体"/>
      <w:sz w:val="24"/>
      <w:szCs w:val="24"/>
    </w:rPr>
  </w:style>
  <w:style w:type="paragraph" w:customStyle="1" w:styleId="633">
    <w:name w:val="Char Char Char2 Char Char"/>
    <w:basedOn w:val="1"/>
    <w:uiPriority w:val="0"/>
    <w:pPr>
      <w:ind w:firstLine="200" w:firstLineChars="200"/>
    </w:pPr>
    <w:rPr>
      <w:rFonts w:ascii="宋体" w:hAnsi="宋体" w:cs="宋体"/>
      <w:sz w:val="24"/>
      <w:szCs w:val="24"/>
    </w:rPr>
  </w:style>
  <w:style w:type="character" w:customStyle="1" w:styleId="634">
    <w:name w:val="Char Char131"/>
    <w:uiPriority w:val="0"/>
    <w:rPr>
      <w:b/>
      <w:bCs/>
      <w:kern w:val="28"/>
      <w:sz w:val="32"/>
      <w:szCs w:val="32"/>
    </w:rPr>
  </w:style>
  <w:style w:type="character" w:customStyle="1" w:styleId="635">
    <w:name w:val="Char Char151"/>
    <w:uiPriority w:val="0"/>
    <w:rPr>
      <w:rFonts w:ascii="Times New Roman" w:hAnsi="Times New Roman"/>
      <w:b/>
      <w:bCs/>
      <w:kern w:val="44"/>
      <w:sz w:val="44"/>
      <w:szCs w:val="44"/>
    </w:rPr>
  </w:style>
  <w:style w:type="character" w:customStyle="1" w:styleId="636">
    <w:name w:val="正文2 Char Char"/>
    <w:link w:val="445"/>
    <w:uiPriority w:val="0"/>
    <w:rPr>
      <w:rFonts w:ascii="黑体" w:hAnsi="Times New Roman" w:eastAsia="黑体" w:cs="Times New Roman"/>
      <w:bCs/>
      <w:color w:val="000000"/>
      <w:sz w:val="24"/>
      <w:szCs w:val="20"/>
      <w:lang w:bidi="he-IL"/>
    </w:rPr>
  </w:style>
  <w:style w:type="paragraph" w:customStyle="1" w:styleId="637">
    <w:name w:val="Char51"/>
    <w:basedOn w:val="26"/>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638">
    <w:name w:val="Char3"/>
    <w:basedOn w:val="26"/>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639">
    <w:name w:val="Char Char Char1"/>
    <w:basedOn w:val="1"/>
    <w:qFormat/>
    <w:uiPriority w:val="0"/>
    <w:pPr>
      <w:ind w:firstLine="200" w:firstLineChars="200"/>
    </w:pPr>
    <w:rPr>
      <w:rFonts w:ascii="宋体" w:hAnsi="宋体" w:cs="宋体"/>
      <w:szCs w:val="24"/>
    </w:rPr>
  </w:style>
  <w:style w:type="character" w:customStyle="1" w:styleId="640">
    <w:name w:val="标题6"/>
    <w:uiPriority w:val="0"/>
  </w:style>
  <w:style w:type="paragraph" w:customStyle="1" w:styleId="641">
    <w:name w:val="正文文本 23"/>
    <w:basedOn w:val="1"/>
    <w:qFormat/>
    <w:uiPriority w:val="0"/>
    <w:pPr>
      <w:adjustRightInd w:val="0"/>
      <w:ind w:firstLine="567"/>
      <w:jc w:val="left"/>
      <w:textAlignment w:val="baseline"/>
    </w:pPr>
    <w:rPr>
      <w:rFonts w:ascii="Times New Roman" w:hAnsi="Times New Roman"/>
      <w:szCs w:val="20"/>
    </w:rPr>
  </w:style>
  <w:style w:type="paragraph" w:customStyle="1" w:styleId="642">
    <w:name w:val="纯文本3"/>
    <w:basedOn w:val="1"/>
    <w:uiPriority w:val="0"/>
    <w:pPr>
      <w:adjustRightInd w:val="0"/>
      <w:spacing w:line="240" w:lineRule="auto"/>
      <w:textAlignment w:val="baseline"/>
    </w:pPr>
    <w:rPr>
      <w:rFonts w:ascii="宋体" w:hAnsi="Times New Roman"/>
      <w:kern w:val="0"/>
      <w:sz w:val="21"/>
      <w:szCs w:val="20"/>
    </w:rPr>
  </w:style>
  <w:style w:type="paragraph" w:customStyle="1" w:styleId="643">
    <w:name w:val="Char61"/>
    <w:basedOn w:val="1"/>
    <w:uiPriority w:val="0"/>
    <w:pPr>
      <w:ind w:firstLine="200" w:firstLineChars="200"/>
    </w:pPr>
    <w:rPr>
      <w:rFonts w:ascii="宋体" w:hAnsi="宋体" w:cs="宋体"/>
      <w:szCs w:val="24"/>
    </w:rPr>
  </w:style>
  <w:style w:type="paragraph" w:customStyle="1" w:styleId="644">
    <w:name w:val="Char Char Char Char Char Char Char1"/>
    <w:basedOn w:val="1"/>
    <w:uiPriority w:val="0"/>
    <w:pPr>
      <w:widowControl/>
      <w:spacing w:after="160" w:line="240" w:lineRule="exact"/>
      <w:jc w:val="left"/>
    </w:pPr>
    <w:rPr>
      <w:rFonts w:ascii="Verdana" w:hAnsi="Verdana" w:eastAsia="仿宋_GB2312"/>
      <w:kern w:val="0"/>
      <w:sz w:val="30"/>
      <w:szCs w:val="30"/>
      <w:lang w:eastAsia="en-US"/>
    </w:rPr>
  </w:style>
  <w:style w:type="paragraph" w:customStyle="1" w:styleId="645">
    <w:name w:val="Char5 Char Char Char1"/>
    <w:basedOn w:val="26"/>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646">
    <w:name w:val="Char Char1 Char Char Char1"/>
    <w:basedOn w:val="1"/>
    <w:uiPriority w:val="0"/>
    <w:pPr>
      <w:widowControl/>
      <w:spacing w:after="160" w:line="240" w:lineRule="exact"/>
      <w:jc w:val="left"/>
    </w:pPr>
    <w:rPr>
      <w:rFonts w:ascii="Verdana" w:hAnsi="Verdana" w:eastAsia="仿宋_GB2312"/>
      <w:kern w:val="0"/>
      <w:sz w:val="30"/>
      <w:szCs w:val="30"/>
      <w:lang w:eastAsia="en-US"/>
    </w:rPr>
  </w:style>
  <w:style w:type="paragraph" w:customStyle="1" w:styleId="647">
    <w:name w:val="字元 字元11"/>
    <w:basedOn w:val="1"/>
    <w:qFormat/>
    <w:uiPriority w:val="0"/>
    <w:pPr>
      <w:spacing w:line="240" w:lineRule="auto"/>
    </w:pPr>
    <w:rPr>
      <w:rFonts w:ascii="Times New Roman" w:hAnsi="Times New Roman"/>
      <w:sz w:val="21"/>
      <w:szCs w:val="24"/>
    </w:rPr>
  </w:style>
  <w:style w:type="paragraph" w:customStyle="1" w:styleId="648">
    <w:name w:val="Char2 Char Char Char Char Char Char Char Char Char1"/>
    <w:basedOn w:val="1"/>
    <w:next w:val="1"/>
    <w:uiPriority w:val="0"/>
    <w:pPr>
      <w:ind w:firstLine="200" w:firstLineChars="200"/>
    </w:pPr>
    <w:rPr>
      <w:rFonts w:ascii="宋体" w:hAnsi="宋体" w:cs="宋体"/>
      <w:sz w:val="24"/>
      <w:szCs w:val="24"/>
    </w:rPr>
  </w:style>
  <w:style w:type="paragraph" w:customStyle="1" w:styleId="649">
    <w:name w:val="Char2 Char Char Char Char Char Char Char Char Char Char Char Char1"/>
    <w:basedOn w:val="1"/>
    <w:next w:val="1"/>
    <w:qFormat/>
    <w:uiPriority w:val="0"/>
    <w:pPr>
      <w:ind w:firstLine="200" w:firstLineChars="200"/>
    </w:pPr>
    <w:rPr>
      <w:rFonts w:ascii="宋体" w:hAnsi="宋体" w:cs="宋体"/>
      <w:sz w:val="24"/>
      <w:szCs w:val="24"/>
    </w:rPr>
  </w:style>
  <w:style w:type="paragraph" w:customStyle="1" w:styleId="650">
    <w:name w:val="Char1 Char Char Char1"/>
    <w:basedOn w:val="26"/>
    <w:uiPriority w:val="0"/>
    <w:pPr>
      <w:shd w:val="clear" w:color="auto" w:fill="000080"/>
      <w:adjustRightInd w:val="0"/>
      <w:spacing w:line="436" w:lineRule="exact"/>
      <w:ind w:left="357"/>
      <w:jc w:val="left"/>
      <w:outlineLvl w:val="3"/>
    </w:pPr>
    <w:rPr>
      <w:rFonts w:ascii="Tahoma" w:hAnsi="Tahoma"/>
      <w:b/>
      <w:sz w:val="24"/>
      <w:szCs w:val="24"/>
    </w:rPr>
  </w:style>
  <w:style w:type="character" w:customStyle="1" w:styleId="651">
    <w:name w:val="Char Char111"/>
    <w:qFormat/>
    <w:locked/>
    <w:uiPriority w:val="0"/>
    <w:rPr>
      <w:rFonts w:eastAsia="宋体"/>
      <w:kern w:val="2"/>
      <w:sz w:val="18"/>
      <w:szCs w:val="18"/>
      <w:lang w:val="en-US" w:eastAsia="zh-CN" w:bidi="ar-SA"/>
    </w:rPr>
  </w:style>
  <w:style w:type="paragraph" w:customStyle="1" w:styleId="652">
    <w:name w:val="Char4 Char Char Char1"/>
    <w:basedOn w:val="1"/>
    <w:uiPriority w:val="0"/>
    <w:pPr>
      <w:adjustRightInd w:val="0"/>
      <w:snapToGrid w:val="0"/>
      <w:ind w:firstLine="200" w:firstLineChars="200"/>
    </w:pPr>
    <w:rPr>
      <w:rFonts w:ascii="宋体" w:hAnsi="宋体" w:cs="宋体"/>
      <w:sz w:val="24"/>
      <w:szCs w:val="26"/>
    </w:rPr>
  </w:style>
  <w:style w:type="paragraph" w:customStyle="1" w:styleId="653">
    <w:name w:val="Char Char Char Char2"/>
    <w:basedOn w:val="1"/>
    <w:uiPriority w:val="0"/>
    <w:pPr>
      <w:spacing w:line="240" w:lineRule="auto"/>
    </w:pPr>
    <w:rPr>
      <w:rFonts w:ascii="Times New Roman" w:hAnsi="Times New Roman"/>
      <w:sz w:val="21"/>
      <w:szCs w:val="24"/>
    </w:rPr>
  </w:style>
  <w:style w:type="paragraph" w:customStyle="1" w:styleId="654">
    <w:name w:val="Char Char Char Char11"/>
    <w:basedOn w:val="1"/>
    <w:uiPriority w:val="0"/>
    <w:pPr>
      <w:adjustRightInd w:val="0"/>
      <w:snapToGrid w:val="0"/>
      <w:ind w:firstLine="200" w:firstLineChars="200"/>
      <w:jc w:val="left"/>
    </w:pPr>
    <w:rPr>
      <w:rFonts w:ascii="仿宋_GB2312" w:hAnsi="仿宋_GB2312" w:eastAsia="仿宋_GB2312"/>
      <w:sz w:val="24"/>
      <w:szCs w:val="20"/>
    </w:rPr>
  </w:style>
  <w:style w:type="paragraph" w:customStyle="1" w:styleId="655">
    <w:name w:val="日期2"/>
    <w:basedOn w:val="1"/>
    <w:next w:val="1"/>
    <w:uiPriority w:val="0"/>
    <w:pPr>
      <w:adjustRightInd w:val="0"/>
      <w:spacing w:line="240" w:lineRule="auto"/>
      <w:textAlignment w:val="baseline"/>
    </w:pPr>
    <w:rPr>
      <w:rFonts w:ascii="Times New Roman" w:hAnsi="Times New Roman"/>
      <w:sz w:val="21"/>
      <w:szCs w:val="20"/>
    </w:rPr>
  </w:style>
  <w:style w:type="paragraph" w:customStyle="1" w:styleId="656">
    <w:name w:val="Char Char Char2 Char Char1"/>
    <w:basedOn w:val="1"/>
    <w:uiPriority w:val="0"/>
    <w:pPr>
      <w:ind w:firstLine="200" w:firstLineChars="200"/>
    </w:pPr>
    <w:rPr>
      <w:rFonts w:ascii="宋体" w:hAnsi="宋体" w:cs="宋体"/>
      <w:sz w:val="24"/>
      <w:szCs w:val="24"/>
    </w:rPr>
  </w:style>
  <w:style w:type="character" w:customStyle="1" w:styleId="657">
    <w:name w:val="表格文字 Char"/>
    <w:link w:val="113"/>
    <w:uiPriority w:val="0"/>
    <w:rPr>
      <w:rFonts w:ascii="仿宋_GB2312" w:hAnsi="Arial Black" w:eastAsia="仿宋_GB2312" w:cs="Times New Roman"/>
      <w:kern w:val="44"/>
      <w:sz w:val="24"/>
      <w:szCs w:val="24"/>
    </w:rPr>
  </w:style>
  <w:style w:type="table" w:customStyle="1" w:styleId="658">
    <w:name w:val="专业网格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659">
    <w:name w:val="Placeholder Text"/>
    <w:uiPriority w:val="0"/>
    <w:rPr>
      <w:color w:val="808080"/>
    </w:rPr>
  </w:style>
  <w:style w:type="paragraph" w:customStyle="1" w:styleId="660">
    <w:name w:val="Char Char Char Char Char Char Char4"/>
    <w:basedOn w:val="1"/>
    <w:uiPriority w:val="0"/>
    <w:pPr>
      <w:spacing w:line="240" w:lineRule="auto"/>
    </w:pPr>
    <w:rPr>
      <w:rFonts w:ascii="Times New Roman" w:hAnsi="Times New Roman"/>
      <w:sz w:val="21"/>
      <w:szCs w:val="20"/>
    </w:rPr>
  </w:style>
  <w:style w:type="table" w:customStyle="1" w:styleId="661">
    <w:name w:val="网格型6"/>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62">
    <w:name w:val="网格型7"/>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63">
    <w:name w:val="网格型8"/>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64">
    <w:name w:val="网格型9"/>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65">
    <w:name w:val="网格型10"/>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66">
    <w:name w:val="样式 标题 3h33rd levelH33Head 3level_3PIM 3Level 3 Head二级节名..."/>
    <w:basedOn w:val="4"/>
    <w:uiPriority w:val="0"/>
    <w:pPr>
      <w:spacing w:before="120" w:after="120" w:line="360" w:lineRule="auto"/>
    </w:pPr>
    <w:rPr>
      <w:rFonts w:ascii="Times New Roman" w:hAnsi="华文中宋" w:eastAsia="华文中宋"/>
      <w:b w:val="0"/>
      <w:sz w:val="24"/>
      <w:szCs w:val="28"/>
    </w:rPr>
  </w:style>
  <w:style w:type="character" w:customStyle="1" w:styleId="667">
    <w:name w:val="标题 Char"/>
    <w:basedOn w:val="79"/>
    <w:link w:val="78"/>
    <w:uiPriority w:val="0"/>
    <w:rPr>
      <w:rFonts w:ascii="Arial" w:hAnsi="Arial" w:eastAsia="宋体" w:cs="Arial"/>
      <w:b/>
      <w:bCs/>
      <w:sz w:val="32"/>
      <w:szCs w:val="32"/>
    </w:rPr>
  </w:style>
  <w:style w:type="paragraph" w:customStyle="1" w:styleId="668">
    <w:name w:val="样式 标题 4款标题1.1.1.1标题 4 Char[三级节名]h4H4条 2[三级节名]1[三级节名]2四..."/>
    <w:basedOn w:val="5"/>
    <w:qFormat/>
    <w:uiPriority w:val="0"/>
    <w:pPr>
      <w:tabs>
        <w:tab w:val="left" w:pos="0"/>
      </w:tabs>
      <w:spacing w:before="80" w:after="80" w:line="360" w:lineRule="auto"/>
    </w:pPr>
    <w:rPr>
      <w:rFonts w:ascii="宋体" w:hAnsi="宋体"/>
      <w:bCs w:val="0"/>
    </w:rPr>
  </w:style>
  <w:style w:type="paragraph" w:customStyle="1" w:styleId="669">
    <w:name w:val="样式 标题 1 + 居中"/>
    <w:basedOn w:val="2"/>
    <w:uiPriority w:val="0"/>
    <w:pPr>
      <w:spacing w:line="360" w:lineRule="auto"/>
      <w:jc w:val="center"/>
    </w:pPr>
    <w:rPr>
      <w:rFonts w:ascii="Arial" w:hAnsi="Arial" w:eastAsia="黑体" w:cs="宋体"/>
      <w:bCs w:val="0"/>
      <w:sz w:val="32"/>
      <w:szCs w:val="20"/>
    </w:rPr>
  </w:style>
  <w:style w:type="paragraph" w:customStyle="1" w:styleId="670">
    <w:name w:val="样式 标题 3h33rd levelH33Head 3level_3PIM 3Level 3 Head二级节名...1"/>
    <w:basedOn w:val="4"/>
    <w:uiPriority w:val="0"/>
    <w:pPr>
      <w:spacing w:before="120" w:after="120" w:line="360" w:lineRule="auto"/>
    </w:pPr>
    <w:rPr>
      <w:rFonts w:ascii="Times New Roman" w:hAnsi="华文中宋" w:eastAsia="华文中宋"/>
      <w:b w:val="0"/>
      <w:kern w:val="0"/>
      <w:sz w:val="24"/>
      <w:szCs w:val="28"/>
    </w:rPr>
  </w:style>
  <w:style w:type="paragraph" w:customStyle="1" w:styleId="671">
    <w:name w:val="样式 标题 22nd levelh22Header 2H2UNDERRUBRIK 1-2Titre2l2一级节..."/>
    <w:basedOn w:val="3"/>
    <w:uiPriority w:val="0"/>
    <w:pPr>
      <w:tabs>
        <w:tab w:val="clear" w:pos="1287"/>
      </w:tabs>
      <w:adjustRightInd w:val="0"/>
      <w:spacing w:before="120" w:beforeAutospacing="0" w:after="120" w:afterAutospacing="0"/>
      <w:jc w:val="left"/>
      <w:textAlignment w:val="baseline"/>
    </w:pPr>
    <w:rPr>
      <w:rFonts w:ascii="Arial" w:hAnsi="Arial"/>
      <w:b w:val="0"/>
      <w:bCs w:val="0"/>
      <w:sz w:val="28"/>
      <w:szCs w:val="28"/>
    </w:rPr>
  </w:style>
  <w:style w:type="table" w:customStyle="1" w:styleId="672">
    <w:name w:val="专业网格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73">
    <w:name w:val="表头5H"/>
    <w:basedOn w:val="1"/>
    <w:link w:val="674"/>
    <w:uiPriority w:val="0"/>
    <w:pPr>
      <w:spacing w:line="312" w:lineRule="auto"/>
      <w:jc w:val="center"/>
    </w:pPr>
    <w:rPr>
      <w:rFonts w:ascii="黑体" w:hAnsi="Times New Roman" w:eastAsia="黑体"/>
      <w:sz w:val="24"/>
      <w:szCs w:val="24"/>
    </w:rPr>
  </w:style>
  <w:style w:type="character" w:customStyle="1" w:styleId="674">
    <w:name w:val="表头5H Char"/>
    <w:link w:val="673"/>
    <w:uiPriority w:val="0"/>
    <w:rPr>
      <w:rFonts w:ascii="黑体" w:hAnsi="Times New Roman" w:eastAsia="黑体" w:cs="Times New Roman"/>
      <w:sz w:val="24"/>
      <w:szCs w:val="24"/>
    </w:rPr>
  </w:style>
  <w:style w:type="character" w:customStyle="1" w:styleId="675">
    <w:name w:val="正文缩进 Char2"/>
    <w:uiPriority w:val="0"/>
    <w:rPr>
      <w:rFonts w:eastAsia="宋体"/>
      <w:kern w:val="2"/>
      <w:sz w:val="24"/>
      <w:szCs w:val="24"/>
      <w:lang w:val="en-US" w:eastAsia="zh-CN" w:bidi="ar-SA"/>
    </w:rPr>
  </w:style>
  <w:style w:type="character" w:customStyle="1" w:styleId="676">
    <w:name w:val="样式 小四"/>
    <w:uiPriority w:val="0"/>
  </w:style>
  <w:style w:type="character" w:customStyle="1" w:styleId="677">
    <w:name w:val="9p1"/>
    <w:qFormat/>
    <w:uiPriority w:val="0"/>
    <w:rPr>
      <w:sz w:val="18"/>
      <w:szCs w:val="18"/>
    </w:rPr>
  </w:style>
  <w:style w:type="paragraph" w:customStyle="1" w:styleId="678">
    <w:name w:val="样式11"/>
    <w:basedOn w:val="1"/>
    <w:qFormat/>
    <w:uiPriority w:val="0"/>
    <w:pPr>
      <w:adjustRightInd w:val="0"/>
      <w:snapToGrid w:val="0"/>
      <w:spacing w:line="240" w:lineRule="auto"/>
      <w:jc w:val="center"/>
    </w:pPr>
    <w:rPr>
      <w:rFonts w:ascii="宋体" w:hAnsi="宋体"/>
      <w:sz w:val="21"/>
      <w:szCs w:val="21"/>
    </w:rPr>
  </w:style>
  <w:style w:type="paragraph" w:customStyle="1" w:styleId="679">
    <w:name w:val="表后"/>
    <w:basedOn w:val="1"/>
    <w:uiPriority w:val="0"/>
    <w:pPr>
      <w:spacing w:line="240" w:lineRule="exact"/>
      <w:ind w:firstLine="200" w:firstLineChars="200"/>
    </w:pPr>
    <w:rPr>
      <w:rFonts w:ascii="Times New Roman" w:hAnsi="Times New Roman" w:eastAsia="楷体_GB2312"/>
      <w:sz w:val="21"/>
      <w:szCs w:val="24"/>
    </w:rPr>
  </w:style>
  <w:style w:type="paragraph" w:customStyle="1" w:styleId="680">
    <w:name w:val="样式 纯文本孙普文字Plain Text普通文字 Char Char普通文字 Char + 紧缩量  0.2 磅"/>
    <w:basedOn w:val="41"/>
    <w:link w:val="681"/>
    <w:uiPriority w:val="0"/>
    <w:pPr>
      <w:widowControl w:val="0"/>
      <w:ind w:firstLine="487" w:firstLineChars="200"/>
      <w:jc w:val="both"/>
    </w:pPr>
    <w:rPr>
      <w:rFonts w:ascii="Times New Roman" w:hAnsi="Times New Roman" w:cs="Times New Roman"/>
      <w:sz w:val="24"/>
      <w:szCs w:val="24"/>
    </w:rPr>
  </w:style>
  <w:style w:type="character" w:customStyle="1" w:styleId="681">
    <w:name w:val="样式 纯文本孙普文字Plain Text普通文字 Char Char普通文字 Char + 紧缩量  0.2 磅 Char"/>
    <w:link w:val="680"/>
    <w:uiPriority w:val="0"/>
    <w:rPr>
      <w:rFonts w:ascii="Times New Roman" w:hAnsi="Times New Roman" w:cs="Times New Roman"/>
      <w:sz w:val="24"/>
      <w:szCs w:val="24"/>
    </w:rPr>
  </w:style>
  <w:style w:type="paragraph" w:customStyle="1" w:styleId="682">
    <w:name w:val="样式 标题 22nd levelh22Header 2H2UNDERRUBRIK 1-2Titre2l2一级节...1"/>
    <w:basedOn w:val="3"/>
    <w:link w:val="683"/>
    <w:qFormat/>
    <w:uiPriority w:val="0"/>
    <w:pPr>
      <w:tabs>
        <w:tab w:val="left" w:pos="0"/>
        <w:tab w:val="clear" w:pos="1287"/>
      </w:tabs>
      <w:adjustRightInd w:val="0"/>
      <w:spacing w:before="120" w:beforeAutospacing="0" w:after="120" w:afterAutospacing="0"/>
      <w:jc w:val="left"/>
      <w:textAlignment w:val="baseline"/>
    </w:pPr>
    <w:rPr>
      <w:rFonts w:ascii="Arial" w:hAnsi="Arial"/>
      <w:sz w:val="28"/>
      <w:szCs w:val="28"/>
    </w:rPr>
  </w:style>
  <w:style w:type="character" w:customStyle="1" w:styleId="683">
    <w:name w:val="样式 标题 22nd levelh22Header 2H2UNDERRUBRIK 1-2Titre2l2一级节...1 Char"/>
    <w:link w:val="682"/>
    <w:uiPriority w:val="0"/>
    <w:rPr>
      <w:rFonts w:ascii="Arial" w:hAnsi="Arial" w:eastAsia="黑体" w:cs="Times New Roman"/>
      <w:b/>
      <w:bCs/>
      <w:sz w:val="28"/>
      <w:szCs w:val="28"/>
    </w:rPr>
  </w:style>
  <w:style w:type="paragraph" w:customStyle="1" w:styleId="684">
    <w:name w:val="4 Char"/>
    <w:basedOn w:val="1"/>
    <w:qFormat/>
    <w:uiPriority w:val="0"/>
    <w:pPr>
      <w:spacing w:line="240" w:lineRule="auto"/>
    </w:pPr>
    <w:rPr>
      <w:rFonts w:ascii="Times New Roman" w:hAnsi="Times New Roman"/>
      <w:sz w:val="21"/>
      <w:szCs w:val="24"/>
    </w:rPr>
  </w:style>
  <w:style w:type="paragraph" w:customStyle="1" w:styleId="685">
    <w:name w:val="Char Char Char Char Char Char"/>
    <w:basedOn w:val="1"/>
    <w:qFormat/>
    <w:uiPriority w:val="0"/>
    <w:pPr>
      <w:spacing w:line="240" w:lineRule="auto"/>
    </w:pPr>
    <w:rPr>
      <w:rFonts w:ascii="Times New Roman" w:hAnsi="Times New Roman"/>
      <w:sz w:val="21"/>
      <w:szCs w:val="24"/>
    </w:rPr>
  </w:style>
  <w:style w:type="paragraph" w:customStyle="1" w:styleId="686">
    <w:name w:val="样式 纯文本孙普文字Plain Text普通文字 Char Char普通文字 Char + 首行缩进:  0.6 字符"/>
    <w:basedOn w:val="41"/>
    <w:uiPriority w:val="0"/>
    <w:pPr>
      <w:widowControl w:val="0"/>
      <w:ind w:firstLine="200" w:firstLineChars="200"/>
      <w:jc w:val="both"/>
    </w:pPr>
    <w:rPr>
      <w:rFonts w:ascii="Times New Roman" w:hAnsi="Times New Roman" w:cs="宋体"/>
      <w:sz w:val="24"/>
      <w:szCs w:val="24"/>
    </w:rPr>
  </w:style>
  <w:style w:type="paragraph" w:customStyle="1" w:styleId="687">
    <w:name w:val="插图标题"/>
    <w:basedOn w:val="1"/>
    <w:link w:val="688"/>
    <w:qFormat/>
    <w:uiPriority w:val="0"/>
    <w:pPr>
      <w:jc w:val="center"/>
    </w:pPr>
    <w:rPr>
      <w:rFonts w:ascii="黑体" w:hAnsi="Times New Roman" w:eastAsia="黑体"/>
      <w:b/>
      <w:bCs/>
      <w:szCs w:val="24"/>
    </w:rPr>
  </w:style>
  <w:style w:type="character" w:customStyle="1" w:styleId="688">
    <w:name w:val="插图标题 Char"/>
    <w:link w:val="687"/>
    <w:qFormat/>
    <w:uiPriority w:val="0"/>
    <w:rPr>
      <w:rFonts w:ascii="黑体" w:hAnsi="Times New Roman" w:eastAsia="黑体" w:cs="Times New Roman"/>
      <w:b/>
      <w:bCs/>
      <w:sz w:val="28"/>
      <w:szCs w:val="24"/>
    </w:rPr>
  </w:style>
  <w:style w:type="paragraph" w:customStyle="1" w:styleId="689">
    <w:name w:val="正文王"/>
    <w:basedOn w:val="1"/>
    <w:uiPriority w:val="0"/>
    <w:rPr>
      <w:rFonts w:ascii="Times New Roman" w:hAnsi="Times New Roman"/>
      <w:b/>
      <w:kern w:val="0"/>
      <w:sz w:val="24"/>
      <w:szCs w:val="20"/>
    </w:rPr>
  </w:style>
  <w:style w:type="paragraph" w:customStyle="1" w:styleId="690">
    <w:name w:val="ch中文正文"/>
    <w:link w:val="691"/>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character" w:customStyle="1" w:styleId="691">
    <w:name w:val="ch中文正文 Char"/>
    <w:link w:val="690"/>
    <w:qFormat/>
    <w:uiPriority w:val="0"/>
    <w:rPr>
      <w:rFonts w:ascii="Times New Roman" w:hAnsi="Times New Roman" w:eastAsia="宋体" w:cs="Times New Roman"/>
      <w:kern w:val="0"/>
      <w:sz w:val="24"/>
      <w:szCs w:val="20"/>
    </w:rPr>
  </w:style>
  <w:style w:type="paragraph" w:customStyle="1" w:styleId="692">
    <w:name w:val="1-正文"/>
    <w:basedOn w:val="1"/>
    <w:link w:val="693"/>
    <w:uiPriority w:val="0"/>
    <w:pPr>
      <w:ind w:firstLine="480" w:firstLineChars="200"/>
    </w:pPr>
    <w:rPr>
      <w:rFonts w:ascii="宋体" w:hAnsi="宋体"/>
      <w:sz w:val="24"/>
      <w:szCs w:val="24"/>
    </w:rPr>
  </w:style>
  <w:style w:type="character" w:customStyle="1" w:styleId="693">
    <w:name w:val="1-正文 Char"/>
    <w:link w:val="692"/>
    <w:uiPriority w:val="0"/>
    <w:rPr>
      <w:rFonts w:ascii="宋体" w:hAnsi="宋体" w:eastAsia="宋体" w:cs="Times New Roman"/>
      <w:sz w:val="24"/>
      <w:szCs w:val="24"/>
    </w:rPr>
  </w:style>
  <w:style w:type="character" w:customStyle="1" w:styleId="694">
    <w:name w:val="样式5 Char"/>
    <w:link w:val="559"/>
    <w:uiPriority w:val="0"/>
    <w:rPr>
      <w:rFonts w:ascii="Times New Roman" w:hAnsi="Times New Roman" w:eastAsia="Times New Roman" w:cs="Times New Roman"/>
      <w:kern w:val="0"/>
      <w:szCs w:val="20"/>
    </w:rPr>
  </w:style>
  <w:style w:type="paragraph" w:customStyle="1" w:styleId="695">
    <w:name w:val="样式7"/>
    <w:basedOn w:val="1"/>
    <w:link w:val="696"/>
    <w:uiPriority w:val="0"/>
    <w:pPr>
      <w:snapToGrid w:val="0"/>
      <w:spacing w:line="240" w:lineRule="auto"/>
      <w:jc w:val="right"/>
    </w:pPr>
    <w:rPr>
      <w:rFonts w:ascii="黑体" w:hAnsi="Times New Roman" w:eastAsia="黑体"/>
      <w:kern w:val="0"/>
      <w:sz w:val="21"/>
      <w:szCs w:val="20"/>
    </w:rPr>
  </w:style>
  <w:style w:type="character" w:customStyle="1" w:styleId="696">
    <w:name w:val="样式7 Char"/>
    <w:link w:val="695"/>
    <w:qFormat/>
    <w:uiPriority w:val="0"/>
    <w:rPr>
      <w:rFonts w:ascii="黑体" w:hAnsi="Times New Roman" w:eastAsia="黑体" w:cs="Times New Roman"/>
      <w:kern w:val="0"/>
      <w:szCs w:val="20"/>
    </w:rPr>
  </w:style>
  <w:style w:type="paragraph" w:customStyle="1" w:styleId="697">
    <w:name w:val="样式6"/>
    <w:basedOn w:val="559"/>
    <w:link w:val="698"/>
    <w:qFormat/>
    <w:uiPriority w:val="0"/>
    <w:pPr>
      <w:widowControl w:val="0"/>
      <w:snapToGrid w:val="0"/>
      <w:spacing w:line="360" w:lineRule="auto"/>
    </w:pPr>
    <w:rPr>
      <w:rFonts w:ascii="黑体" w:hAnsi="宋体" w:eastAsia="黑体"/>
      <w:kern w:val="21"/>
      <w:szCs w:val="21"/>
    </w:rPr>
  </w:style>
  <w:style w:type="character" w:customStyle="1" w:styleId="698">
    <w:name w:val="样式6 Char"/>
    <w:link w:val="697"/>
    <w:uiPriority w:val="0"/>
    <w:rPr>
      <w:rFonts w:ascii="黑体" w:hAnsi="宋体" w:eastAsia="黑体" w:cs="Times New Roman"/>
      <w:kern w:val="21"/>
      <w:szCs w:val="21"/>
    </w:rPr>
  </w:style>
  <w:style w:type="paragraph" w:customStyle="1" w:styleId="699">
    <w:name w:val="正文999"/>
    <w:basedOn w:val="1"/>
    <w:uiPriority w:val="0"/>
    <w:pPr>
      <w:ind w:firstLine="480" w:firstLineChars="200"/>
    </w:pPr>
    <w:rPr>
      <w:rFonts w:ascii="宋体" w:hAnsi="宋体"/>
      <w:sz w:val="24"/>
      <w:szCs w:val="20"/>
    </w:rPr>
  </w:style>
  <w:style w:type="paragraph" w:customStyle="1" w:styleId="700">
    <w:name w:val="样式8"/>
    <w:basedOn w:val="41"/>
    <w:uiPriority w:val="0"/>
    <w:pPr>
      <w:widowControl w:val="0"/>
      <w:adjustRightInd w:val="0"/>
      <w:snapToGrid w:val="0"/>
      <w:spacing w:line="360" w:lineRule="auto"/>
      <w:jc w:val="center"/>
    </w:pPr>
    <w:rPr>
      <w:rFonts w:hAnsi="宋体" w:cs="Times New Roman"/>
      <w:sz w:val="24"/>
      <w:szCs w:val="24"/>
    </w:rPr>
  </w:style>
  <w:style w:type="character" w:customStyle="1" w:styleId="701">
    <w:name w:val="孙普文字 Char1"/>
    <w:qFormat/>
    <w:uiPriority w:val="0"/>
    <w:rPr>
      <w:rFonts w:hAnsi="Courier New" w:cs="Times New Roman"/>
    </w:rPr>
  </w:style>
  <w:style w:type="paragraph" w:customStyle="1" w:styleId="702">
    <w:name w:val="样式 正文 首行缩进:  2 字符 + 首行缩进:  2 字符"/>
    <w:basedOn w:val="1"/>
    <w:uiPriority w:val="0"/>
    <w:pPr>
      <w:spacing w:before="164" w:after="164"/>
      <w:ind w:firstLine="480" w:firstLineChars="200"/>
    </w:pPr>
    <w:rPr>
      <w:rFonts w:ascii="Times New Roman" w:hAnsi="Times New Roman"/>
      <w:szCs w:val="20"/>
    </w:rPr>
  </w:style>
  <w:style w:type="paragraph" w:customStyle="1" w:styleId="703">
    <w:name w:val="1-表头"/>
    <w:basedOn w:val="1"/>
    <w:qFormat/>
    <w:uiPriority w:val="0"/>
    <w:pPr>
      <w:spacing w:beforeLines="50" w:afterLines="20" w:line="240" w:lineRule="auto"/>
      <w:jc w:val="center"/>
    </w:pPr>
    <w:rPr>
      <w:rFonts w:ascii="宋体" w:hAnsi="宋体"/>
      <w:sz w:val="21"/>
      <w:szCs w:val="21"/>
    </w:rPr>
  </w:style>
  <w:style w:type="paragraph" w:customStyle="1" w:styleId="704">
    <w:name w:val="亚行正文"/>
    <w:basedOn w:val="1"/>
    <w:link w:val="705"/>
    <w:uiPriority w:val="0"/>
    <w:pPr>
      <w:spacing w:line="480" w:lineRule="exact"/>
      <w:ind w:firstLine="480" w:firstLineChars="200"/>
    </w:pPr>
    <w:rPr>
      <w:rFonts w:ascii="Times New Roman" w:hAnsi="Times New Roman"/>
      <w:sz w:val="24"/>
      <w:szCs w:val="24"/>
    </w:rPr>
  </w:style>
  <w:style w:type="character" w:customStyle="1" w:styleId="705">
    <w:name w:val="亚行正文 Char"/>
    <w:link w:val="704"/>
    <w:uiPriority w:val="0"/>
    <w:rPr>
      <w:rFonts w:ascii="Times New Roman" w:hAnsi="Times New Roman" w:eastAsia="宋体" w:cs="Times New Roman"/>
      <w:sz w:val="24"/>
      <w:szCs w:val="24"/>
    </w:rPr>
  </w:style>
  <w:style w:type="paragraph" w:customStyle="1" w:styleId="706">
    <w:name w:val="南郊正文"/>
    <w:basedOn w:val="1"/>
    <w:next w:val="1"/>
    <w:qFormat/>
    <w:uiPriority w:val="0"/>
    <w:pPr>
      <w:spacing w:line="240" w:lineRule="auto"/>
    </w:pPr>
    <w:rPr>
      <w:rFonts w:ascii="Times New Roman" w:hAnsi="Times New Roman"/>
      <w:sz w:val="24"/>
      <w:szCs w:val="24"/>
    </w:rPr>
  </w:style>
  <w:style w:type="paragraph" w:customStyle="1" w:styleId="707">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 w:val="21"/>
      <w:szCs w:val="20"/>
    </w:rPr>
  </w:style>
  <w:style w:type="paragraph" w:customStyle="1" w:styleId="708">
    <w:name w:val="正文正文正文 1.5 倍行距"/>
    <w:basedOn w:val="1"/>
    <w:uiPriority w:val="0"/>
    <w:pPr>
      <w:ind w:firstLine="480" w:firstLineChars="200"/>
    </w:pPr>
    <w:rPr>
      <w:rFonts w:ascii="宋体" w:hAnsi="宋体" w:cs="宋体"/>
      <w:kern w:val="0"/>
      <w:sz w:val="24"/>
      <w:szCs w:val="20"/>
    </w:rPr>
  </w:style>
  <w:style w:type="paragraph" w:customStyle="1" w:styleId="709">
    <w:name w:val="样式 标题 4款标题1.1.1.1标题 4 Char[三级节名]h4H4条 2[三级节名]1[三级节名]2四...1"/>
    <w:basedOn w:val="5"/>
    <w:qFormat/>
    <w:uiPriority w:val="0"/>
    <w:pPr>
      <w:tabs>
        <w:tab w:val="left" w:pos="0"/>
      </w:tabs>
      <w:spacing w:before="80" w:after="80" w:line="360" w:lineRule="auto"/>
    </w:pPr>
    <w:rPr>
      <w:rFonts w:ascii="宋体" w:hAnsi="宋体"/>
      <w:bCs w:val="0"/>
    </w:rPr>
  </w:style>
  <w:style w:type="paragraph" w:customStyle="1" w:styleId="710">
    <w:name w:val="样式 样式 标题 3h33rd levelH33Head 3level_3PIM 3Level 3 Head二级节名...2 +"/>
    <w:basedOn w:val="337"/>
    <w:qFormat/>
    <w:uiPriority w:val="0"/>
    <w:pPr>
      <w:tabs>
        <w:tab w:val="left" w:pos="105"/>
        <w:tab w:val="clear" w:pos="0"/>
      </w:tabs>
      <w:spacing w:before="120" w:line="360" w:lineRule="auto"/>
      <w:ind w:left="105"/>
    </w:pPr>
    <w:rPr>
      <w:rFonts w:ascii="黑体" w:hAnsi="宋体" w:eastAsia="黑体"/>
      <w:kern w:val="2"/>
      <w:sz w:val="28"/>
      <w:lang w:val="en-US"/>
    </w:rPr>
  </w:style>
  <w:style w:type="paragraph" w:customStyle="1" w:styleId="711">
    <w:name w:val="样式 样式 标题 22nd levelh22Header 2H2UNDERRUBRIK 1-2Titre2l2一级节...1 +..."/>
    <w:basedOn w:val="682"/>
    <w:uiPriority w:val="0"/>
    <w:rPr>
      <w:rFonts w:ascii="Times New Roman" w:hAnsi="Times New Roman"/>
      <w:b w:val="0"/>
    </w:rPr>
  </w:style>
  <w:style w:type="paragraph" w:customStyle="1" w:styleId="712">
    <w:name w:val="标准宋体 小四 居中1"/>
    <w:basedOn w:val="1"/>
    <w:semiHidden/>
    <w:uiPriority w:val="0"/>
    <w:pPr>
      <w:spacing w:line="240" w:lineRule="auto"/>
      <w:ind w:firstLine="420"/>
      <w:jc w:val="center"/>
    </w:pPr>
    <w:rPr>
      <w:rFonts w:ascii="宋体" w:hAnsi="宋体" w:cs="宋体"/>
      <w:kern w:val="0"/>
      <w:sz w:val="24"/>
      <w:szCs w:val="24"/>
    </w:rPr>
  </w:style>
  <w:style w:type="paragraph" w:customStyle="1" w:styleId="713">
    <w:name w:val="表格001"/>
    <w:basedOn w:val="1"/>
    <w:qFormat/>
    <w:uiPriority w:val="0"/>
    <w:pPr>
      <w:spacing w:line="360" w:lineRule="exact"/>
      <w:jc w:val="center"/>
    </w:pPr>
    <w:rPr>
      <w:rFonts w:ascii="Times New Roman" w:hAnsi="Times New Roman"/>
      <w:sz w:val="21"/>
      <w:szCs w:val="20"/>
    </w:rPr>
  </w:style>
  <w:style w:type="paragraph" w:customStyle="1" w:styleId="714">
    <w:name w:val="正文001"/>
    <w:basedOn w:val="1"/>
    <w:link w:val="715"/>
    <w:qFormat/>
    <w:uiPriority w:val="0"/>
    <w:pPr>
      <w:spacing w:before="60" w:line="460" w:lineRule="exact"/>
      <w:ind w:firstLine="482" w:firstLineChars="200"/>
    </w:pPr>
    <w:rPr>
      <w:rFonts w:ascii="Arial" w:hAnsi="Arial"/>
      <w:color w:val="000000"/>
      <w:sz w:val="24"/>
      <w:szCs w:val="20"/>
    </w:rPr>
  </w:style>
  <w:style w:type="character" w:customStyle="1" w:styleId="715">
    <w:name w:val="正文001 Char"/>
    <w:link w:val="714"/>
    <w:qFormat/>
    <w:uiPriority w:val="0"/>
    <w:rPr>
      <w:rFonts w:ascii="Arial" w:hAnsi="Arial" w:eastAsia="宋体" w:cs="Times New Roman"/>
      <w:color w:val="000000"/>
      <w:sz w:val="24"/>
      <w:szCs w:val="20"/>
    </w:rPr>
  </w:style>
  <w:style w:type="paragraph" w:customStyle="1" w:styleId="716">
    <w:name w:val="11正"/>
    <w:basedOn w:val="1"/>
    <w:semiHidden/>
    <w:qFormat/>
    <w:uiPriority w:val="0"/>
    <w:pPr>
      <w:spacing w:beforeLines="25" w:afterLines="25" w:line="400" w:lineRule="exact"/>
      <w:ind w:firstLine="200" w:firstLineChars="200"/>
      <w:jc w:val="left"/>
    </w:pPr>
    <w:rPr>
      <w:rFonts w:ascii="Times New Roman" w:hAnsi="Times New Roman"/>
      <w:color w:val="000000"/>
      <w:kern w:val="0"/>
      <w:sz w:val="24"/>
      <w:szCs w:val="24"/>
    </w:rPr>
  </w:style>
  <w:style w:type="paragraph" w:customStyle="1" w:styleId="717">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718">
    <w:name w:val="样式1冯正文"/>
    <w:basedOn w:val="1"/>
    <w:semiHidden/>
    <w:uiPriority w:val="0"/>
    <w:pPr>
      <w:spacing w:beforeLines="25" w:afterLines="25" w:line="400" w:lineRule="exact"/>
      <w:ind w:firstLine="200" w:firstLineChars="200"/>
      <w:jc w:val="left"/>
    </w:pPr>
    <w:rPr>
      <w:rFonts w:ascii="Times New Roman" w:hAnsi="Times New Roman"/>
      <w:color w:val="000000"/>
      <w:kern w:val="0"/>
      <w:sz w:val="24"/>
      <w:szCs w:val="24"/>
    </w:rPr>
  </w:style>
  <w:style w:type="paragraph" w:customStyle="1" w:styleId="719">
    <w:name w:val="正文1 Char"/>
    <w:basedOn w:val="1"/>
    <w:semiHidden/>
    <w:uiPriority w:val="0"/>
    <w:pPr>
      <w:widowControl/>
      <w:adjustRightInd w:val="0"/>
      <w:snapToGrid w:val="0"/>
      <w:spacing w:line="300" w:lineRule="auto"/>
    </w:pPr>
    <w:rPr>
      <w:rFonts w:ascii="黑体" w:hAnsi="Times New Roman" w:eastAsia="黑体"/>
      <w:sz w:val="24"/>
      <w:szCs w:val="24"/>
    </w:rPr>
  </w:style>
  <w:style w:type="paragraph" w:customStyle="1" w:styleId="720">
    <w:name w:val="封面正文"/>
    <w:qFormat/>
    <w:uiPriority w:val="0"/>
    <w:pPr>
      <w:jc w:val="both"/>
    </w:pPr>
    <w:rPr>
      <w:rFonts w:ascii="Times New Roman" w:hAnsi="Times New Roman" w:eastAsia="宋体" w:cs="Times New Roman"/>
      <w:lang w:val="en-US" w:eastAsia="zh-CN" w:bidi="ar-SA"/>
    </w:rPr>
  </w:style>
  <w:style w:type="character" w:customStyle="1" w:styleId="721">
    <w:name w:val="3zw1"/>
    <w:qFormat/>
    <w:uiPriority w:val="0"/>
    <w:rPr>
      <w:color w:val="000000"/>
      <w:sz w:val="21"/>
      <w:szCs w:val="21"/>
    </w:rPr>
  </w:style>
  <w:style w:type="paragraph" w:customStyle="1" w:styleId="722">
    <w:name w:val="3级标题"/>
    <w:basedOn w:val="4"/>
    <w:qFormat/>
    <w:uiPriority w:val="0"/>
    <w:pPr>
      <w:keepNext w:val="0"/>
      <w:keepLines w:val="0"/>
      <w:spacing w:before="0" w:after="0" w:line="360" w:lineRule="auto"/>
      <w:jc w:val="left"/>
    </w:pPr>
    <w:rPr>
      <w:rFonts w:ascii="黑体" w:hAnsi="华文中宋" w:eastAsia="黑体"/>
      <w:b w:val="0"/>
      <w:bCs w:val="0"/>
      <w:kern w:val="0"/>
      <w:sz w:val="24"/>
    </w:rPr>
  </w:style>
  <w:style w:type="paragraph" w:customStyle="1" w:styleId="723">
    <w:name w:val="样式 正文缩进正文（首行缩进两字）正文（首行缩进两字） Char Char Char Char Char Char Char..."/>
    <w:basedOn w:val="22"/>
    <w:qFormat/>
    <w:uiPriority w:val="0"/>
    <w:pPr>
      <w:tabs>
        <w:tab w:val="left" w:pos="3360"/>
      </w:tabs>
      <w:adjustRightInd w:val="0"/>
      <w:ind w:firstLine="0" w:firstLineChars="0"/>
      <w:textAlignment w:val="baseline"/>
    </w:pPr>
    <w:rPr>
      <w:color w:val="000000"/>
      <w:szCs w:val="24"/>
    </w:rPr>
  </w:style>
  <w:style w:type="paragraph" w:customStyle="1" w:styleId="724">
    <w:name w:val="左齐"/>
    <w:basedOn w:val="1"/>
    <w:qFormat/>
    <w:uiPriority w:val="0"/>
    <w:pPr>
      <w:spacing w:line="280" w:lineRule="exact"/>
      <w:jc w:val="left"/>
    </w:pPr>
    <w:rPr>
      <w:rFonts w:ascii="仿宋_GB2312" w:hAnsi="Times New Roman" w:eastAsia="仿宋_GB2312"/>
      <w:color w:val="000000"/>
      <w:sz w:val="18"/>
      <w:szCs w:val="30"/>
      <w:lang w:bidi="he-IL"/>
    </w:rPr>
  </w:style>
  <w:style w:type="paragraph" w:customStyle="1" w:styleId="725">
    <w:name w:val="段落1"/>
    <w:basedOn w:val="1"/>
    <w:qFormat/>
    <w:uiPriority w:val="0"/>
    <w:pPr>
      <w:adjustRightInd w:val="0"/>
      <w:spacing w:line="440" w:lineRule="exact"/>
      <w:ind w:firstLine="600" w:firstLineChars="200"/>
      <w:textAlignment w:val="baseline"/>
    </w:pPr>
    <w:rPr>
      <w:rFonts w:ascii="Times New Roman" w:hAnsi="Times New Roman"/>
      <w:color w:val="000000"/>
      <w:spacing w:val="10"/>
      <w:szCs w:val="20"/>
    </w:rPr>
  </w:style>
  <w:style w:type="paragraph" w:customStyle="1" w:styleId="726">
    <w:name w:val="表1"/>
    <w:basedOn w:val="1"/>
    <w:qFormat/>
    <w:uiPriority w:val="0"/>
    <w:pPr>
      <w:adjustRightInd w:val="0"/>
      <w:spacing w:beforeLines="50" w:afterLines="50" w:line="320" w:lineRule="exact"/>
      <w:jc w:val="center"/>
      <w:textAlignment w:val="baseline"/>
    </w:pPr>
    <w:rPr>
      <w:rFonts w:ascii="Times New Roman" w:hAnsi="Times New Roman" w:eastAsia="黑体"/>
      <w:kern w:val="0"/>
      <w:szCs w:val="20"/>
    </w:rPr>
  </w:style>
  <w:style w:type="paragraph" w:customStyle="1" w:styleId="727">
    <w:name w:val="表中字样"/>
    <w:basedOn w:val="725"/>
    <w:qFormat/>
    <w:uiPriority w:val="0"/>
    <w:pPr>
      <w:spacing w:line="320" w:lineRule="exact"/>
      <w:ind w:firstLine="0" w:firstLineChars="0"/>
      <w:jc w:val="center"/>
    </w:pPr>
  </w:style>
  <w:style w:type="paragraph" w:customStyle="1" w:styleId="728">
    <w:name w:val="bfs28kerning2lochaf1hich"/>
    <w:qFormat/>
    <w:uiPriority w:val="0"/>
    <w:pPr>
      <w:keepNext/>
      <w:keepLines/>
      <w:widowControl w:val="0"/>
      <w:adjustRightInd w:val="0"/>
      <w:spacing w:before="280" w:after="290"/>
    </w:pPr>
    <w:rPr>
      <w:rFonts w:ascii="Times New Roman" w:hAnsi="Times New Roman" w:eastAsia="宋体" w:cs="Times New Roman"/>
      <w:sz w:val="24"/>
      <w:lang w:val="en-US" w:eastAsia="zh-CN" w:bidi="ar-SA"/>
    </w:rPr>
  </w:style>
  <w:style w:type="paragraph" w:customStyle="1" w:styleId="729">
    <w:name w:val="左五"/>
    <w:basedOn w:val="1"/>
    <w:qFormat/>
    <w:uiPriority w:val="0"/>
    <w:pPr>
      <w:spacing w:line="280" w:lineRule="exact"/>
      <w:jc w:val="left"/>
    </w:pPr>
    <w:rPr>
      <w:rFonts w:ascii="宋体" w:hAnsi="Symusic"/>
      <w:color w:val="000000"/>
      <w:sz w:val="18"/>
      <w:szCs w:val="20"/>
      <w:lang w:bidi="he-IL"/>
    </w:rPr>
  </w:style>
  <w:style w:type="paragraph" w:customStyle="1" w:styleId="730">
    <w:name w:val="样式 标题 3 + 首行缩进:  2 字符"/>
    <w:basedOn w:val="4"/>
    <w:qFormat/>
    <w:uiPriority w:val="0"/>
    <w:pPr>
      <w:spacing w:before="120" w:after="120" w:line="360" w:lineRule="auto"/>
      <w:ind w:firstLine="200" w:firstLineChars="200"/>
    </w:pPr>
    <w:rPr>
      <w:rFonts w:ascii="Times New Roman" w:hAnsi="华文中宋" w:eastAsia="黑体"/>
      <w:b w:val="0"/>
      <w:bCs w:val="0"/>
      <w:kern w:val="0"/>
      <w:sz w:val="28"/>
      <w:szCs w:val="20"/>
    </w:rPr>
  </w:style>
  <w:style w:type="paragraph" w:customStyle="1" w:styleId="731">
    <w:name w:val="样式 标题 4 + 首行缩进:  2 字符"/>
    <w:basedOn w:val="5"/>
    <w:qFormat/>
    <w:uiPriority w:val="0"/>
    <w:pPr>
      <w:tabs>
        <w:tab w:val="left" w:pos="0"/>
      </w:tabs>
      <w:spacing w:before="80" w:after="80" w:line="360" w:lineRule="auto"/>
      <w:ind w:firstLine="200" w:firstLineChars="200"/>
    </w:pPr>
    <w:rPr>
      <w:rFonts w:ascii="Arial" w:hAnsi="Arial" w:cs="宋体"/>
      <w:bCs w:val="0"/>
      <w:szCs w:val="20"/>
    </w:rPr>
  </w:style>
  <w:style w:type="paragraph" w:customStyle="1" w:styleId="732">
    <w:name w:val="表格小四"/>
    <w:basedOn w:val="1"/>
    <w:qFormat/>
    <w:uiPriority w:val="0"/>
    <w:pPr>
      <w:spacing w:line="0" w:lineRule="atLeast"/>
    </w:pPr>
    <w:rPr>
      <w:rFonts w:ascii="Times New Roman" w:hAnsi="Times New Roman" w:eastAsia="楷体_GB2312"/>
      <w:sz w:val="24"/>
      <w:szCs w:val="20"/>
    </w:rPr>
  </w:style>
  <w:style w:type="paragraph" w:customStyle="1" w:styleId="733">
    <w:name w:val="标题0"/>
    <w:basedOn w:val="1"/>
    <w:qFormat/>
    <w:uiPriority w:val="0"/>
    <w:pPr>
      <w:tabs>
        <w:tab w:val="left" w:pos="840"/>
      </w:tabs>
      <w:spacing w:before="480" w:after="360" w:line="240" w:lineRule="auto"/>
      <w:jc w:val="center"/>
    </w:pPr>
    <w:rPr>
      <w:rFonts w:ascii="黑体" w:hAnsi="Times New Roman" w:eastAsia="黑体"/>
      <w:sz w:val="44"/>
      <w:szCs w:val="20"/>
    </w:rPr>
  </w:style>
  <w:style w:type="paragraph" w:customStyle="1" w:styleId="734">
    <w:name w:val="样式13"/>
    <w:basedOn w:val="78"/>
    <w:qFormat/>
    <w:uiPriority w:val="0"/>
    <w:pPr>
      <w:spacing w:line="360" w:lineRule="auto"/>
      <w:ind w:firstLine="288"/>
    </w:pPr>
    <w:rPr>
      <w:rFonts w:eastAsia="黑体"/>
      <w:sz w:val="44"/>
      <w:szCs w:val="44"/>
    </w:rPr>
  </w:style>
  <w:style w:type="paragraph" w:customStyle="1" w:styleId="735">
    <w:name w:val="2.1"/>
    <w:basedOn w:val="3"/>
    <w:next w:val="31"/>
    <w:qFormat/>
    <w:uiPriority w:val="0"/>
    <w:pPr>
      <w:tabs>
        <w:tab w:val="right" w:leader="dot" w:pos="8296"/>
        <w:tab w:val="clear" w:pos="1287"/>
      </w:tabs>
      <w:adjustRightInd w:val="0"/>
      <w:snapToGrid w:val="0"/>
      <w:spacing w:before="0" w:beforeAutospacing="0" w:after="0" w:afterAutospacing="0"/>
    </w:pPr>
    <w:rPr>
      <w:sz w:val="30"/>
      <w:szCs w:val="32"/>
    </w:rPr>
  </w:style>
  <w:style w:type="paragraph" w:customStyle="1" w:styleId="736">
    <w:name w:val="样式 3.1 + 行距: 多倍行距 1.73 字行"/>
    <w:basedOn w:val="737"/>
    <w:qFormat/>
    <w:uiPriority w:val="0"/>
    <w:pPr>
      <w:tabs>
        <w:tab w:val="left" w:pos="958"/>
        <w:tab w:val="right" w:leader="dot" w:pos="8296"/>
      </w:tabs>
      <w:spacing w:line="415" w:lineRule="auto"/>
      <w:ind w:left="958" w:hanging="420"/>
    </w:pPr>
    <w:rPr>
      <w:szCs w:val="20"/>
    </w:rPr>
  </w:style>
  <w:style w:type="paragraph" w:customStyle="1" w:styleId="737">
    <w:name w:val="3.1"/>
    <w:basedOn w:val="3"/>
    <w:next w:val="51"/>
    <w:qFormat/>
    <w:uiPriority w:val="0"/>
    <w:pPr>
      <w:tabs>
        <w:tab w:val="right" w:leader="dot" w:pos="8296"/>
        <w:tab w:val="clear" w:pos="1287"/>
      </w:tabs>
      <w:spacing w:before="0" w:beforeAutospacing="0" w:after="0" w:afterAutospacing="0"/>
    </w:pPr>
    <w:rPr>
      <w:sz w:val="28"/>
      <w:szCs w:val="32"/>
    </w:rPr>
  </w:style>
  <w:style w:type="paragraph" w:customStyle="1" w:styleId="738">
    <w:name w:val="样式 样式13 + 小二"/>
    <w:basedOn w:val="734"/>
    <w:qFormat/>
    <w:uiPriority w:val="0"/>
    <w:rPr>
      <w:sz w:val="36"/>
    </w:rPr>
  </w:style>
  <w:style w:type="paragraph" w:customStyle="1" w:styleId="739">
    <w:name w:val="样式 样式 样式13 + 小二 + 段前: 0 磅 段后: 0 磅"/>
    <w:basedOn w:val="738"/>
    <w:qFormat/>
    <w:uiPriority w:val="0"/>
    <w:pPr>
      <w:spacing w:before="0" w:after="0"/>
    </w:pPr>
    <w:rPr>
      <w:rFonts w:cs="Times New Roman"/>
      <w:szCs w:val="20"/>
    </w:rPr>
  </w:style>
  <w:style w:type="paragraph" w:customStyle="1" w:styleId="740">
    <w:name w:val="样式 标题 4 + Times New Roman 非加粗 首行缩进:  2 字符"/>
    <w:basedOn w:val="5"/>
    <w:qFormat/>
    <w:uiPriority w:val="0"/>
    <w:pPr>
      <w:tabs>
        <w:tab w:val="left" w:pos="0"/>
      </w:tabs>
      <w:spacing w:before="100" w:beforeAutospacing="1" w:after="100" w:afterAutospacing="1" w:line="360" w:lineRule="auto"/>
      <w:ind w:firstLine="480" w:firstLineChars="200"/>
    </w:pPr>
    <w:rPr>
      <w:rFonts w:ascii="宋体" w:hAnsi="宋体" w:cs="宋体"/>
      <w:b w:val="0"/>
    </w:rPr>
  </w:style>
  <w:style w:type="paragraph" w:customStyle="1" w:styleId="741">
    <w:name w:val="样式 标题 4 + Times New Roman 非加粗 黑色 首行缩进:  2 字符"/>
    <w:basedOn w:val="5"/>
    <w:qFormat/>
    <w:uiPriority w:val="0"/>
    <w:pPr>
      <w:tabs>
        <w:tab w:val="left" w:pos="0"/>
      </w:tabs>
      <w:spacing w:before="100" w:beforeAutospacing="1" w:after="100" w:afterAutospacing="1" w:line="360" w:lineRule="auto"/>
      <w:ind w:firstLine="480" w:firstLineChars="200"/>
    </w:pPr>
    <w:rPr>
      <w:rFonts w:ascii="宋体" w:hAnsi="宋体" w:cs="宋体"/>
      <w:b w:val="0"/>
      <w:color w:val="000000"/>
    </w:rPr>
  </w:style>
  <w:style w:type="paragraph" w:customStyle="1" w:styleId="742">
    <w:name w:val="a"/>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743">
    <w:name w:val="Char Char Char Char Char Char4"/>
    <w:basedOn w:val="1"/>
    <w:qFormat/>
    <w:uiPriority w:val="0"/>
    <w:pPr>
      <w:jc w:val="left"/>
    </w:pPr>
    <w:rPr>
      <w:rFonts w:ascii="宋体" w:hAnsi="宋体" w:cs="宋体"/>
      <w:sz w:val="24"/>
      <w:szCs w:val="24"/>
    </w:rPr>
  </w:style>
  <w:style w:type="character" w:customStyle="1" w:styleId="744">
    <w:name w:val="表、图名 Char"/>
    <w:link w:val="379"/>
    <w:qFormat/>
    <w:uiPriority w:val="0"/>
    <w:rPr>
      <w:rFonts w:ascii="Times New Roman" w:hAnsi="宋体" w:eastAsia="宋体" w:cs="Times New Roman"/>
      <w:sz w:val="24"/>
      <w:szCs w:val="24"/>
    </w:rPr>
  </w:style>
  <w:style w:type="character" w:customStyle="1" w:styleId="745">
    <w:name w:val="正文(首行缩进) Char1"/>
    <w:qFormat/>
    <w:uiPriority w:val="0"/>
    <w:rPr>
      <w:snapToGrid w:val="0"/>
      <w:color w:val="000000"/>
    </w:rPr>
  </w:style>
  <w:style w:type="table" w:customStyle="1" w:styleId="746">
    <w:name w:val="表格主题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747">
    <w:name w:val="style21"/>
    <w:qFormat/>
    <w:uiPriority w:val="0"/>
    <w:rPr>
      <w:sz w:val="21"/>
      <w:szCs w:val="21"/>
    </w:rPr>
  </w:style>
  <w:style w:type="character" w:customStyle="1" w:styleId="748">
    <w:name w:val="表头 Char2"/>
    <w:qFormat/>
    <w:uiPriority w:val="0"/>
    <w:rPr>
      <w:rFonts w:eastAsia="黑体"/>
      <w:bCs/>
      <w:color w:val="FF0000"/>
      <w:sz w:val="18"/>
      <w:szCs w:val="18"/>
      <w:lang w:val="en-US" w:eastAsia="zh-CN" w:bidi="ar-SA"/>
    </w:rPr>
  </w:style>
  <w:style w:type="character" w:customStyle="1" w:styleId="749">
    <w:name w:val="表体 Char"/>
    <w:link w:val="374"/>
    <w:qFormat/>
    <w:uiPriority w:val="0"/>
    <w:rPr>
      <w:rFonts w:ascii="Times New Roman" w:hAnsi="Times New Roman" w:cs="Times New Roman"/>
      <w:bCs/>
      <w:kern w:val="24"/>
      <w:sz w:val="24"/>
      <w:szCs w:val="24"/>
      <w:lang w:val="en-AU"/>
    </w:rPr>
  </w:style>
  <w:style w:type="paragraph" w:customStyle="1" w:styleId="750">
    <w:name w:val="正文文本最新 Char Char Char Char1 Char Char Char Char Char Char1"/>
    <w:basedOn w:val="1"/>
    <w:link w:val="751"/>
    <w:qFormat/>
    <w:uiPriority w:val="0"/>
    <w:pPr>
      <w:ind w:firstLine="200" w:firstLineChars="200"/>
    </w:pPr>
    <w:rPr>
      <w:rFonts w:ascii="Times New Roman" w:hAnsi="Times New Roman"/>
      <w:bCs/>
      <w:szCs w:val="24"/>
    </w:rPr>
  </w:style>
  <w:style w:type="character" w:customStyle="1" w:styleId="751">
    <w:name w:val="正文文本最新 Char Char Char Char1 Char Char Char Char Char Char1 Char"/>
    <w:link w:val="750"/>
    <w:qFormat/>
    <w:uiPriority w:val="0"/>
    <w:rPr>
      <w:rFonts w:ascii="Times New Roman" w:hAnsi="Times New Roman" w:eastAsia="宋体" w:cs="Times New Roman"/>
      <w:bCs/>
      <w:sz w:val="28"/>
      <w:szCs w:val="24"/>
    </w:rPr>
  </w:style>
  <w:style w:type="character" w:customStyle="1" w:styleId="752">
    <w:name w:val="表中 Char"/>
    <w:link w:val="378"/>
    <w:qFormat/>
    <w:uiPriority w:val="0"/>
    <w:rPr>
      <w:rFonts w:ascii="仿宋_GB2312" w:hAnsi="Times New Roman" w:eastAsia="仿宋_GB2312" w:cs="Times New Roman"/>
      <w:color w:val="000000"/>
      <w:sz w:val="18"/>
      <w:szCs w:val="20"/>
      <w:lang w:bidi="he-IL"/>
    </w:rPr>
  </w:style>
  <w:style w:type="character" w:customStyle="1" w:styleId="753">
    <w:name w:val=". Char Char"/>
    <w:qFormat/>
    <w:uiPriority w:val="0"/>
    <w:rPr>
      <w:rFonts w:eastAsia="黑体"/>
      <w:bCs/>
      <w:snapToGrid w:val="0"/>
      <w:sz w:val="28"/>
      <w:szCs w:val="32"/>
    </w:rPr>
  </w:style>
  <w:style w:type="character" w:customStyle="1" w:styleId="754">
    <w:name w:val="css-text3"/>
    <w:qFormat/>
    <w:uiPriority w:val="0"/>
  </w:style>
  <w:style w:type="paragraph" w:customStyle="1" w:styleId="755">
    <w:name w:val="样式1-正文"/>
    <w:basedOn w:val="1"/>
    <w:link w:val="756"/>
    <w:qFormat/>
    <w:uiPriority w:val="0"/>
    <w:pPr>
      <w:topLinePunct/>
      <w:autoSpaceDN w:val="0"/>
      <w:spacing w:line="480" w:lineRule="auto"/>
      <w:ind w:firstLine="476" w:firstLineChars="200"/>
    </w:pPr>
    <w:rPr>
      <w:rFonts w:ascii="宋体" w:hAnsi="宋体"/>
      <w:spacing w:val="-1"/>
      <w:kern w:val="0"/>
      <w:sz w:val="24"/>
      <w:szCs w:val="32"/>
    </w:rPr>
  </w:style>
  <w:style w:type="character" w:customStyle="1" w:styleId="756">
    <w:name w:val="样式1-正文 Char"/>
    <w:link w:val="755"/>
    <w:qFormat/>
    <w:uiPriority w:val="0"/>
    <w:rPr>
      <w:rFonts w:ascii="宋体" w:hAnsi="宋体" w:eastAsia="宋体" w:cs="Times New Roman"/>
      <w:spacing w:val="-1"/>
      <w:kern w:val="0"/>
      <w:sz w:val="24"/>
      <w:szCs w:val="32"/>
    </w:rPr>
  </w:style>
  <w:style w:type="character" w:customStyle="1" w:styleId="757">
    <w:name w:val="正文（首行缩进两字） Char Char Char Char Char Char Char Char"/>
    <w:qFormat/>
    <w:uiPriority w:val="0"/>
    <w:rPr>
      <w:color w:val="000000"/>
      <w:szCs w:val="18"/>
    </w:rPr>
  </w:style>
  <w:style w:type="paragraph" w:customStyle="1" w:styleId="758">
    <w:name w:val="表注+左对齐"/>
    <w:basedOn w:val="1"/>
    <w:qFormat/>
    <w:uiPriority w:val="0"/>
    <w:pPr>
      <w:widowControl/>
      <w:adjustRightInd w:val="0"/>
      <w:snapToGrid w:val="0"/>
      <w:spacing w:line="240" w:lineRule="atLeast"/>
      <w:textAlignment w:val="baseline"/>
    </w:pPr>
    <w:rPr>
      <w:rFonts w:ascii="仿宋_GB2312" w:hAnsi="Times New Roman" w:eastAsia="仿宋_GB2312"/>
      <w:sz w:val="21"/>
      <w:szCs w:val="24"/>
    </w:rPr>
  </w:style>
  <w:style w:type="paragraph" w:customStyle="1" w:styleId="759">
    <w:name w:val="正文首行缩进＋湿地"/>
    <w:basedOn w:val="1"/>
    <w:qFormat/>
    <w:uiPriority w:val="0"/>
    <w:pPr>
      <w:spacing w:line="400" w:lineRule="exact"/>
      <w:ind w:firstLine="493" w:firstLineChars="176"/>
      <w:jc w:val="left"/>
    </w:pPr>
    <w:rPr>
      <w:rFonts w:ascii="仿宋_GB2312" w:hAnsi="Times New Roman"/>
      <w:kern w:val="0"/>
      <w:sz w:val="24"/>
      <w:szCs w:val="20"/>
    </w:rPr>
  </w:style>
  <w:style w:type="paragraph" w:customStyle="1" w:styleId="760">
    <w:name w:val="Char Char Char3"/>
    <w:basedOn w:val="1"/>
    <w:qFormat/>
    <w:uiPriority w:val="0"/>
    <w:pPr>
      <w:ind w:firstLine="200" w:firstLineChars="200"/>
    </w:pPr>
    <w:rPr>
      <w:rFonts w:ascii="宋体" w:hAnsi="宋体" w:cs="宋体"/>
      <w:sz w:val="24"/>
      <w:szCs w:val="24"/>
    </w:rPr>
  </w:style>
  <w:style w:type="character" w:customStyle="1" w:styleId="761">
    <w:name w:val="f14b1"/>
    <w:uiPriority w:val="0"/>
    <w:rPr>
      <w:b/>
      <w:bCs/>
      <w:sz w:val="21"/>
      <w:szCs w:val="21"/>
    </w:rPr>
  </w:style>
  <w:style w:type="character" w:customStyle="1" w:styleId="762">
    <w:name w:val="正文文本1 Char1 Char Char Char Char Char Char Char"/>
    <w:qFormat/>
    <w:uiPriority w:val="0"/>
    <w:rPr>
      <w:color w:val="000000"/>
      <w:sz w:val="18"/>
      <w:szCs w:val="18"/>
    </w:rPr>
  </w:style>
  <w:style w:type="character" w:customStyle="1" w:styleId="763">
    <w:name w:val="报告书正文 Char"/>
    <w:link w:val="556"/>
    <w:qFormat/>
    <w:uiPriority w:val="0"/>
    <w:rPr>
      <w:rFonts w:ascii="Times New Roman" w:hAnsi="Times New Roman" w:eastAsia="宋体" w:cs="Times New Roman"/>
      <w:kern w:val="0"/>
      <w:sz w:val="24"/>
      <w:szCs w:val="20"/>
    </w:rPr>
  </w:style>
  <w:style w:type="paragraph" w:customStyle="1" w:styleId="764">
    <w:name w:val="CC Char Char Char Char Char Char"/>
    <w:basedOn w:val="46"/>
    <w:next w:val="46"/>
    <w:uiPriority w:val="0"/>
    <w:pPr>
      <w:widowControl w:val="0"/>
      <w:spacing w:after="120" w:line="480" w:lineRule="auto"/>
      <w:ind w:left="630" w:leftChars="100" w:right="100" w:rightChars="100" w:firstLine="0" w:firstLineChars="0"/>
    </w:pPr>
    <w:rPr>
      <w:rFonts w:ascii="Times New Roman" w:hAnsi="Times New Roman"/>
    </w:rPr>
  </w:style>
  <w:style w:type="paragraph" w:customStyle="1" w:styleId="765">
    <w:name w:val="默认段落字体 Para Char Char Char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766">
    <w:name w:val="0正文"/>
    <w:basedOn w:val="32"/>
    <w:link w:val="1881"/>
    <w:qFormat/>
    <w:uiPriority w:val="0"/>
    <w:pPr>
      <w:spacing w:after="0" w:line="300" w:lineRule="auto"/>
      <w:ind w:left="0" w:leftChars="0" w:firstLine="480" w:firstLineChars="200"/>
    </w:pPr>
    <w:rPr>
      <w:rFonts w:cs="宋体"/>
    </w:rPr>
  </w:style>
  <w:style w:type="table" w:customStyle="1" w:styleId="767">
    <w:name w:val="网格型1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768">
    <w:name w:val="报告书正文 Char Char"/>
    <w:basedOn w:val="1"/>
    <w:uiPriority w:val="0"/>
    <w:pPr>
      <w:spacing w:line="300" w:lineRule="auto"/>
      <w:ind w:firstLine="480" w:firstLineChars="200"/>
    </w:pPr>
    <w:rPr>
      <w:rFonts w:ascii="Times New Roman" w:hAnsi="Times New Roman"/>
      <w:color w:val="000000"/>
      <w:sz w:val="24"/>
      <w:szCs w:val="24"/>
    </w:rPr>
  </w:style>
  <w:style w:type="paragraph" w:customStyle="1" w:styleId="769">
    <w:name w:val="样式 标题 4 +"/>
    <w:basedOn w:val="5"/>
    <w:qFormat/>
    <w:uiPriority w:val="0"/>
    <w:pPr>
      <w:tabs>
        <w:tab w:val="left" w:pos="0"/>
        <w:tab w:val="left" w:pos="964"/>
      </w:tabs>
      <w:adjustRightInd w:val="0"/>
      <w:snapToGrid w:val="0"/>
      <w:spacing w:before="120" w:after="120" w:line="360" w:lineRule="auto"/>
      <w:ind w:left="964" w:hanging="964"/>
    </w:pPr>
    <w:rPr>
      <w:rFonts w:ascii="Arial" w:hAnsi="Arial" w:eastAsia="黑体"/>
      <w:bCs w:val="0"/>
    </w:rPr>
  </w:style>
  <w:style w:type="paragraph" w:customStyle="1" w:styleId="770">
    <w:name w:val="Char Char Char3 Char Char Char4 Char Char Char1"/>
    <w:basedOn w:val="1"/>
    <w:qFormat/>
    <w:uiPriority w:val="0"/>
    <w:pPr>
      <w:ind w:firstLine="200" w:firstLineChars="200"/>
    </w:pPr>
    <w:rPr>
      <w:rFonts w:ascii="宋体" w:hAnsi="宋体" w:cs="宋体"/>
      <w:sz w:val="24"/>
      <w:szCs w:val="24"/>
    </w:rPr>
  </w:style>
  <w:style w:type="paragraph" w:customStyle="1" w:styleId="771">
    <w:name w:val="Char Char Char3 Char Char Char"/>
    <w:basedOn w:val="1"/>
    <w:uiPriority w:val="0"/>
    <w:pPr>
      <w:ind w:firstLine="200" w:firstLineChars="200"/>
    </w:pPr>
    <w:rPr>
      <w:rFonts w:ascii="宋体" w:hAnsi="宋体" w:cs="宋体"/>
      <w:sz w:val="24"/>
      <w:szCs w:val="24"/>
    </w:rPr>
  </w:style>
  <w:style w:type="paragraph" w:customStyle="1" w:styleId="772">
    <w:name w:val="正文段落"/>
    <w:basedOn w:val="1"/>
    <w:uiPriority w:val="0"/>
    <w:pPr>
      <w:autoSpaceDE w:val="0"/>
      <w:autoSpaceDN w:val="0"/>
      <w:adjustRightInd w:val="0"/>
      <w:spacing w:line="480" w:lineRule="exact"/>
      <w:ind w:firstLine="200" w:firstLineChars="200"/>
      <w:textAlignment w:val="baseline"/>
    </w:pPr>
    <w:rPr>
      <w:rFonts w:ascii="@宋体" w:hAnsi="Times New Roman" w:eastAsia="仿宋_GB2312"/>
      <w:kern w:val="0"/>
      <w:sz w:val="24"/>
      <w:szCs w:val="20"/>
    </w:rPr>
  </w:style>
  <w:style w:type="character" w:customStyle="1" w:styleId="773">
    <w:name w:val="普通文字 Char Char Char Char Char Char Char Char Char Char Char Char Char Char Char Char Char Char Char"/>
    <w:qFormat/>
    <w:uiPriority w:val="0"/>
    <w:rPr>
      <w:rFonts w:hAnsi="Courier New"/>
      <w:sz w:val="21"/>
    </w:rPr>
  </w:style>
  <w:style w:type="character" w:customStyle="1" w:styleId="774">
    <w:name w:val="标题7"/>
    <w:qFormat/>
    <w:uiPriority w:val="0"/>
  </w:style>
  <w:style w:type="paragraph" w:customStyle="1" w:styleId="775">
    <w:name w:val="样式 报告正文 + 首行缩进:  2 字符"/>
    <w:basedOn w:val="1"/>
    <w:uiPriority w:val="0"/>
    <w:pPr>
      <w:keepNext/>
      <w:spacing w:line="500" w:lineRule="exact"/>
      <w:ind w:firstLine="560" w:firstLineChars="200"/>
      <w:jc w:val="left"/>
      <w:outlineLvl w:val="1"/>
    </w:pPr>
    <w:rPr>
      <w:rFonts w:ascii="Times New Roman" w:hAnsi="Times New Roman" w:eastAsia="楷体_GB2312" w:cs="宋体"/>
      <w:szCs w:val="20"/>
    </w:rPr>
  </w:style>
  <w:style w:type="paragraph" w:customStyle="1" w:styleId="776">
    <w:name w:val="作者"/>
    <w:qFormat/>
    <w:uiPriority w:val="0"/>
    <w:pPr>
      <w:spacing w:line="360" w:lineRule="auto"/>
      <w:jc w:val="center"/>
    </w:pPr>
    <w:rPr>
      <w:rFonts w:ascii="仿宋_GB2312" w:hAnsi="Times New Roman" w:eastAsia="仿宋_GB2312" w:cs="Times New Roman"/>
      <w:sz w:val="28"/>
      <w:szCs w:val="28"/>
      <w:lang w:val="en-US" w:eastAsia="zh-CN" w:bidi="ar-SA"/>
    </w:rPr>
  </w:style>
  <w:style w:type="paragraph" w:customStyle="1" w:styleId="777">
    <w:name w:val="样式 正文文字缩进 + (符号) 宋体 首行缩进:  0.95 厘米"/>
    <w:basedOn w:val="32"/>
    <w:qFormat/>
    <w:uiPriority w:val="0"/>
    <w:pPr>
      <w:spacing w:after="0" w:line="300" w:lineRule="auto"/>
      <w:ind w:left="0" w:leftChars="0" w:firstLine="539"/>
    </w:pPr>
    <w:rPr>
      <w:rFonts w:ascii="宋体" w:hAnsi="宋体"/>
      <w:szCs w:val="24"/>
    </w:rPr>
  </w:style>
  <w:style w:type="character" w:customStyle="1" w:styleId="778">
    <w:name w:val="样式 普通文字 + 加宽量  0.4 磅 Char Char Char Char Char Char Char Char Char Char Char Char Char Char Char Char Char Char Char Char"/>
    <w:qFormat/>
    <w:uiPriority w:val="0"/>
    <w:rPr>
      <w:spacing w:val="8"/>
    </w:rPr>
  </w:style>
  <w:style w:type="paragraph" w:customStyle="1" w:styleId="779">
    <w:name w:val="样式 普通文字 + 首行缩进:  2 字符"/>
    <w:basedOn w:val="41"/>
    <w:uiPriority w:val="0"/>
    <w:pPr>
      <w:widowControl w:val="0"/>
      <w:spacing w:line="480" w:lineRule="exact"/>
      <w:ind w:firstLine="512" w:firstLineChars="200"/>
      <w:jc w:val="both"/>
    </w:pPr>
    <w:rPr>
      <w:rFonts w:ascii="Times New Roman" w:hAnsi="Times New Roman" w:cs="宋体"/>
      <w:sz w:val="24"/>
      <w:szCs w:val="20"/>
    </w:rPr>
  </w:style>
  <w:style w:type="paragraph" w:customStyle="1" w:styleId="780">
    <w:name w:val="样式 宋体 小四 首行缩进:  0.95 厘米 行距: 1.5 倍行距"/>
    <w:basedOn w:val="1"/>
    <w:uiPriority w:val="0"/>
    <w:pPr>
      <w:spacing w:line="300" w:lineRule="auto"/>
      <w:ind w:firstLine="539"/>
    </w:pPr>
    <w:rPr>
      <w:rFonts w:ascii="宋体" w:hAnsi="宋体"/>
      <w:sz w:val="24"/>
      <w:szCs w:val="24"/>
    </w:rPr>
  </w:style>
  <w:style w:type="character" w:customStyle="1" w:styleId="781">
    <w:name w:val="bak"/>
    <w:qFormat/>
    <w:uiPriority w:val="0"/>
  </w:style>
  <w:style w:type="paragraph" w:customStyle="1" w:styleId="782">
    <w:name w:val="报告书正文 Char Char Char Char Char Char Char"/>
    <w:basedOn w:val="1"/>
    <w:link w:val="783"/>
    <w:qFormat/>
    <w:uiPriority w:val="0"/>
    <w:pPr>
      <w:spacing w:line="300" w:lineRule="auto"/>
      <w:ind w:firstLine="480" w:firstLineChars="200"/>
    </w:pPr>
    <w:rPr>
      <w:rFonts w:ascii="Times New Roman" w:hAnsi="Times New Roman"/>
      <w:color w:val="000000"/>
      <w:sz w:val="24"/>
      <w:szCs w:val="24"/>
    </w:rPr>
  </w:style>
  <w:style w:type="character" w:customStyle="1" w:styleId="783">
    <w:name w:val="报告书正文 Char Char Char Char Char Char Char Char"/>
    <w:link w:val="782"/>
    <w:uiPriority w:val="0"/>
    <w:rPr>
      <w:rFonts w:ascii="Times New Roman" w:hAnsi="Times New Roman" w:eastAsia="宋体" w:cs="Times New Roman"/>
      <w:color w:val="000000"/>
      <w:sz w:val="24"/>
      <w:szCs w:val="24"/>
    </w:rPr>
  </w:style>
  <w:style w:type="character" w:customStyle="1" w:styleId="784">
    <w:name w:val="orange1"/>
    <w:qFormat/>
    <w:uiPriority w:val="0"/>
    <w:rPr>
      <w:b/>
      <w:bCs/>
      <w:color w:val="FF3300"/>
      <w:sz w:val="21"/>
      <w:szCs w:val="21"/>
      <w:u w:val="none"/>
    </w:rPr>
  </w:style>
  <w:style w:type="paragraph" w:customStyle="1" w:styleId="785">
    <w:name w:val="BG5"/>
    <w:basedOn w:val="1"/>
    <w:qFormat/>
    <w:uiPriority w:val="0"/>
    <w:pPr>
      <w:autoSpaceDE w:val="0"/>
      <w:autoSpaceDN w:val="0"/>
      <w:adjustRightInd w:val="0"/>
      <w:spacing w:line="200" w:lineRule="atLeast"/>
      <w:jc w:val="center"/>
    </w:pPr>
    <w:rPr>
      <w:rFonts w:hint="eastAsia" w:ascii="@宋体" w:hAnsi="Times New Roman"/>
      <w:kern w:val="0"/>
      <w:sz w:val="21"/>
      <w:szCs w:val="20"/>
    </w:rPr>
  </w:style>
  <w:style w:type="paragraph" w:customStyle="1" w:styleId="786">
    <w:name w:val="报告书正文 Char Char Char Char Char Char"/>
    <w:basedOn w:val="1"/>
    <w:uiPriority w:val="0"/>
    <w:pPr>
      <w:spacing w:line="300" w:lineRule="auto"/>
      <w:ind w:firstLine="480" w:firstLineChars="200"/>
    </w:pPr>
    <w:rPr>
      <w:rFonts w:ascii="Times New Roman" w:hAnsi="Times New Roman"/>
      <w:color w:val="000000"/>
      <w:sz w:val="24"/>
      <w:szCs w:val="24"/>
    </w:rPr>
  </w:style>
  <w:style w:type="character" w:customStyle="1" w:styleId="787">
    <w:name w:val="标题 42"/>
    <w:uiPriority w:val="0"/>
    <w:rPr>
      <w:rFonts w:ascii="黑体" w:eastAsia="黑体"/>
      <w:b/>
      <w:bCs/>
      <w:spacing w:val="5"/>
      <w:szCs w:val="28"/>
    </w:rPr>
  </w:style>
  <w:style w:type="paragraph" w:customStyle="1" w:styleId="788">
    <w:name w:val="表格（小）"/>
    <w:basedOn w:val="1"/>
    <w:qFormat/>
    <w:uiPriority w:val="0"/>
    <w:pPr>
      <w:adjustRightInd w:val="0"/>
      <w:snapToGrid w:val="0"/>
      <w:spacing w:line="240" w:lineRule="auto"/>
    </w:pPr>
    <w:rPr>
      <w:rFonts w:ascii="Times New Roman" w:hAnsi="Times New Roman"/>
      <w:snapToGrid w:val="0"/>
      <w:kern w:val="0"/>
      <w:sz w:val="21"/>
      <w:szCs w:val="20"/>
    </w:rPr>
  </w:style>
  <w:style w:type="paragraph" w:customStyle="1" w:styleId="789">
    <w:name w:val="报告书正文 Char Char Char Char Char Char Char2"/>
    <w:basedOn w:val="1"/>
    <w:uiPriority w:val="0"/>
    <w:pPr>
      <w:spacing w:line="300" w:lineRule="auto"/>
      <w:ind w:firstLine="480" w:firstLineChars="200"/>
    </w:pPr>
    <w:rPr>
      <w:rFonts w:ascii="宋体" w:hAnsi="宋体"/>
      <w:sz w:val="24"/>
      <w:szCs w:val="24"/>
    </w:rPr>
  </w:style>
  <w:style w:type="paragraph" w:customStyle="1" w:styleId="790">
    <w:name w:val="正文文本 31"/>
    <w:basedOn w:val="1"/>
    <w:qFormat/>
    <w:uiPriority w:val="0"/>
    <w:pPr>
      <w:adjustRightInd w:val="0"/>
      <w:spacing w:line="240" w:lineRule="atLeast"/>
      <w:jc w:val="center"/>
      <w:textAlignment w:val="baseline"/>
    </w:pPr>
    <w:rPr>
      <w:rFonts w:ascii="宋体" w:hAnsi="Times New Roman"/>
      <w:kern w:val="0"/>
      <w:sz w:val="18"/>
      <w:szCs w:val="20"/>
    </w:rPr>
  </w:style>
  <w:style w:type="paragraph" w:customStyle="1" w:styleId="791">
    <w:name w:val="BBT"/>
    <w:basedOn w:val="1"/>
    <w:uiPriority w:val="0"/>
    <w:pPr>
      <w:adjustRightInd w:val="0"/>
      <w:snapToGrid w:val="0"/>
      <w:spacing w:beforeLines="50" w:afterLines="50" w:line="240" w:lineRule="auto"/>
      <w:jc w:val="center"/>
    </w:pPr>
    <w:rPr>
      <w:rFonts w:ascii="宋体" w:hAnsi="宋体"/>
      <w:b/>
      <w:bCs/>
      <w:spacing w:val="6"/>
      <w:sz w:val="24"/>
      <w:szCs w:val="20"/>
    </w:rPr>
  </w:style>
  <w:style w:type="paragraph" w:customStyle="1" w:styleId="792">
    <w:name w:val="公式"/>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793">
    <w:name w:val="标题11"/>
    <w:basedOn w:val="1"/>
    <w:uiPriority w:val="0"/>
    <w:pPr>
      <w:numPr>
        <w:ilvl w:val="1"/>
        <w:numId w:val="7"/>
      </w:numPr>
      <w:adjustRightInd w:val="0"/>
      <w:snapToGrid w:val="0"/>
    </w:pPr>
    <w:rPr>
      <w:rFonts w:ascii="Times New Roman" w:hAnsi="Times New Roman"/>
      <w:szCs w:val="20"/>
    </w:rPr>
  </w:style>
  <w:style w:type="paragraph" w:customStyle="1" w:styleId="794">
    <w:name w:val="普通文字 Char Char Char Char Char Char Char Char Char Char Char Char Char Char Char Char Char"/>
    <w:basedOn w:val="1"/>
    <w:next w:val="41"/>
    <w:qFormat/>
    <w:uiPriority w:val="0"/>
    <w:pPr>
      <w:spacing w:line="240" w:lineRule="auto"/>
    </w:pPr>
    <w:rPr>
      <w:rFonts w:ascii="宋体" w:hAnsi="Courier New"/>
      <w:sz w:val="21"/>
      <w:szCs w:val="20"/>
    </w:rPr>
  </w:style>
  <w:style w:type="paragraph" w:customStyle="1" w:styleId="795">
    <w:name w:val="XCHG论文正文"/>
    <w:basedOn w:val="1"/>
    <w:uiPriority w:val="0"/>
    <w:pPr>
      <w:ind w:firstLine="200" w:firstLineChars="200"/>
    </w:pPr>
    <w:rPr>
      <w:rFonts w:ascii="Times New Roman" w:hAnsi="Times New Roman"/>
      <w:color w:val="000000"/>
      <w:sz w:val="24"/>
      <w:szCs w:val="24"/>
    </w:rPr>
  </w:style>
  <w:style w:type="paragraph" w:customStyle="1" w:styleId="796">
    <w:name w:val="图表正文"/>
    <w:basedOn w:val="1"/>
    <w:qFormat/>
    <w:uiPriority w:val="0"/>
    <w:pPr>
      <w:snapToGrid w:val="0"/>
      <w:spacing w:beforeLines="2" w:afterLines="2" w:line="320" w:lineRule="exact"/>
      <w:jc w:val="center"/>
    </w:pPr>
    <w:rPr>
      <w:rFonts w:ascii="宋体" w:hAnsi="宋体"/>
      <w:sz w:val="21"/>
      <w:szCs w:val="24"/>
    </w:rPr>
  </w:style>
  <w:style w:type="paragraph" w:customStyle="1" w:styleId="797">
    <w:name w:val="样式 标题 3 + 段前: 10 磅 段后: 10 磅"/>
    <w:basedOn w:val="4"/>
    <w:uiPriority w:val="0"/>
    <w:pPr>
      <w:adjustRightInd w:val="0"/>
      <w:spacing w:before="120" w:beforeLines="25" w:after="120" w:afterLines="25" w:line="360" w:lineRule="auto"/>
      <w:textAlignment w:val="baseline"/>
    </w:pPr>
    <w:rPr>
      <w:rFonts w:ascii="黑体" w:hAnsi="华文中宋" w:eastAsia="黑体"/>
      <w:b w:val="0"/>
      <w:bCs w:val="0"/>
      <w:kern w:val="0"/>
      <w:sz w:val="24"/>
      <w:szCs w:val="20"/>
    </w:rPr>
  </w:style>
  <w:style w:type="paragraph" w:customStyle="1" w:styleId="798">
    <w:name w:val="表格标题1"/>
    <w:basedOn w:val="61"/>
    <w:qFormat/>
    <w:uiPriority w:val="0"/>
    <w:pPr>
      <w:adjustRightInd/>
      <w:spacing w:line="240" w:lineRule="auto"/>
      <w:ind w:left="0" w:firstLine="0"/>
      <w:jc w:val="center"/>
      <w:textAlignment w:val="auto"/>
    </w:pPr>
    <w:rPr>
      <w:kern w:val="2"/>
      <w:sz w:val="21"/>
      <w:szCs w:val="24"/>
    </w:rPr>
  </w:style>
  <w:style w:type="character" w:customStyle="1" w:styleId="799">
    <w:name w:val="txt1"/>
    <w:qFormat/>
    <w:uiPriority w:val="0"/>
    <w:rPr>
      <w:rFonts w:hint="eastAsia"/>
      <w:color w:val="003300"/>
      <w:spacing w:val="264"/>
      <w:sz w:val="20"/>
      <w:szCs w:val="20"/>
      <w:u w:val="none"/>
    </w:rPr>
  </w:style>
  <w:style w:type="character" w:customStyle="1" w:styleId="800">
    <w:name w:val="title_span3"/>
    <w:qFormat/>
    <w:uiPriority w:val="0"/>
    <w:rPr>
      <w:rFonts w:hint="default"/>
    </w:rPr>
  </w:style>
  <w:style w:type="paragraph" w:customStyle="1" w:styleId="801">
    <w:name w:val="样式 正文文本缩进 2 + 红色"/>
    <w:basedOn w:val="46"/>
    <w:uiPriority w:val="0"/>
    <w:pPr>
      <w:widowControl w:val="0"/>
      <w:spacing w:line="300" w:lineRule="auto"/>
      <w:ind w:firstLine="539" w:firstLineChars="0"/>
    </w:pPr>
    <w:rPr>
      <w:rFonts w:ascii="Times New Roman" w:hAnsi="Times New Roman"/>
      <w:color w:val="FF0000"/>
      <w:sz w:val="24"/>
      <w:szCs w:val="24"/>
    </w:rPr>
  </w:style>
  <w:style w:type="character" w:customStyle="1" w:styleId="802">
    <w:name w:val="表格正文 Char Char Char Char Char"/>
    <w:qFormat/>
    <w:uiPriority w:val="0"/>
    <w:rPr>
      <w:sz w:val="21"/>
    </w:rPr>
  </w:style>
  <w:style w:type="paragraph" w:customStyle="1" w:styleId="803">
    <w:name w:val="表格正文 Char Char Char Char"/>
    <w:basedOn w:val="1"/>
    <w:uiPriority w:val="0"/>
    <w:pPr>
      <w:spacing w:line="240" w:lineRule="auto"/>
    </w:pPr>
    <w:rPr>
      <w:rFonts w:ascii="Times New Roman" w:hAnsi="Times New Roman"/>
      <w:sz w:val="21"/>
      <w:szCs w:val="20"/>
    </w:rPr>
  </w:style>
  <w:style w:type="paragraph" w:customStyle="1" w:styleId="804">
    <w:name w:val="报告正文"/>
    <w:basedOn w:val="1"/>
    <w:qFormat/>
    <w:uiPriority w:val="0"/>
    <w:pPr>
      <w:jc w:val="center"/>
    </w:pPr>
    <w:rPr>
      <w:rFonts w:ascii="Times New Roman" w:hAnsi="Times New Roman"/>
      <w:color w:val="000000"/>
      <w:sz w:val="21"/>
      <w:szCs w:val="21"/>
    </w:rPr>
  </w:style>
  <w:style w:type="paragraph" w:customStyle="1" w:styleId="805">
    <w:name w:val="正文A"/>
    <w:uiPriority w:val="0"/>
    <w:pPr>
      <w:widowControl w:val="0"/>
      <w:tabs>
        <w:tab w:val="left" w:pos="0"/>
      </w:tabs>
      <w:adjustRightInd w:val="0"/>
      <w:spacing w:line="360" w:lineRule="auto"/>
      <w:ind w:firstLine="200" w:firstLineChars="200"/>
      <w:jc w:val="both"/>
      <w:textAlignment w:val="baseline"/>
    </w:pPr>
    <w:rPr>
      <w:rFonts w:ascii="Times New Roman" w:hAnsi="Times New Roman" w:eastAsia="宋体" w:cs="Times New Roman"/>
      <w:snapToGrid w:val="0"/>
      <w:sz w:val="24"/>
      <w:lang w:val="en-US" w:eastAsia="zh-CN" w:bidi="ar-SA"/>
    </w:rPr>
  </w:style>
  <w:style w:type="paragraph" w:customStyle="1" w:styleId="806">
    <w:name w:val="表格文字居中"/>
    <w:qFormat/>
    <w:uiPriority w:val="0"/>
    <w:pPr>
      <w:adjustRightInd w:val="0"/>
      <w:snapToGrid w:val="0"/>
      <w:spacing w:beforeLines="10" w:afterLines="10"/>
      <w:jc w:val="center"/>
    </w:pPr>
    <w:rPr>
      <w:rFonts w:ascii="宋体" w:hAnsi="宋体" w:eastAsia="宋体" w:cs="Times New Roman"/>
      <w:sz w:val="24"/>
      <w:lang w:val="en-US" w:eastAsia="zh-CN" w:bidi="ar-SA"/>
    </w:rPr>
  </w:style>
  <w:style w:type="paragraph" w:customStyle="1" w:styleId="807">
    <w:name w:val="表名 Char"/>
    <w:basedOn w:val="1"/>
    <w:uiPriority w:val="0"/>
    <w:pPr>
      <w:spacing w:line="300" w:lineRule="auto"/>
      <w:ind w:firstLine="425"/>
      <w:jc w:val="center"/>
    </w:pPr>
    <w:rPr>
      <w:rFonts w:ascii="Times New Roman" w:hAnsi="Times New Roman" w:eastAsia="黑体"/>
      <w:sz w:val="24"/>
      <w:szCs w:val="20"/>
    </w:rPr>
  </w:style>
  <w:style w:type="paragraph" w:customStyle="1" w:styleId="808">
    <w:name w:val="无缩进正文"/>
    <w:basedOn w:val="1"/>
    <w:uiPriority w:val="0"/>
    <w:pPr>
      <w:adjustRightInd w:val="0"/>
      <w:snapToGrid w:val="0"/>
      <w:spacing w:line="288" w:lineRule="auto"/>
      <w:jc w:val="center"/>
    </w:pPr>
    <w:rPr>
      <w:rFonts w:ascii="Times New Roman" w:hAnsi="Times New Roman"/>
      <w:kern w:val="0"/>
      <w:sz w:val="21"/>
      <w:szCs w:val="24"/>
    </w:rPr>
  </w:style>
  <w:style w:type="paragraph" w:customStyle="1" w:styleId="809">
    <w:name w:val="图表正文加粗"/>
    <w:basedOn w:val="804"/>
    <w:next w:val="796"/>
    <w:uiPriority w:val="0"/>
    <w:pPr>
      <w:spacing w:line="240" w:lineRule="auto"/>
      <w:jc w:val="both"/>
    </w:pPr>
    <w:rPr>
      <w:b/>
      <w:szCs w:val="24"/>
    </w:rPr>
  </w:style>
  <w:style w:type="paragraph" w:customStyle="1" w:styleId="810">
    <w:name w:val="报告书"/>
    <w:basedOn w:val="1"/>
    <w:uiPriority w:val="0"/>
    <w:pPr>
      <w:spacing w:line="300" w:lineRule="auto"/>
      <w:ind w:firstLine="480" w:firstLineChars="200"/>
    </w:pPr>
    <w:rPr>
      <w:rFonts w:ascii="Times New Roman" w:hAnsi="Times New Roman"/>
      <w:sz w:val="24"/>
      <w:szCs w:val="24"/>
    </w:rPr>
  </w:style>
  <w:style w:type="paragraph" w:customStyle="1" w:styleId="811">
    <w:name w:val="表中文字5"/>
    <w:basedOn w:val="1"/>
    <w:uiPriority w:val="0"/>
    <w:pPr>
      <w:spacing w:before="100" w:after="100" w:line="240" w:lineRule="auto"/>
      <w:ind w:right="-32"/>
      <w:jc w:val="center"/>
    </w:pPr>
    <w:rPr>
      <w:rFonts w:ascii="宋体" w:hAnsi="Times New Roman"/>
      <w:color w:val="000000"/>
      <w:sz w:val="21"/>
      <w:szCs w:val="20"/>
    </w:rPr>
  </w:style>
  <w:style w:type="character" w:customStyle="1" w:styleId="812">
    <w:name w:val="r1"/>
    <w:uiPriority w:val="0"/>
    <w:rPr>
      <w:spacing w:val="300"/>
      <w:sz w:val="20"/>
      <w:szCs w:val="20"/>
    </w:rPr>
  </w:style>
  <w:style w:type="character" w:customStyle="1" w:styleId="813">
    <w:name w:val="hx"/>
    <w:uiPriority w:val="0"/>
  </w:style>
  <w:style w:type="character" w:customStyle="1" w:styleId="814">
    <w:name w:val="unnamed61"/>
    <w:uiPriority w:val="0"/>
    <w:rPr>
      <w:color w:val="000000"/>
      <w:spacing w:val="360"/>
      <w:sz w:val="20"/>
      <w:szCs w:val="20"/>
    </w:rPr>
  </w:style>
  <w:style w:type="character" w:customStyle="1" w:styleId="815">
    <w:name w:val="unnamed6"/>
    <w:uiPriority w:val="0"/>
  </w:style>
  <w:style w:type="paragraph" w:customStyle="1" w:styleId="816">
    <w:name w:val="表文LA"/>
    <w:uiPriority w:val="0"/>
    <w:pPr>
      <w:tabs>
        <w:tab w:val="left" w:pos="0"/>
      </w:tabs>
      <w:adjustRightInd w:val="0"/>
      <w:snapToGrid w:val="0"/>
      <w:spacing w:before="31" w:after="31"/>
      <w:jc w:val="center"/>
    </w:pPr>
    <w:rPr>
      <w:rFonts w:ascii="宋体" w:hAnsi="Times New Roman" w:eastAsia="宋体" w:cs="Times New Roman"/>
      <w:sz w:val="21"/>
      <w:lang w:val="en-US" w:eastAsia="zh-CN" w:bidi="ar-SA"/>
    </w:rPr>
  </w:style>
  <w:style w:type="paragraph" w:customStyle="1" w:styleId="817">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818">
    <w:name w:val="小节2"/>
    <w:next w:val="1"/>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character" w:customStyle="1" w:styleId="819">
    <w:name w:val="自定义正文 Char Char Char Char"/>
    <w:uiPriority w:val="0"/>
    <w:rPr>
      <w:position w:val="-28"/>
      <w:sz w:val="28"/>
      <w:szCs w:val="28"/>
    </w:rPr>
  </w:style>
  <w:style w:type="character" w:customStyle="1" w:styleId="820">
    <w:name w:val="cn1"/>
    <w:uiPriority w:val="0"/>
    <w:rPr>
      <w:sz w:val="21"/>
      <w:szCs w:val="21"/>
    </w:rPr>
  </w:style>
  <w:style w:type="character" w:customStyle="1" w:styleId="821">
    <w:name w:val="line-height"/>
    <w:qFormat/>
    <w:uiPriority w:val="0"/>
  </w:style>
  <w:style w:type="character" w:customStyle="1" w:styleId="822">
    <w:name w:val="报告书正文 Char Char Char Char1"/>
    <w:qFormat/>
    <w:uiPriority w:val="0"/>
  </w:style>
  <w:style w:type="paragraph" w:customStyle="1" w:styleId="823">
    <w:name w:val="图标题"/>
    <w:basedOn w:val="1"/>
    <w:qFormat/>
    <w:uiPriority w:val="0"/>
    <w:pPr>
      <w:spacing w:line="300" w:lineRule="auto"/>
      <w:ind w:firstLine="420" w:firstLineChars="200"/>
      <w:jc w:val="center"/>
    </w:pPr>
    <w:rPr>
      <w:rFonts w:ascii="Times New Roman" w:hAnsi="Times New Roman" w:cs="宋体"/>
      <w:b/>
      <w:sz w:val="21"/>
      <w:szCs w:val="21"/>
    </w:rPr>
  </w:style>
  <w:style w:type="paragraph" w:customStyle="1" w:styleId="824">
    <w:name w:val="小标题 1"/>
    <w:basedOn w:val="2"/>
    <w:uiPriority w:val="0"/>
    <w:pPr>
      <w:spacing w:beforeLines="50" w:after="0" w:line="360" w:lineRule="auto"/>
    </w:pPr>
    <w:rPr>
      <w:rFonts w:ascii="宋体" w:hAnsi="Times New Roman" w:cs="宋体"/>
      <w:sz w:val="32"/>
      <w:szCs w:val="20"/>
    </w:rPr>
  </w:style>
  <w:style w:type="paragraph" w:customStyle="1" w:styleId="825">
    <w:name w:val="小标题2"/>
    <w:basedOn w:val="1"/>
    <w:qFormat/>
    <w:uiPriority w:val="0"/>
    <w:pPr>
      <w:keepNext/>
      <w:keepLines/>
      <w:spacing w:beforeLines="50" w:afterLines="50" w:line="240" w:lineRule="auto"/>
      <w:outlineLvl w:val="0"/>
    </w:pPr>
    <w:rPr>
      <w:rFonts w:ascii="Times New Roman" w:hAnsi="Times New Roman" w:cs="宋体"/>
      <w:b/>
      <w:bCs/>
      <w:kern w:val="44"/>
      <w:sz w:val="30"/>
      <w:szCs w:val="30"/>
    </w:rPr>
  </w:style>
  <w:style w:type="paragraph" w:customStyle="1" w:styleId="826">
    <w:name w:val="Char Char Char1 Char1"/>
    <w:basedOn w:val="1"/>
    <w:uiPriority w:val="0"/>
    <w:pPr>
      <w:adjustRightInd w:val="0"/>
      <w:ind w:firstLine="200" w:firstLineChars="200"/>
      <w:textAlignment w:val="baseline"/>
    </w:pPr>
    <w:rPr>
      <w:rFonts w:ascii="宋体" w:hAnsi="宋体" w:cs="宋体"/>
      <w:kern w:val="0"/>
      <w:sz w:val="24"/>
      <w:szCs w:val="20"/>
    </w:rPr>
  </w:style>
  <w:style w:type="paragraph" w:customStyle="1" w:styleId="827">
    <w:name w:val="标题 71"/>
    <w:basedOn w:val="1"/>
    <w:next w:val="1"/>
    <w:uiPriority w:val="0"/>
    <w:pPr>
      <w:autoSpaceDE w:val="0"/>
      <w:autoSpaceDN w:val="0"/>
      <w:adjustRightInd w:val="0"/>
      <w:spacing w:line="240" w:lineRule="auto"/>
      <w:jc w:val="left"/>
    </w:pPr>
    <w:rPr>
      <w:rFonts w:ascii="JKIKGP+CenturyGothic" w:hAnsi="Times New Roman" w:eastAsia="JKIKGP+CenturyGothic"/>
      <w:kern w:val="0"/>
      <w:sz w:val="24"/>
      <w:szCs w:val="24"/>
    </w:rPr>
  </w:style>
  <w:style w:type="paragraph" w:customStyle="1" w:styleId="828">
    <w:name w:val="报告 Char Char"/>
    <w:basedOn w:val="1"/>
    <w:link w:val="829"/>
    <w:qFormat/>
    <w:uiPriority w:val="0"/>
    <w:pPr>
      <w:spacing w:line="300" w:lineRule="auto"/>
      <w:ind w:firstLine="539"/>
    </w:pPr>
    <w:rPr>
      <w:rFonts w:ascii="Times New Roman" w:hAnsi="Times New Roman"/>
      <w:sz w:val="24"/>
      <w:szCs w:val="24"/>
    </w:rPr>
  </w:style>
  <w:style w:type="character" w:customStyle="1" w:styleId="829">
    <w:name w:val="报告 Char Char Char"/>
    <w:link w:val="828"/>
    <w:qFormat/>
    <w:uiPriority w:val="0"/>
    <w:rPr>
      <w:rFonts w:ascii="Times New Roman" w:hAnsi="Times New Roman" w:eastAsia="宋体" w:cs="Times New Roman"/>
      <w:sz w:val="24"/>
      <w:szCs w:val="24"/>
    </w:rPr>
  </w:style>
  <w:style w:type="character" w:customStyle="1" w:styleId="830">
    <w:name w:val="正文文本缩进 2 Char Char"/>
    <w:uiPriority w:val="0"/>
    <w:rPr>
      <w:sz w:val="21"/>
    </w:rPr>
  </w:style>
  <w:style w:type="character" w:customStyle="1" w:styleId="831">
    <w:name w:val="oblog_text"/>
    <w:uiPriority w:val="0"/>
  </w:style>
  <w:style w:type="paragraph" w:customStyle="1" w:styleId="832">
    <w:name w:val="haydonli"/>
    <w:basedOn w:val="1"/>
    <w:qFormat/>
    <w:uiPriority w:val="0"/>
    <w:pPr>
      <w:snapToGrid w:val="0"/>
      <w:ind w:firstLine="200" w:firstLineChars="200"/>
    </w:pPr>
    <w:rPr>
      <w:rFonts w:ascii="Times New Roman" w:hAnsi="Times New Roman"/>
      <w:sz w:val="24"/>
      <w:szCs w:val="24"/>
    </w:rPr>
  </w:style>
  <w:style w:type="paragraph" w:customStyle="1" w:styleId="833">
    <w:name w:val="征文"/>
    <w:basedOn w:val="1"/>
    <w:qFormat/>
    <w:uiPriority w:val="0"/>
    <w:pPr>
      <w:adjustRightInd w:val="0"/>
      <w:snapToGrid w:val="0"/>
      <w:spacing w:line="312" w:lineRule="auto"/>
      <w:jc w:val="center"/>
      <w:textAlignment w:val="baseline"/>
    </w:pPr>
    <w:rPr>
      <w:rFonts w:ascii="宋体" w:hAnsi="宋体"/>
      <w:kern w:val="0"/>
      <w:sz w:val="21"/>
      <w:szCs w:val="20"/>
    </w:rPr>
  </w:style>
  <w:style w:type="paragraph" w:customStyle="1" w:styleId="834">
    <w:name w:val="岳阳用"/>
    <w:basedOn w:val="1"/>
    <w:qFormat/>
    <w:uiPriority w:val="0"/>
    <w:pPr>
      <w:adjustRightInd w:val="0"/>
      <w:spacing w:line="400" w:lineRule="atLeast"/>
      <w:ind w:firstLine="644"/>
      <w:jc w:val="left"/>
      <w:textAlignment w:val="baseline"/>
    </w:pPr>
    <w:rPr>
      <w:rFonts w:ascii="仿宋_GB2312" w:hAnsi="宋体"/>
      <w:spacing w:val="21"/>
      <w:kern w:val="0"/>
      <w:szCs w:val="20"/>
    </w:rPr>
  </w:style>
  <w:style w:type="paragraph" w:customStyle="1" w:styleId="835">
    <w:name w:val="正文11"/>
    <w:qFormat/>
    <w:uiPriority w:val="0"/>
    <w:pPr>
      <w:widowControl w:val="0"/>
      <w:adjustRightInd w:val="0"/>
      <w:snapToGrid w:val="0"/>
      <w:spacing w:afterLines="50" w:line="300" w:lineRule="auto"/>
      <w:ind w:firstLine="200" w:firstLineChars="200"/>
      <w:jc w:val="both"/>
    </w:pPr>
    <w:rPr>
      <w:rFonts w:ascii="宋体" w:hAnsi="Times New Roman" w:eastAsia="宋体" w:cs="Times New Roman"/>
      <w:spacing w:val="10"/>
      <w:sz w:val="24"/>
      <w:lang w:val="en-US" w:eastAsia="zh-CN" w:bidi="ar-SA"/>
    </w:rPr>
  </w:style>
  <w:style w:type="paragraph" w:customStyle="1" w:styleId="836">
    <w:name w:val="关键词"/>
    <w:basedOn w:val="1"/>
    <w:qFormat/>
    <w:uiPriority w:val="0"/>
    <w:pPr>
      <w:adjustRightInd w:val="0"/>
      <w:spacing w:line="312" w:lineRule="atLeast"/>
      <w:textAlignment w:val="baseline"/>
    </w:pPr>
    <w:rPr>
      <w:rFonts w:ascii="Times New Roman" w:hAnsi="Times New Roman" w:eastAsia="黑体"/>
      <w:kern w:val="0"/>
      <w:sz w:val="18"/>
      <w:szCs w:val="20"/>
    </w:rPr>
  </w:style>
  <w:style w:type="character" w:customStyle="1" w:styleId="837">
    <w:name w:val="detail_style1"/>
    <w:uiPriority w:val="0"/>
    <w:rPr>
      <w:sz w:val="21"/>
      <w:szCs w:val="21"/>
      <w:u w:val="none"/>
    </w:rPr>
  </w:style>
  <w:style w:type="paragraph" w:customStyle="1" w:styleId="838">
    <w:name w:val="表格文字1"/>
    <w:basedOn w:val="1"/>
    <w:next w:val="1"/>
    <w:qFormat/>
    <w:uiPriority w:val="0"/>
    <w:pPr>
      <w:adjustRightInd w:val="0"/>
      <w:snapToGrid w:val="0"/>
      <w:spacing w:line="312" w:lineRule="atLeast"/>
      <w:jc w:val="center"/>
      <w:textAlignment w:val="baseline"/>
    </w:pPr>
    <w:rPr>
      <w:rFonts w:ascii="黑体" w:hAnsi="宋体"/>
      <w:snapToGrid w:val="0"/>
      <w:kern w:val="0"/>
      <w:sz w:val="18"/>
      <w:szCs w:val="20"/>
    </w:rPr>
  </w:style>
  <w:style w:type="paragraph" w:customStyle="1" w:styleId="839">
    <w:name w:val="样式 标题 3标题 3 CharH3B Head + 宋体 小三 Char Char Char Char"/>
    <w:basedOn w:val="4"/>
    <w:link w:val="840"/>
    <w:semiHidden/>
    <w:uiPriority w:val="0"/>
    <w:pPr>
      <w:tabs>
        <w:tab w:val="left" w:pos="709"/>
        <w:tab w:val="left" w:pos="1412"/>
      </w:tabs>
      <w:adjustRightInd w:val="0"/>
      <w:snapToGrid w:val="0"/>
      <w:spacing w:before="240" w:after="240" w:line="360" w:lineRule="auto"/>
      <w:ind w:left="709" w:hanging="709"/>
    </w:pPr>
    <w:rPr>
      <w:rFonts w:ascii="宋体" w:hAnsi="宋体" w:eastAsia="黑体"/>
      <w:b w:val="0"/>
      <w:kern w:val="0"/>
      <w:sz w:val="30"/>
      <w:szCs w:val="28"/>
    </w:rPr>
  </w:style>
  <w:style w:type="character" w:customStyle="1" w:styleId="840">
    <w:name w:val="样式 标题 3标题 3 CharH3B Head + 宋体 小三 Char Char Char Char Char"/>
    <w:link w:val="839"/>
    <w:semiHidden/>
    <w:qFormat/>
    <w:uiPriority w:val="0"/>
    <w:rPr>
      <w:rFonts w:ascii="宋体" w:hAnsi="宋体" w:eastAsia="黑体" w:cs="Times New Roman"/>
      <w:bCs/>
      <w:kern w:val="0"/>
      <w:sz w:val="30"/>
      <w:szCs w:val="28"/>
    </w:rPr>
  </w:style>
  <w:style w:type="paragraph" w:customStyle="1" w:styleId="841">
    <w:name w:val="样式 标题 4 + 宋体 Char Char Char Char"/>
    <w:basedOn w:val="5"/>
    <w:link w:val="842"/>
    <w:semiHidden/>
    <w:qFormat/>
    <w:uiPriority w:val="0"/>
    <w:pPr>
      <w:tabs>
        <w:tab w:val="left" w:pos="0"/>
      </w:tabs>
      <w:adjustRightInd w:val="0"/>
      <w:snapToGrid w:val="0"/>
      <w:spacing w:before="80" w:after="80" w:line="300" w:lineRule="auto"/>
    </w:pPr>
    <w:rPr>
      <w:rFonts w:ascii="宋体" w:hAnsi="宋体"/>
      <w:b w:val="0"/>
      <w:bCs w:val="0"/>
    </w:rPr>
  </w:style>
  <w:style w:type="character" w:customStyle="1" w:styleId="842">
    <w:name w:val="样式 标题 4 + 宋体 Char Char Char Char Char"/>
    <w:link w:val="841"/>
    <w:semiHidden/>
    <w:qFormat/>
    <w:uiPriority w:val="0"/>
    <w:rPr>
      <w:rFonts w:ascii="宋体" w:hAnsi="宋体" w:eastAsia="宋体" w:cs="Times New Roman"/>
      <w:sz w:val="28"/>
      <w:szCs w:val="28"/>
    </w:rPr>
  </w:style>
  <w:style w:type="paragraph" w:customStyle="1" w:styleId="843">
    <w:name w:val="样式 标题 3 + 段前: 0 磅 段后: 0 磅"/>
    <w:basedOn w:val="4"/>
    <w:qFormat/>
    <w:uiPriority w:val="0"/>
    <w:pPr>
      <w:adjustRightInd w:val="0"/>
      <w:spacing w:before="120" w:beforeLines="50" w:after="120" w:afterLines="50" w:line="416" w:lineRule="atLeast"/>
      <w:textAlignment w:val="baseline"/>
    </w:pPr>
    <w:rPr>
      <w:rFonts w:ascii="Times New Roman" w:hAnsi="华文中宋" w:eastAsia="黑体" w:cs="宋体"/>
      <w:b w:val="0"/>
      <w:kern w:val="0"/>
      <w:sz w:val="24"/>
      <w:szCs w:val="20"/>
    </w:rPr>
  </w:style>
  <w:style w:type="paragraph" w:customStyle="1" w:styleId="844">
    <w:name w:val="样式 样式 标题 3 + 段前: 0 磅 段后: 0 磅 + 段前: 0.5 行 段后: 0.5 行"/>
    <w:basedOn w:val="843"/>
    <w:qFormat/>
    <w:uiPriority w:val="0"/>
    <w:rPr>
      <w:rFonts w:eastAsia="宋体"/>
    </w:rPr>
  </w:style>
  <w:style w:type="paragraph" w:customStyle="1" w:styleId="845">
    <w:name w:val="样式 标题 2 + Times New Roman 段前: 0 磅 段后: 0 磅"/>
    <w:basedOn w:val="3"/>
    <w:qFormat/>
    <w:uiPriority w:val="0"/>
    <w:pPr>
      <w:tabs>
        <w:tab w:val="clear" w:pos="1287"/>
      </w:tabs>
      <w:adjustRightInd w:val="0"/>
      <w:spacing w:before="0" w:beforeAutospacing="0" w:after="0" w:afterAutospacing="0" w:line="300" w:lineRule="auto"/>
      <w:textAlignment w:val="baseline"/>
    </w:pPr>
    <w:rPr>
      <w:rFonts w:eastAsia="宋体" w:cs="宋体"/>
      <w:kern w:val="0"/>
      <w:sz w:val="28"/>
      <w:szCs w:val="20"/>
    </w:rPr>
  </w:style>
  <w:style w:type="paragraph" w:customStyle="1" w:styleId="846">
    <w:name w:val="样式 正文文字缩进 + (西文) Times New Roman (中文) 黑体 左 首行缩进:  0.99 厘米"/>
    <w:basedOn w:val="32"/>
    <w:qFormat/>
    <w:uiPriority w:val="0"/>
    <w:pPr>
      <w:adjustRightInd w:val="0"/>
      <w:spacing w:after="0"/>
      <w:ind w:left="0" w:leftChars="0" w:firstLine="561"/>
      <w:jc w:val="left"/>
      <w:textAlignment w:val="baseline"/>
    </w:pPr>
    <w:rPr>
      <w:rFonts w:cs="宋体"/>
      <w:spacing w:val="5"/>
    </w:rPr>
  </w:style>
  <w:style w:type="paragraph" w:customStyle="1" w:styleId="847">
    <w:name w:val="样式 标题 2 + Times New Roman 段前: 12 磅 段后: 0 磅"/>
    <w:basedOn w:val="3"/>
    <w:qFormat/>
    <w:uiPriority w:val="0"/>
    <w:pPr>
      <w:tabs>
        <w:tab w:val="clear" w:pos="1287"/>
      </w:tabs>
      <w:adjustRightInd w:val="0"/>
      <w:spacing w:before="120" w:beforeAutospacing="0" w:after="120" w:afterLines="50" w:afterAutospacing="0" w:line="300" w:lineRule="auto"/>
      <w:textAlignment w:val="baseline"/>
    </w:pPr>
    <w:rPr>
      <w:rFonts w:cs="宋体"/>
      <w:kern w:val="0"/>
      <w:sz w:val="28"/>
      <w:szCs w:val="20"/>
    </w:rPr>
  </w:style>
  <w:style w:type="paragraph" w:customStyle="1" w:styleId="848">
    <w:name w:val="样式 样式 标题 2 + Times New Roman 段前: 12 磅 段后: 0 磅 + 段后: 0.5 行"/>
    <w:basedOn w:val="847"/>
    <w:qFormat/>
    <w:uiPriority w:val="0"/>
    <w:pPr>
      <w:spacing w:before="240"/>
    </w:pPr>
  </w:style>
  <w:style w:type="paragraph" w:customStyle="1" w:styleId="849">
    <w:name w:val="样式 (中文) 黑体 小四 左 行距: 1.5 倍行距"/>
    <w:basedOn w:val="1"/>
    <w:qFormat/>
    <w:uiPriority w:val="0"/>
    <w:pPr>
      <w:adjustRightInd w:val="0"/>
      <w:ind w:firstLine="420" w:firstLineChars="168"/>
      <w:jc w:val="left"/>
      <w:textAlignment w:val="baseline"/>
    </w:pPr>
    <w:rPr>
      <w:rFonts w:ascii="Times New Roman" w:hAnsi="Times New Roman" w:cs="宋体"/>
      <w:spacing w:val="5"/>
      <w:kern w:val="0"/>
      <w:sz w:val="24"/>
      <w:szCs w:val="20"/>
    </w:rPr>
  </w:style>
  <w:style w:type="paragraph" w:customStyle="1" w:styleId="850">
    <w:name w:val="样式 (中文) 黑体 小四 首行缩进:  0.95 厘米 段前: 6 磅 行距: 1.5 倍行距"/>
    <w:basedOn w:val="1"/>
    <w:qFormat/>
    <w:uiPriority w:val="0"/>
    <w:pPr>
      <w:adjustRightInd w:val="0"/>
      <w:spacing w:before="120"/>
      <w:ind w:firstLine="539"/>
      <w:textAlignment w:val="baseline"/>
    </w:pPr>
    <w:rPr>
      <w:rFonts w:ascii="Times New Roman" w:hAnsi="Times New Roman" w:cs="宋体"/>
      <w:spacing w:val="5"/>
      <w:kern w:val="0"/>
      <w:sz w:val="24"/>
      <w:szCs w:val="20"/>
    </w:rPr>
  </w:style>
  <w:style w:type="paragraph" w:customStyle="1" w:styleId="851">
    <w:name w:val="样式 标题 2 + Times New Roman 段前: 12 磅 段后: 0 磅1"/>
    <w:basedOn w:val="3"/>
    <w:qFormat/>
    <w:uiPriority w:val="0"/>
    <w:pPr>
      <w:tabs>
        <w:tab w:val="clear" w:pos="1287"/>
      </w:tabs>
      <w:adjustRightInd w:val="0"/>
      <w:spacing w:before="240" w:beforeAutospacing="0" w:after="120" w:afterLines="50" w:afterAutospacing="0" w:line="300" w:lineRule="auto"/>
      <w:textAlignment w:val="baseline"/>
    </w:pPr>
    <w:rPr>
      <w:rFonts w:cs="宋体"/>
      <w:kern w:val="0"/>
      <w:sz w:val="28"/>
      <w:szCs w:val="20"/>
    </w:rPr>
  </w:style>
  <w:style w:type="paragraph" w:customStyle="1" w:styleId="852">
    <w:name w:val="P"/>
    <w:basedOn w:val="1"/>
    <w:qFormat/>
    <w:uiPriority w:val="0"/>
    <w:pPr>
      <w:adjustRightInd w:val="0"/>
      <w:spacing w:line="420" w:lineRule="atLeast"/>
      <w:ind w:firstLine="567"/>
      <w:textAlignment w:val="baseline"/>
    </w:pPr>
    <w:rPr>
      <w:rFonts w:ascii="宋体" w:hAnsi="Times New Roman"/>
      <w:spacing w:val="30"/>
      <w:kern w:val="0"/>
      <w:sz w:val="24"/>
      <w:szCs w:val="20"/>
    </w:rPr>
  </w:style>
  <w:style w:type="character" w:customStyle="1" w:styleId="853">
    <w:name w:val="textpt9"/>
    <w:qFormat/>
    <w:uiPriority w:val="0"/>
  </w:style>
  <w:style w:type="character" w:customStyle="1" w:styleId="854">
    <w:name w:val="large"/>
    <w:qFormat/>
    <w:uiPriority w:val="0"/>
  </w:style>
  <w:style w:type="character" w:customStyle="1" w:styleId="855">
    <w:name w:val="ed11"/>
    <w:qFormat/>
    <w:uiPriority w:val="0"/>
    <w:rPr>
      <w:color w:val="CC0000"/>
      <w:sz w:val="21"/>
      <w:szCs w:val="21"/>
    </w:rPr>
  </w:style>
  <w:style w:type="paragraph" w:customStyle="1" w:styleId="856">
    <w:name w:val="ourfont3"/>
    <w:basedOn w:val="1"/>
    <w:qFormat/>
    <w:uiPriority w:val="0"/>
    <w:pPr>
      <w:widowControl/>
      <w:adjustRightInd w:val="0"/>
      <w:spacing w:before="100" w:beforeAutospacing="1" w:after="100" w:afterAutospacing="1" w:line="340" w:lineRule="atLeast"/>
      <w:jc w:val="left"/>
      <w:textAlignment w:val="baseline"/>
    </w:pPr>
    <w:rPr>
      <w:rFonts w:ascii="宋体" w:hAnsi="宋体" w:cs="宋体"/>
      <w:spacing w:val="20"/>
      <w:kern w:val="0"/>
      <w:sz w:val="21"/>
      <w:szCs w:val="21"/>
    </w:rPr>
  </w:style>
  <w:style w:type="paragraph" w:customStyle="1" w:styleId="857">
    <w:name w:val="样式 样式 样式 标题 3标题 33 + 段前: 0.5 行 + 段前: 0.5 行 + 段前: 6 磅 段后: 0.5 行"/>
    <w:basedOn w:val="1"/>
    <w:qFormat/>
    <w:uiPriority w:val="0"/>
    <w:pPr>
      <w:keepNext/>
      <w:keepLines/>
      <w:adjustRightInd w:val="0"/>
      <w:textAlignment w:val="baseline"/>
      <w:outlineLvl w:val="2"/>
    </w:pPr>
    <w:rPr>
      <w:rFonts w:ascii="黑体" w:hAnsi="宋体" w:eastAsia="黑体"/>
      <w:snapToGrid w:val="0"/>
      <w:color w:val="FF0000"/>
      <w:kern w:val="0"/>
      <w:sz w:val="24"/>
      <w:szCs w:val="20"/>
    </w:rPr>
  </w:style>
  <w:style w:type="character" w:customStyle="1" w:styleId="858">
    <w:name w:val="自定义正文 Char Char Char Char Char"/>
    <w:qFormat/>
    <w:uiPriority w:val="0"/>
    <w:rPr>
      <w:position w:val="-28"/>
      <w:sz w:val="28"/>
      <w:szCs w:val="28"/>
    </w:rPr>
  </w:style>
  <w:style w:type="paragraph" w:customStyle="1" w:styleId="859">
    <w:name w:val="p3"/>
    <w:basedOn w:val="1"/>
    <w:qFormat/>
    <w:uiPriority w:val="0"/>
    <w:pPr>
      <w:widowControl/>
      <w:adjustRightInd w:val="0"/>
      <w:spacing w:before="100" w:beforeAutospacing="1" w:after="100" w:afterAutospacing="1" w:line="312" w:lineRule="atLeast"/>
      <w:jc w:val="left"/>
      <w:textAlignment w:val="baseline"/>
    </w:pPr>
    <w:rPr>
      <w:rFonts w:hint="eastAsia" w:ascii="宋体" w:hAnsi="宋体"/>
      <w:color w:val="039F4B"/>
      <w:kern w:val="0"/>
      <w:sz w:val="24"/>
      <w:szCs w:val="20"/>
    </w:rPr>
  </w:style>
  <w:style w:type="paragraph" w:customStyle="1" w:styleId="860">
    <w:name w:val="报告书正文 Char Char Char Char Char Char Char Char Char Char Char"/>
    <w:basedOn w:val="1"/>
    <w:link w:val="861"/>
    <w:uiPriority w:val="0"/>
    <w:pPr>
      <w:spacing w:line="300" w:lineRule="auto"/>
      <w:ind w:firstLine="480" w:firstLineChars="200"/>
    </w:pPr>
    <w:rPr>
      <w:rFonts w:ascii="Times New Roman" w:hAnsi="Times New Roman"/>
      <w:color w:val="000000"/>
      <w:sz w:val="24"/>
      <w:szCs w:val="24"/>
    </w:rPr>
  </w:style>
  <w:style w:type="character" w:customStyle="1" w:styleId="861">
    <w:name w:val="报告书正文 Char Char Char Char Char Char Char Char Char Char Char Char"/>
    <w:link w:val="860"/>
    <w:qFormat/>
    <w:uiPriority w:val="0"/>
    <w:rPr>
      <w:rFonts w:ascii="Times New Roman" w:hAnsi="Times New Roman" w:eastAsia="宋体" w:cs="Times New Roman"/>
      <w:color w:val="000000"/>
      <w:sz w:val="24"/>
      <w:szCs w:val="24"/>
    </w:rPr>
  </w:style>
  <w:style w:type="character" w:customStyle="1" w:styleId="862">
    <w:name w:val="word1"/>
    <w:qFormat/>
    <w:uiPriority w:val="0"/>
    <w:rPr>
      <w:rFonts w:hint="default" w:ascii="ˎ̥" w:hAnsi="ˎ̥"/>
      <w:color w:val="000000"/>
      <w:sz w:val="23"/>
      <w:szCs w:val="23"/>
      <w:u w:val="none"/>
    </w:rPr>
  </w:style>
  <w:style w:type="character" w:customStyle="1" w:styleId="863">
    <w:name w:val="tpc_content1"/>
    <w:qFormat/>
    <w:uiPriority w:val="0"/>
    <w:rPr>
      <w:sz w:val="21"/>
      <w:szCs w:val="21"/>
    </w:rPr>
  </w:style>
  <w:style w:type="paragraph" w:customStyle="1" w:styleId="864">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7"/>
    <w:link w:val="865"/>
    <w:qFormat/>
    <w:uiPriority w:val="0"/>
    <w:pPr>
      <w:keepNext w:val="0"/>
      <w:keepLines w:val="0"/>
      <w:adjustRightInd w:val="0"/>
      <w:snapToGrid w:val="0"/>
      <w:spacing w:before="0" w:after="0" w:line="360" w:lineRule="auto"/>
      <w:ind w:firstLine="482" w:firstLineChars="200"/>
    </w:pPr>
    <w:rPr>
      <w:rFonts w:ascii="宋体" w:hAnsi="宋体" w:eastAsia="仿宋_GB2312"/>
    </w:rPr>
  </w:style>
  <w:style w:type="character" w:customStyle="1" w:styleId="865">
    <w:name w:val="样式 标题 6标题 6 Char Char Char Char Char Char Char Char Char + 加粗 Char Char Char Char Char Char Char Char Char Char Char Char Char Char Char Char Char Char Char Char Char Char Char Char Char Char Char Char Char Char Char Char Char Char Char Char Char  Char3"/>
    <w:link w:val="864"/>
    <w:qFormat/>
    <w:uiPriority w:val="0"/>
    <w:rPr>
      <w:rFonts w:ascii="宋体" w:hAnsi="宋体" w:eastAsia="仿宋_GB2312" w:cs="Times New Roman"/>
      <w:b/>
      <w:bCs/>
      <w:sz w:val="24"/>
      <w:szCs w:val="24"/>
    </w:rPr>
  </w:style>
  <w:style w:type="character" w:customStyle="1" w:styleId="866">
    <w:name w:val="title1"/>
    <w:qFormat/>
    <w:uiPriority w:val="0"/>
  </w:style>
  <w:style w:type="character" w:customStyle="1" w:styleId="867">
    <w:name w:val="size13"/>
    <w:qFormat/>
    <w:uiPriority w:val="0"/>
  </w:style>
  <w:style w:type="character" w:customStyle="1" w:styleId="868">
    <w:name w:val="普通文字 Char Char1 Char Char"/>
    <w:uiPriority w:val="0"/>
    <w:rPr>
      <w:rFonts w:hAnsi="Courier New"/>
      <w:sz w:val="21"/>
    </w:rPr>
  </w:style>
  <w:style w:type="character" w:customStyle="1" w:styleId="869">
    <w:name w:val="标题 4 Char Char Char Char Char Char Char Char Char Ch"/>
    <w:qFormat/>
    <w:uiPriority w:val="0"/>
    <w:rPr>
      <w:rFonts w:ascii="黑体" w:eastAsia="黑体"/>
      <w:b/>
      <w:bCs/>
      <w:spacing w:val="5"/>
      <w:szCs w:val="28"/>
    </w:rPr>
  </w:style>
  <w:style w:type="character" w:customStyle="1" w:styleId="870">
    <w:name w:val="纯文本21"/>
    <w:uiPriority w:val="0"/>
    <w:rPr>
      <w:rFonts w:hAnsi="Courier New" w:cs="Courier New"/>
      <w:sz w:val="21"/>
      <w:szCs w:val="21"/>
    </w:rPr>
  </w:style>
  <w:style w:type="character" w:customStyle="1" w:styleId="871">
    <w:name w:val="style151"/>
    <w:qFormat/>
    <w:uiPriority w:val="0"/>
    <w:rPr>
      <w:sz w:val="16"/>
      <w:szCs w:val="16"/>
    </w:rPr>
  </w:style>
  <w:style w:type="paragraph" w:customStyle="1" w:styleId="872">
    <w:name w:val="黑宋体"/>
    <w:basedOn w:val="5"/>
    <w:qFormat/>
    <w:uiPriority w:val="0"/>
    <w:pPr>
      <w:tabs>
        <w:tab w:val="left" w:pos="0"/>
      </w:tabs>
      <w:spacing w:before="80" w:after="80" w:line="360" w:lineRule="auto"/>
      <w:textAlignment w:val="baseline"/>
      <w:outlineLvl w:val="9"/>
    </w:pPr>
    <w:rPr>
      <w:rFonts w:ascii="宋体" w:hAnsi="宋体"/>
      <w:b w:val="0"/>
      <w:bCs w:val="0"/>
      <w:snapToGrid w:val="0"/>
      <w:color w:val="000000"/>
    </w:rPr>
  </w:style>
  <w:style w:type="character" w:customStyle="1" w:styleId="873">
    <w:name w:val="ourfont2"/>
    <w:qFormat/>
    <w:uiPriority w:val="0"/>
  </w:style>
  <w:style w:type="paragraph" w:customStyle="1" w:styleId="874">
    <w:name w:val="报告无缩进"/>
    <w:basedOn w:val="810"/>
    <w:uiPriority w:val="0"/>
    <w:pPr>
      <w:ind w:firstLine="0" w:firstLineChars="0"/>
    </w:pPr>
  </w:style>
  <w:style w:type="paragraph" w:customStyle="1" w:styleId="875">
    <w:name w:val="样式 港珠澳正文 + 首行缩进:  2 字符 段前: 1 行 段后: 1 行"/>
    <w:basedOn w:val="1"/>
    <w:qFormat/>
    <w:uiPriority w:val="0"/>
    <w:pPr>
      <w:ind w:firstLine="200" w:firstLineChars="200"/>
      <w:jc w:val="left"/>
    </w:pPr>
    <w:rPr>
      <w:rFonts w:ascii="Times New Roman" w:hAnsi="Times New Roman" w:cs="宋体"/>
      <w:color w:val="000000"/>
      <w:sz w:val="24"/>
      <w:szCs w:val="20"/>
    </w:rPr>
  </w:style>
  <w:style w:type="character" w:customStyle="1" w:styleId="876">
    <w:name w:val="报告书正文 Char Char Char Char Char Char Char Char Char Char Char Char2"/>
    <w:qFormat/>
    <w:uiPriority w:val="0"/>
    <w:rPr>
      <w:color w:val="000000"/>
    </w:rPr>
  </w:style>
  <w:style w:type="paragraph" w:customStyle="1" w:styleId="877">
    <w:name w:val="正文 + 小五"/>
    <w:basedOn w:val="1"/>
    <w:qFormat/>
    <w:uiPriority w:val="0"/>
    <w:pPr>
      <w:shd w:val="clear" w:color="auto" w:fill="000080"/>
      <w:adjustRightInd w:val="0"/>
      <w:spacing w:line="312" w:lineRule="atLeast"/>
      <w:jc w:val="center"/>
      <w:textAlignment w:val="baseline"/>
    </w:pPr>
    <w:rPr>
      <w:rFonts w:ascii="Times New Roman" w:hAnsi="Times New Roman"/>
      <w:kern w:val="0"/>
      <w:sz w:val="18"/>
      <w:szCs w:val="18"/>
    </w:rPr>
  </w:style>
  <w:style w:type="paragraph" w:customStyle="1" w:styleId="878">
    <w:name w:val="样式 标题 3 + 左侧:  0 厘米 首行缩进:  0 厘米"/>
    <w:basedOn w:val="4"/>
    <w:qFormat/>
    <w:uiPriority w:val="0"/>
    <w:pPr>
      <w:tabs>
        <w:tab w:val="left" w:pos="720"/>
      </w:tabs>
      <w:spacing w:before="120" w:after="0" w:line="360" w:lineRule="auto"/>
      <w:ind w:left="720" w:hanging="720"/>
    </w:pPr>
    <w:rPr>
      <w:rFonts w:ascii="Times New Roman" w:hAnsi="华文中宋" w:eastAsia="华文中宋" w:cs="宋体"/>
      <w:b w:val="0"/>
      <w:kern w:val="0"/>
      <w:sz w:val="28"/>
      <w:szCs w:val="20"/>
    </w:rPr>
  </w:style>
  <w:style w:type="paragraph" w:customStyle="1" w:styleId="879">
    <w:name w:val="样式 样式 标题 4款标题1.1.1.1标题 4XW Char标题 4XW Char Char标题 4 Char标题 4XW....."/>
    <w:basedOn w:val="1"/>
    <w:qFormat/>
    <w:uiPriority w:val="0"/>
    <w:pPr>
      <w:keepNext/>
      <w:keepLines/>
      <w:spacing w:before="60" w:after="60"/>
      <w:ind w:left="855" w:hanging="360"/>
      <w:outlineLvl w:val="3"/>
    </w:pPr>
    <w:rPr>
      <w:rFonts w:ascii="Times New Roman" w:hAnsi="Times New Roman" w:cs="宋体"/>
      <w:b/>
      <w:bCs/>
      <w:kern w:val="44"/>
      <w:sz w:val="24"/>
      <w:szCs w:val="20"/>
      <w:lang w:val="fr-FR"/>
    </w:rPr>
  </w:style>
  <w:style w:type="paragraph" w:customStyle="1" w:styleId="880">
    <w:name w:val="样式 标题 2 + 段后: 0.5 行"/>
    <w:basedOn w:val="3"/>
    <w:qFormat/>
    <w:uiPriority w:val="0"/>
    <w:pPr>
      <w:tabs>
        <w:tab w:val="clear" w:pos="1287"/>
      </w:tabs>
      <w:spacing w:before="180" w:beforeAutospacing="0" w:after="120" w:afterLines="50" w:afterAutospacing="0"/>
      <w:ind w:left="180" w:hanging="180"/>
    </w:pPr>
    <w:rPr>
      <w:rFonts w:ascii="Arial" w:hAnsi="Arial" w:cs="宋体"/>
      <w:b w:val="0"/>
      <w:bCs w:val="0"/>
      <w:color w:val="000000"/>
      <w:sz w:val="30"/>
      <w:szCs w:val="20"/>
    </w:rPr>
  </w:style>
  <w:style w:type="paragraph" w:customStyle="1" w:styleId="881">
    <w:name w:val="样式 标题 3标题 3XW标题 3XW Char标题 3XW Char Char Char Char标题 3XW Cha...1"/>
    <w:basedOn w:val="4"/>
    <w:qFormat/>
    <w:uiPriority w:val="0"/>
    <w:pPr>
      <w:spacing w:before="0" w:after="120" w:line="360" w:lineRule="auto"/>
    </w:pPr>
    <w:rPr>
      <w:rFonts w:ascii="宋体" w:hAnsi="华文中宋" w:eastAsia="黑体"/>
      <w:b w:val="0"/>
      <w:bCs w:val="0"/>
      <w:color w:val="000000"/>
      <w:kern w:val="0"/>
      <w:sz w:val="28"/>
      <w:szCs w:val="20"/>
    </w:rPr>
  </w:style>
  <w:style w:type="paragraph" w:customStyle="1" w:styleId="882">
    <w:name w:val="样式 标题 3标题 3XW标题 3XW Char标题 3XW Char Char Char Char标题 3XW Cha...2"/>
    <w:basedOn w:val="4"/>
    <w:qFormat/>
    <w:uiPriority w:val="0"/>
    <w:pPr>
      <w:spacing w:before="0" w:after="0" w:line="360" w:lineRule="auto"/>
    </w:pPr>
    <w:rPr>
      <w:rFonts w:ascii="Times New Roman" w:hAnsi="华文中宋" w:cs="宋体"/>
      <w:b w:val="0"/>
      <w:bCs w:val="0"/>
      <w:color w:val="000000"/>
      <w:kern w:val="0"/>
      <w:sz w:val="28"/>
      <w:szCs w:val="20"/>
    </w:rPr>
  </w:style>
  <w:style w:type="paragraph" w:customStyle="1" w:styleId="883">
    <w:name w:val="样式 标题 4款标题1.1.1.1标题 4XW Char标题 4XW Char Char标题 4 Char标题 4XW..."/>
    <w:basedOn w:val="5"/>
    <w:qFormat/>
    <w:uiPriority w:val="0"/>
    <w:pPr>
      <w:tabs>
        <w:tab w:val="left" w:pos="0"/>
      </w:tabs>
      <w:adjustRightInd w:val="0"/>
      <w:spacing w:before="80" w:after="80" w:line="360" w:lineRule="auto"/>
      <w:ind w:left="855" w:hanging="360"/>
      <w:jc w:val="left"/>
      <w:textAlignment w:val="baseline"/>
    </w:pPr>
    <w:rPr>
      <w:rFonts w:ascii="宋体" w:hAnsi="宋体" w:cs="宋体"/>
      <w:b w:val="0"/>
      <w:bCs w:val="0"/>
      <w:spacing w:val="5"/>
      <w:kern w:val="44"/>
      <w:szCs w:val="20"/>
    </w:rPr>
  </w:style>
  <w:style w:type="paragraph" w:customStyle="1" w:styleId="884">
    <w:name w:val="样式1 Char Char Char Char Char Char Char"/>
    <w:basedOn w:val="1"/>
    <w:link w:val="885"/>
    <w:qFormat/>
    <w:uiPriority w:val="0"/>
    <w:pPr>
      <w:spacing w:line="560" w:lineRule="atLeast"/>
      <w:ind w:firstLine="480" w:firstLineChars="200"/>
    </w:pPr>
    <w:rPr>
      <w:rFonts w:ascii="宋体" w:hAnsi="宋体"/>
      <w:sz w:val="24"/>
      <w:szCs w:val="24"/>
    </w:rPr>
  </w:style>
  <w:style w:type="character" w:customStyle="1" w:styleId="885">
    <w:name w:val="样式1 Char Char Char Char Char Char Char Char"/>
    <w:link w:val="884"/>
    <w:qFormat/>
    <w:uiPriority w:val="0"/>
    <w:rPr>
      <w:rFonts w:ascii="宋体" w:hAnsi="宋体" w:eastAsia="宋体" w:cs="Times New Roman"/>
      <w:sz w:val="24"/>
      <w:szCs w:val="24"/>
    </w:rPr>
  </w:style>
  <w:style w:type="paragraph" w:customStyle="1" w:styleId="886">
    <w:name w:val="报告书正文 Char Char Char Char Char Char Char Char Char"/>
    <w:basedOn w:val="1"/>
    <w:qFormat/>
    <w:uiPriority w:val="0"/>
    <w:pPr>
      <w:spacing w:line="300" w:lineRule="auto"/>
      <w:ind w:firstLine="480" w:firstLineChars="200"/>
    </w:pPr>
    <w:rPr>
      <w:rFonts w:ascii="Times New Roman" w:hAnsi="Times New Roman"/>
      <w:color w:val="000000"/>
      <w:sz w:val="24"/>
      <w:szCs w:val="24"/>
    </w:rPr>
  </w:style>
  <w:style w:type="paragraph" w:customStyle="1" w:styleId="887">
    <w:name w:val="样式1 Char Char Char Char Char"/>
    <w:basedOn w:val="1"/>
    <w:qFormat/>
    <w:uiPriority w:val="0"/>
    <w:pPr>
      <w:spacing w:line="560" w:lineRule="atLeast"/>
      <w:ind w:firstLine="480" w:firstLineChars="200"/>
    </w:pPr>
    <w:rPr>
      <w:rFonts w:ascii="宋体" w:hAnsi="宋体"/>
      <w:sz w:val="24"/>
      <w:szCs w:val="24"/>
    </w:rPr>
  </w:style>
  <w:style w:type="paragraph" w:customStyle="1" w:styleId="888">
    <w:name w:val="报告书正文 Char Char Char Char Char Char Char Char Char1"/>
    <w:basedOn w:val="1"/>
    <w:qFormat/>
    <w:uiPriority w:val="0"/>
    <w:pPr>
      <w:spacing w:line="300" w:lineRule="auto"/>
      <w:ind w:firstLine="480" w:firstLineChars="200"/>
    </w:pPr>
    <w:rPr>
      <w:rFonts w:ascii="Times New Roman" w:hAnsi="Times New Roman"/>
      <w:color w:val="000000"/>
      <w:sz w:val="24"/>
      <w:szCs w:val="24"/>
    </w:rPr>
  </w:style>
  <w:style w:type="paragraph" w:customStyle="1" w:styleId="889">
    <w:name w:val="样式1 Char Char Char Char1"/>
    <w:basedOn w:val="1"/>
    <w:uiPriority w:val="0"/>
    <w:pPr>
      <w:spacing w:line="560" w:lineRule="atLeast"/>
      <w:ind w:firstLine="480" w:firstLineChars="200"/>
    </w:pPr>
    <w:rPr>
      <w:rFonts w:ascii="宋体" w:hAnsi="宋体"/>
      <w:sz w:val="24"/>
      <w:szCs w:val="24"/>
    </w:rPr>
  </w:style>
  <w:style w:type="paragraph" w:customStyle="1" w:styleId="890">
    <w:name w:val="样式1 Char Char"/>
    <w:basedOn w:val="1"/>
    <w:qFormat/>
    <w:uiPriority w:val="0"/>
    <w:pPr>
      <w:spacing w:line="560" w:lineRule="atLeast"/>
      <w:ind w:firstLine="480" w:firstLineChars="200"/>
    </w:pPr>
    <w:rPr>
      <w:rFonts w:ascii="宋体" w:hAnsi="宋体"/>
      <w:sz w:val="24"/>
      <w:szCs w:val="24"/>
    </w:rPr>
  </w:style>
  <w:style w:type="paragraph" w:customStyle="1" w:styleId="891">
    <w:name w:val="Char Char Char Char Char Char Char Char Char Char Char Char Char Char Char"/>
    <w:basedOn w:val="1"/>
    <w:qFormat/>
    <w:uiPriority w:val="0"/>
    <w:pPr>
      <w:ind w:firstLine="200" w:firstLineChars="200"/>
    </w:pPr>
    <w:rPr>
      <w:rFonts w:ascii="宋体" w:hAnsi="宋体" w:cs="宋体"/>
      <w:sz w:val="24"/>
      <w:szCs w:val="24"/>
    </w:rPr>
  </w:style>
  <w:style w:type="paragraph" w:customStyle="1" w:styleId="892">
    <w:name w:val="报告书正文 Char Char Char Char Char Char Char Char Char Char Char Char Char Char"/>
    <w:basedOn w:val="1"/>
    <w:link w:val="893"/>
    <w:qFormat/>
    <w:uiPriority w:val="0"/>
    <w:pPr>
      <w:spacing w:line="300" w:lineRule="auto"/>
      <w:ind w:firstLine="480" w:firstLineChars="200"/>
    </w:pPr>
    <w:rPr>
      <w:rFonts w:ascii="Times New Roman" w:hAnsi="Times New Roman"/>
      <w:color w:val="000000"/>
      <w:sz w:val="24"/>
      <w:szCs w:val="24"/>
    </w:rPr>
  </w:style>
  <w:style w:type="character" w:customStyle="1" w:styleId="893">
    <w:name w:val="报告书正文 Char Char Char Char Char Char Char Char Char Char Char Char Char Char Char"/>
    <w:link w:val="892"/>
    <w:uiPriority w:val="0"/>
    <w:rPr>
      <w:rFonts w:ascii="Times New Roman" w:hAnsi="Times New Roman" w:eastAsia="宋体" w:cs="Times New Roman"/>
      <w:color w:val="000000"/>
      <w:sz w:val="24"/>
      <w:szCs w:val="24"/>
    </w:rPr>
  </w:style>
  <w:style w:type="character" w:customStyle="1" w:styleId="894">
    <w:name w:val="style41"/>
    <w:uiPriority w:val="0"/>
    <w:rPr>
      <w:sz w:val="18"/>
      <w:szCs w:val="18"/>
    </w:rPr>
  </w:style>
  <w:style w:type="paragraph" w:customStyle="1" w:styleId="895">
    <w:name w:val="自定义正文 Char Char Char Char Char Char Char Char Char Char Char Char Char Char"/>
    <w:link w:val="896"/>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896">
    <w:name w:val="自定义正文 Char Char Char Char Char Char Char Char Char Char Char Char Char Char Char"/>
    <w:link w:val="895"/>
    <w:qFormat/>
    <w:uiPriority w:val="0"/>
    <w:rPr>
      <w:rFonts w:ascii="Times New Roman" w:hAnsi="Times New Roman" w:eastAsia="宋体" w:cs="Times New Roman"/>
      <w:position w:val="-28"/>
      <w:sz w:val="28"/>
      <w:szCs w:val="28"/>
    </w:rPr>
  </w:style>
  <w:style w:type="character" w:customStyle="1" w:styleId="897">
    <w:name w:val="p2"/>
    <w:qFormat/>
    <w:uiPriority w:val="0"/>
  </w:style>
  <w:style w:type="character" w:customStyle="1" w:styleId="898">
    <w:name w:val="p1"/>
    <w:qFormat/>
    <w:uiPriority w:val="0"/>
  </w:style>
  <w:style w:type="paragraph" w:customStyle="1" w:styleId="899">
    <w:name w:val="报告书正文 Char Char Char Char Char Char Char Char2"/>
    <w:basedOn w:val="1"/>
    <w:qFormat/>
    <w:uiPriority w:val="0"/>
    <w:pPr>
      <w:spacing w:line="300" w:lineRule="auto"/>
      <w:ind w:firstLine="480" w:firstLineChars="200"/>
    </w:pPr>
    <w:rPr>
      <w:rFonts w:ascii="Times New Roman" w:hAnsi="Times New Roman"/>
      <w:color w:val="000000"/>
      <w:sz w:val="24"/>
      <w:szCs w:val="24"/>
    </w:rPr>
  </w:style>
  <w:style w:type="paragraph" w:customStyle="1" w:styleId="900">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901">
    <w:name w:val="标4 Char Char Char Char"/>
    <w:link w:val="902"/>
    <w:qFormat/>
    <w:uiPriority w:val="0"/>
    <w:pPr>
      <w:spacing w:line="560" w:lineRule="atLeast"/>
      <w:jc w:val="both"/>
      <w:outlineLvl w:val="3"/>
    </w:pPr>
    <w:rPr>
      <w:rFonts w:ascii="宋体" w:hAnsi="宋体" w:eastAsia="宋体" w:cs="Times New Roman"/>
      <w:kern w:val="2"/>
      <w:sz w:val="24"/>
      <w:szCs w:val="30"/>
      <w:lang w:val="en-US" w:eastAsia="zh-CN" w:bidi="ar-SA"/>
    </w:rPr>
  </w:style>
  <w:style w:type="character" w:customStyle="1" w:styleId="902">
    <w:name w:val="标4 Char Char Char Char Char"/>
    <w:link w:val="901"/>
    <w:qFormat/>
    <w:uiPriority w:val="0"/>
    <w:rPr>
      <w:rFonts w:ascii="宋体" w:hAnsi="宋体" w:eastAsia="宋体" w:cs="Times New Roman"/>
      <w:sz w:val="24"/>
      <w:szCs w:val="30"/>
    </w:rPr>
  </w:style>
  <w:style w:type="character" w:customStyle="1" w:styleId="903">
    <w:name w:val="标题3 Char Char1 Char"/>
    <w:qFormat/>
    <w:uiPriority w:val="0"/>
    <w:rPr>
      <w:rFonts w:ascii="黑体" w:eastAsia="黑体"/>
      <w:b/>
      <w:bCs/>
      <w:szCs w:val="32"/>
    </w:rPr>
  </w:style>
  <w:style w:type="character" w:customStyle="1" w:styleId="904">
    <w:name w:val="段前: 8 磅2 Char C"/>
    <w:qFormat/>
    <w:uiPriority w:val="0"/>
    <w:rPr>
      <w:rFonts w:ascii="黑体" w:eastAsia="黑体"/>
      <w:b/>
      <w:bCs/>
      <w:spacing w:val="5"/>
      <w:szCs w:val="28"/>
    </w:rPr>
  </w:style>
  <w:style w:type="paragraph" w:customStyle="1" w:styleId="905">
    <w:name w:val="自定义正文 Char Char Char Char Char Char Char Char Char Char"/>
    <w:link w:val="1221"/>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906">
    <w:name w:val="标4"/>
    <w:qFormat/>
    <w:uiPriority w:val="0"/>
    <w:pPr>
      <w:spacing w:line="560" w:lineRule="atLeast"/>
      <w:jc w:val="both"/>
      <w:outlineLvl w:val="3"/>
    </w:pPr>
    <w:rPr>
      <w:rFonts w:ascii="宋体" w:hAnsi="宋体" w:eastAsia="宋体" w:cs="Times New Roman"/>
      <w:kern w:val="2"/>
      <w:sz w:val="24"/>
      <w:szCs w:val="30"/>
      <w:lang w:val="en-US" w:eastAsia="zh-CN" w:bidi="ar-SA"/>
    </w:rPr>
  </w:style>
  <w:style w:type="character" w:customStyle="1" w:styleId="907">
    <w:name w:val="标题41 Char Char"/>
    <w:qFormat/>
    <w:uiPriority w:val="0"/>
    <w:rPr>
      <w:rFonts w:ascii="黑体" w:eastAsia="黑体"/>
      <w:b/>
      <w:bCs/>
      <w:szCs w:val="32"/>
    </w:rPr>
  </w:style>
  <w:style w:type="character" w:customStyle="1" w:styleId="908">
    <w:name w:val="样式 标题 3标题 3 CharH3B Head + 宋体 小三 Char Char Char Char Char2"/>
    <w:qFormat/>
    <w:uiPriority w:val="0"/>
    <w:rPr>
      <w:rFonts w:eastAsia="黑体"/>
      <w:bCs/>
      <w:sz w:val="30"/>
      <w:szCs w:val="28"/>
    </w:rPr>
  </w:style>
  <w:style w:type="character" w:customStyle="1" w:styleId="909">
    <w:name w:val="样式 标题 4 + 宋体 Char Char Char Char Char2"/>
    <w:qFormat/>
    <w:uiPriority w:val="0"/>
    <w:rPr>
      <w:bCs/>
    </w:rPr>
  </w:style>
  <w:style w:type="character" w:customStyle="1" w:styleId="910">
    <w:name w:val="自定义正文 Char Char Char Char Char Char"/>
    <w:qFormat/>
    <w:uiPriority w:val="0"/>
    <w:rPr>
      <w:position w:val="-28"/>
      <w:sz w:val="28"/>
      <w:szCs w:val="28"/>
    </w:rPr>
  </w:style>
  <w:style w:type="character" w:customStyle="1" w:styleId="911">
    <w:name w:val="样式1 Char Char Char Char Char Char Char Char2"/>
    <w:qFormat/>
    <w:uiPriority w:val="0"/>
  </w:style>
  <w:style w:type="character" w:customStyle="1" w:styleId="912">
    <w:name w:val="报告书正文 Char Char Char Char Char Char Char Char Char Char Char Char Char Char Char2"/>
    <w:qFormat/>
    <w:uiPriority w:val="0"/>
    <w:rPr>
      <w:color w:val="000000"/>
    </w:rPr>
  </w:style>
  <w:style w:type="character" w:customStyle="1" w:styleId="913">
    <w:name w:val="自定义正文 Char Char Char Char Char Char Char Char Char Char Char Char Char Char Char2"/>
    <w:qFormat/>
    <w:uiPriority w:val="0"/>
    <w:rPr>
      <w:position w:val="-28"/>
      <w:sz w:val="28"/>
      <w:szCs w:val="28"/>
    </w:rPr>
  </w:style>
  <w:style w:type="character" w:customStyle="1" w:styleId="914">
    <w:name w:val="标4 Char Char Char Char Char2"/>
    <w:uiPriority w:val="0"/>
    <w:rPr>
      <w:szCs w:val="30"/>
    </w:rPr>
  </w:style>
  <w:style w:type="paragraph" w:customStyle="1" w:styleId="915">
    <w:name w:val="style11"/>
    <w:basedOn w:val="1"/>
    <w:qFormat/>
    <w:uiPriority w:val="0"/>
    <w:pPr>
      <w:widowControl/>
      <w:spacing w:before="100" w:beforeAutospacing="1" w:after="100" w:afterAutospacing="1" w:line="240" w:lineRule="auto"/>
      <w:jc w:val="left"/>
    </w:pPr>
    <w:rPr>
      <w:rFonts w:ascii="宋体" w:hAnsi="宋体" w:cs="宋体"/>
      <w:color w:val="000000"/>
      <w:kern w:val="0"/>
      <w:sz w:val="18"/>
      <w:szCs w:val="18"/>
    </w:rPr>
  </w:style>
  <w:style w:type="character" w:customStyle="1" w:styleId="916">
    <w:name w:val="style2471"/>
    <w:qFormat/>
    <w:uiPriority w:val="0"/>
    <w:rPr>
      <w:color w:val="666666"/>
      <w:sz w:val="18"/>
      <w:szCs w:val="18"/>
    </w:rPr>
  </w:style>
  <w:style w:type="paragraph" w:customStyle="1" w:styleId="917">
    <w:name w:val="Char Char Char2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918">
    <w:name w:val="表格11"/>
    <w:basedOn w:val="1"/>
    <w:link w:val="942"/>
    <w:qFormat/>
    <w:uiPriority w:val="0"/>
    <w:pPr>
      <w:snapToGrid w:val="0"/>
      <w:spacing w:line="240" w:lineRule="auto"/>
      <w:jc w:val="center"/>
    </w:pPr>
    <w:rPr>
      <w:rFonts w:ascii="宋体" w:hAnsi="宋体" w:cs="宋体"/>
      <w:kern w:val="0"/>
      <w:sz w:val="21"/>
      <w:szCs w:val="21"/>
    </w:rPr>
  </w:style>
  <w:style w:type="paragraph" w:customStyle="1" w:styleId="919">
    <w:name w:val="样式 样式 宋体 段前: 0.5 行 行距: 固定值 18 磅 + 首行缩进:  2 字符"/>
    <w:basedOn w:val="1"/>
    <w:link w:val="936"/>
    <w:qFormat/>
    <w:uiPriority w:val="0"/>
    <w:pPr>
      <w:ind w:firstLine="480" w:firstLineChars="200"/>
    </w:pPr>
    <w:rPr>
      <w:rFonts w:ascii="宋体" w:hAnsi="宋体" w:cs="宋体"/>
      <w:snapToGrid w:val="0"/>
      <w:color w:val="000000"/>
      <w:sz w:val="24"/>
      <w:szCs w:val="24"/>
      <w:lang w:val="en-GB"/>
    </w:rPr>
  </w:style>
  <w:style w:type="paragraph" w:customStyle="1" w:styleId="920">
    <w:name w:val="Char Char Char Char Char Char Char Char Char Char Char Char Char Char Char Char Char Char Char Char Char Char"/>
    <w:basedOn w:val="1"/>
    <w:next w:val="1"/>
    <w:qFormat/>
    <w:uiPriority w:val="0"/>
    <w:pPr>
      <w:pBdr>
        <w:right w:val="single" w:color="auto" w:sz="12" w:space="4"/>
      </w:pBdr>
      <w:ind w:firstLine="200" w:firstLineChars="200"/>
    </w:pPr>
    <w:rPr>
      <w:rFonts w:ascii="宋体" w:hAnsi="宋体" w:cs="宋体"/>
      <w:sz w:val="24"/>
      <w:szCs w:val="24"/>
    </w:rPr>
  </w:style>
  <w:style w:type="paragraph" w:customStyle="1" w:styleId="921">
    <w:name w:val="Char Char Char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character" w:customStyle="1" w:styleId="922">
    <w:name w:val="sh141"/>
    <w:qFormat/>
    <w:uiPriority w:val="0"/>
    <w:rPr>
      <w:color w:val="2B2B2B"/>
      <w:sz w:val="21"/>
      <w:szCs w:val="21"/>
    </w:rPr>
  </w:style>
  <w:style w:type="paragraph" w:customStyle="1" w:styleId="923">
    <w:name w:val="报告书正文 Char Char Char"/>
    <w:basedOn w:val="1"/>
    <w:uiPriority w:val="0"/>
    <w:pPr>
      <w:spacing w:line="300" w:lineRule="auto"/>
      <w:ind w:firstLine="480" w:firstLineChars="200"/>
    </w:pPr>
    <w:rPr>
      <w:rFonts w:ascii="宋体" w:hAnsi="宋体"/>
      <w:sz w:val="24"/>
      <w:szCs w:val="24"/>
    </w:rPr>
  </w:style>
  <w:style w:type="character" w:customStyle="1" w:styleId="924">
    <w:name w:val="加粗正文 Char Char Char Char"/>
    <w:qFormat/>
    <w:uiPriority w:val="0"/>
    <w:rPr>
      <w:rFonts w:hAnsi="Courier New" w:cs="Courier New"/>
      <w:sz w:val="21"/>
      <w:szCs w:val="21"/>
    </w:rPr>
  </w:style>
  <w:style w:type="paragraph" w:customStyle="1" w:styleId="925">
    <w:name w:val="Char Char Char3 Char Char Char1"/>
    <w:basedOn w:val="1"/>
    <w:qFormat/>
    <w:uiPriority w:val="0"/>
    <w:pPr>
      <w:ind w:firstLine="200" w:firstLineChars="200"/>
    </w:pPr>
    <w:rPr>
      <w:rFonts w:ascii="宋体" w:hAnsi="宋体" w:cs="宋体"/>
      <w:sz w:val="24"/>
      <w:szCs w:val="24"/>
    </w:rPr>
  </w:style>
  <w:style w:type="paragraph" w:customStyle="1" w:styleId="926">
    <w:name w:val="Char Char Char3 Char Char Char2"/>
    <w:basedOn w:val="1"/>
    <w:qFormat/>
    <w:uiPriority w:val="0"/>
    <w:pPr>
      <w:ind w:firstLine="200" w:firstLineChars="200"/>
    </w:pPr>
    <w:rPr>
      <w:rFonts w:ascii="宋体" w:hAnsi="宋体" w:cs="宋体"/>
      <w:sz w:val="24"/>
      <w:szCs w:val="24"/>
    </w:rPr>
  </w:style>
  <w:style w:type="paragraph" w:customStyle="1" w:styleId="927">
    <w:name w:val="Char Char Char3 Char Char Char3"/>
    <w:basedOn w:val="1"/>
    <w:uiPriority w:val="0"/>
    <w:pPr>
      <w:ind w:firstLine="200" w:firstLineChars="200"/>
    </w:pPr>
    <w:rPr>
      <w:rFonts w:ascii="宋体" w:hAnsi="宋体" w:cs="宋体"/>
      <w:sz w:val="24"/>
      <w:szCs w:val="24"/>
    </w:rPr>
  </w:style>
  <w:style w:type="paragraph" w:customStyle="1" w:styleId="928">
    <w:name w:val="报告书正文 Char Char Char Char"/>
    <w:basedOn w:val="1"/>
    <w:qFormat/>
    <w:uiPriority w:val="0"/>
    <w:pPr>
      <w:spacing w:line="300" w:lineRule="auto"/>
      <w:ind w:firstLine="480" w:firstLineChars="200"/>
    </w:pPr>
    <w:rPr>
      <w:rFonts w:ascii="Times New Roman" w:hAnsi="Times New Roman"/>
      <w:color w:val="000000"/>
      <w:sz w:val="24"/>
      <w:szCs w:val="24"/>
    </w:rPr>
  </w:style>
  <w:style w:type="character" w:customStyle="1" w:styleId="929">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uiPriority w:val="0"/>
    <w:rPr>
      <w:rFonts w:eastAsia="仿宋_GB2312"/>
      <w:b/>
      <w:bCs/>
    </w:rPr>
  </w:style>
  <w:style w:type="paragraph" w:customStyle="1" w:styleId="930">
    <w:name w:val="报告书正文 Char Char Char Char Char"/>
    <w:basedOn w:val="1"/>
    <w:link w:val="1035"/>
    <w:qFormat/>
    <w:uiPriority w:val="0"/>
    <w:pPr>
      <w:spacing w:line="300" w:lineRule="auto"/>
      <w:ind w:firstLine="480" w:firstLineChars="200"/>
    </w:pPr>
    <w:rPr>
      <w:rFonts w:ascii="宋体" w:hAnsi="宋体"/>
      <w:sz w:val="24"/>
      <w:szCs w:val="24"/>
    </w:rPr>
  </w:style>
  <w:style w:type="paragraph" w:customStyle="1" w:styleId="931">
    <w:name w:val="Char Char Char Char Char Char1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932">
    <w:name w:val="Char Char Char3 Char Char Char4 Char Char Char"/>
    <w:basedOn w:val="1"/>
    <w:qFormat/>
    <w:uiPriority w:val="0"/>
    <w:pPr>
      <w:ind w:firstLine="200" w:firstLineChars="200"/>
    </w:pPr>
    <w:rPr>
      <w:rFonts w:ascii="宋体" w:hAnsi="宋体" w:cs="宋体"/>
      <w:sz w:val="24"/>
      <w:szCs w:val="24"/>
    </w:rPr>
  </w:style>
  <w:style w:type="paragraph" w:customStyle="1" w:styleId="933">
    <w:name w:val="Char Char Char Char Char Char1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character" w:customStyle="1" w:styleId="934">
    <w:name w:val="Char10 Char Char5"/>
    <w:qFormat/>
    <w:uiPriority w:val="0"/>
  </w:style>
  <w:style w:type="character" w:customStyle="1" w:styleId="935">
    <w:name w:val="正文文字缩进 2 Char1"/>
    <w:qFormat/>
    <w:uiPriority w:val="0"/>
  </w:style>
  <w:style w:type="character" w:customStyle="1" w:styleId="936">
    <w:name w:val="样式 样式 宋体 段前: 0.5 行 行距: 固定值 18 磅 + 首行缩进:  2 字符 Char"/>
    <w:link w:val="919"/>
    <w:qFormat/>
    <w:uiPriority w:val="0"/>
    <w:rPr>
      <w:rFonts w:ascii="宋体" w:hAnsi="宋体" w:eastAsia="宋体" w:cs="宋体"/>
      <w:snapToGrid w:val="0"/>
      <w:color w:val="000000"/>
      <w:sz w:val="24"/>
      <w:szCs w:val="24"/>
      <w:lang w:val="en-GB"/>
    </w:rPr>
  </w:style>
  <w:style w:type="character" w:customStyle="1" w:styleId="937">
    <w:name w:val="Char9 Char Char5"/>
    <w:semiHidden/>
    <w:qFormat/>
    <w:uiPriority w:val="0"/>
    <w:rPr>
      <w:sz w:val="18"/>
      <w:szCs w:val="18"/>
    </w:rPr>
  </w:style>
  <w:style w:type="character" w:customStyle="1" w:styleId="938">
    <w:name w:val="样式 标题 3标题 3 CharH3B Head + 宋体 小三 Char Char Char Char Char Char"/>
    <w:qFormat/>
    <w:uiPriority w:val="0"/>
    <w:rPr>
      <w:rFonts w:eastAsia="黑体"/>
      <w:bCs/>
      <w:sz w:val="30"/>
      <w:szCs w:val="28"/>
    </w:rPr>
  </w:style>
  <w:style w:type="character" w:customStyle="1" w:styleId="939">
    <w:name w:val="样式 标题 4 + 宋体 Char Char Char Char Char Char"/>
    <w:qFormat/>
    <w:uiPriority w:val="0"/>
    <w:rPr>
      <w:b/>
      <w:bCs/>
    </w:rPr>
  </w:style>
  <w:style w:type="paragraph" w:customStyle="1" w:styleId="940">
    <w:name w:val="表头11"/>
    <w:basedOn w:val="1"/>
    <w:link w:val="941"/>
    <w:qFormat/>
    <w:uiPriority w:val="0"/>
    <w:pPr>
      <w:adjustRightInd w:val="0"/>
      <w:snapToGrid w:val="0"/>
      <w:spacing w:line="480" w:lineRule="exact"/>
      <w:jc w:val="center"/>
    </w:pPr>
    <w:rPr>
      <w:rFonts w:ascii="宋体" w:hAnsi="宋体"/>
      <w:b/>
      <w:color w:val="FF0000"/>
      <w:sz w:val="24"/>
      <w:szCs w:val="24"/>
    </w:rPr>
  </w:style>
  <w:style w:type="character" w:customStyle="1" w:styleId="941">
    <w:name w:val="表头11 Char"/>
    <w:link w:val="940"/>
    <w:uiPriority w:val="0"/>
    <w:rPr>
      <w:rFonts w:ascii="宋体" w:hAnsi="宋体" w:eastAsia="宋体" w:cs="Times New Roman"/>
      <w:b/>
      <w:color w:val="FF0000"/>
      <w:sz w:val="24"/>
      <w:szCs w:val="24"/>
    </w:rPr>
  </w:style>
  <w:style w:type="character" w:customStyle="1" w:styleId="942">
    <w:name w:val="表格11 Char"/>
    <w:link w:val="918"/>
    <w:qFormat/>
    <w:uiPriority w:val="0"/>
    <w:rPr>
      <w:rFonts w:ascii="宋体" w:hAnsi="宋体" w:eastAsia="宋体" w:cs="宋体"/>
      <w:kern w:val="0"/>
      <w:szCs w:val="21"/>
    </w:rPr>
  </w:style>
  <w:style w:type="paragraph" w:customStyle="1" w:styleId="943">
    <w:name w:val="样式 样式 z + Times New Roman + (西文) Times New Roman"/>
    <w:basedOn w:val="1"/>
    <w:link w:val="944"/>
    <w:qFormat/>
    <w:uiPriority w:val="0"/>
    <w:pPr>
      <w:adjustRightInd w:val="0"/>
      <w:snapToGrid w:val="0"/>
      <w:spacing w:line="480" w:lineRule="exact"/>
      <w:ind w:firstLine="459" w:firstLineChars="200"/>
    </w:pPr>
    <w:rPr>
      <w:rFonts w:ascii="Times New Roman" w:hAnsi="Times New Roman"/>
      <w:kern w:val="0"/>
      <w:position w:val="2"/>
      <w:sz w:val="24"/>
      <w:szCs w:val="24"/>
    </w:rPr>
  </w:style>
  <w:style w:type="character" w:customStyle="1" w:styleId="944">
    <w:name w:val="样式 样式 z + Times New Roman + (西文) Times New Roman Char"/>
    <w:link w:val="943"/>
    <w:qFormat/>
    <w:uiPriority w:val="0"/>
    <w:rPr>
      <w:rFonts w:ascii="Times New Roman" w:hAnsi="Times New Roman" w:eastAsia="宋体" w:cs="Times New Roman"/>
      <w:kern w:val="0"/>
      <w:position w:val="2"/>
      <w:sz w:val="24"/>
      <w:szCs w:val="24"/>
    </w:rPr>
  </w:style>
  <w:style w:type="paragraph" w:customStyle="1" w:styleId="945">
    <w:name w:val="样式 表格11 + 居中"/>
    <w:basedOn w:val="918"/>
    <w:link w:val="946"/>
    <w:qFormat/>
    <w:uiPriority w:val="0"/>
    <w:pPr>
      <w:adjustRightInd w:val="0"/>
      <w:spacing w:line="240" w:lineRule="exact"/>
    </w:pPr>
    <w:rPr>
      <w:rFonts w:ascii="Times New Roman" w:hAnsi="Times New Roman"/>
    </w:rPr>
  </w:style>
  <w:style w:type="character" w:customStyle="1" w:styleId="946">
    <w:name w:val="样式 表格11 + 居中 Char"/>
    <w:link w:val="945"/>
    <w:qFormat/>
    <w:uiPriority w:val="0"/>
    <w:rPr>
      <w:rFonts w:ascii="Times New Roman" w:hAnsi="Times New Roman" w:eastAsia="宋体" w:cs="宋体"/>
      <w:kern w:val="0"/>
      <w:szCs w:val="21"/>
    </w:rPr>
  </w:style>
  <w:style w:type="paragraph" w:customStyle="1" w:styleId="947">
    <w:name w:val="样式 标题 1 + 黑体 三号 黑色 居中 段前: 0.5 行 段后: 0 磅 行距: 单倍行距"/>
    <w:basedOn w:val="2"/>
    <w:link w:val="948"/>
    <w:qFormat/>
    <w:uiPriority w:val="0"/>
    <w:pPr>
      <w:pageBreakBefore/>
      <w:spacing w:before="0" w:after="0" w:line="360" w:lineRule="exact"/>
      <w:jc w:val="left"/>
    </w:pPr>
    <w:rPr>
      <w:rFonts w:ascii="宋体" w:hAnsi="Times New Roman" w:eastAsia="黑体" w:cs="宋体"/>
      <w:b w:val="0"/>
      <w:color w:val="000000"/>
      <w:kern w:val="0"/>
      <w:szCs w:val="32"/>
    </w:rPr>
  </w:style>
  <w:style w:type="character" w:customStyle="1" w:styleId="948">
    <w:name w:val="样式 标题 1 + 黑体 三号 黑色 居中 段前: 0.5 行 段后: 0 磅 行距: 单倍行距 Char"/>
    <w:link w:val="947"/>
    <w:qFormat/>
    <w:uiPriority w:val="0"/>
    <w:rPr>
      <w:rFonts w:ascii="宋体" w:hAnsi="Times New Roman" w:eastAsia="黑体" w:cs="宋体"/>
      <w:bCs/>
      <w:color w:val="000000"/>
      <w:kern w:val="0"/>
      <w:sz w:val="44"/>
      <w:szCs w:val="32"/>
    </w:rPr>
  </w:style>
  <w:style w:type="paragraph" w:customStyle="1" w:styleId="949">
    <w:name w:val="样式 样式 标题 1 + 黑体 三号 黑色 居中 段前: 0.5 行 段后: 0 磅 行距: 单倍行距 + 居中"/>
    <w:basedOn w:val="947"/>
    <w:link w:val="950"/>
    <w:qFormat/>
    <w:uiPriority w:val="0"/>
    <w:pPr>
      <w:spacing w:beforeLines="50"/>
    </w:pPr>
    <w:rPr>
      <w:bCs w:val="0"/>
    </w:rPr>
  </w:style>
  <w:style w:type="character" w:customStyle="1" w:styleId="950">
    <w:name w:val="样式 样式 标题 1 + 黑体 三号 黑色 居中 段前: 0.5 行 段后: 0 磅 行距: 单倍行距 + 居中 Char"/>
    <w:link w:val="949"/>
    <w:qFormat/>
    <w:uiPriority w:val="0"/>
    <w:rPr>
      <w:rFonts w:ascii="宋体" w:hAnsi="Times New Roman" w:eastAsia="黑体" w:cs="宋体"/>
      <w:color w:val="000000"/>
      <w:kern w:val="0"/>
      <w:sz w:val="44"/>
      <w:szCs w:val="32"/>
    </w:rPr>
  </w:style>
  <w:style w:type="paragraph" w:customStyle="1" w:styleId="951">
    <w:name w:val="样式 段前: 0.5 行"/>
    <w:basedOn w:val="1"/>
    <w:link w:val="952"/>
    <w:qFormat/>
    <w:uiPriority w:val="0"/>
    <w:pPr>
      <w:spacing w:beforeLines="50" w:line="360" w:lineRule="exact"/>
      <w:ind w:firstLine="200" w:firstLineChars="200"/>
    </w:pPr>
    <w:rPr>
      <w:rFonts w:ascii="Times New Roman" w:hAnsi="Times New Roman" w:cs="宋体"/>
      <w:sz w:val="24"/>
      <w:szCs w:val="20"/>
    </w:rPr>
  </w:style>
  <w:style w:type="character" w:customStyle="1" w:styleId="952">
    <w:name w:val="样式 段前: 0.5 行 Char"/>
    <w:link w:val="951"/>
    <w:qFormat/>
    <w:uiPriority w:val="0"/>
    <w:rPr>
      <w:rFonts w:ascii="Times New Roman" w:hAnsi="Times New Roman" w:eastAsia="宋体" w:cs="宋体"/>
      <w:sz w:val="24"/>
      <w:szCs w:val="20"/>
    </w:rPr>
  </w:style>
  <w:style w:type="paragraph" w:customStyle="1" w:styleId="953">
    <w:name w:val="样式 样式 段前: 0.5 行 + 首行缩进:  2 字符 段前: 0.5 行"/>
    <w:basedOn w:val="951"/>
    <w:link w:val="954"/>
    <w:qFormat/>
    <w:uiPriority w:val="0"/>
    <w:pPr>
      <w:spacing w:beforeLines="0"/>
      <w:ind w:left="420" w:leftChars="100" w:right="100" w:rightChars="100" w:firstLine="459"/>
    </w:pPr>
  </w:style>
  <w:style w:type="character" w:customStyle="1" w:styleId="954">
    <w:name w:val="样式 样式 段前: 0.5 行 + 首行缩进:  2 字符 段前: 0.5 行 Char"/>
    <w:link w:val="953"/>
    <w:qFormat/>
    <w:uiPriority w:val="0"/>
    <w:rPr>
      <w:rFonts w:ascii="Times New Roman" w:hAnsi="Times New Roman" w:eastAsia="宋体" w:cs="宋体"/>
      <w:sz w:val="24"/>
      <w:szCs w:val="20"/>
    </w:rPr>
  </w:style>
  <w:style w:type="paragraph" w:customStyle="1" w:styleId="955">
    <w:name w:val="样式 样式 样式 标题 1 + 黑体 三号 黑色 居中 段前: 0.5 行 段后: 0 磅 行距: 单倍行距 + 居中 + Ti..."/>
    <w:basedOn w:val="949"/>
    <w:link w:val="956"/>
    <w:qFormat/>
    <w:uiPriority w:val="0"/>
    <w:pPr>
      <w:spacing w:before="50"/>
    </w:pPr>
  </w:style>
  <w:style w:type="character" w:customStyle="1" w:styleId="956">
    <w:name w:val="样式 样式 样式 标题 1 + 黑体 三号 黑色 居中 段前: 0.5 行 段后: 0 磅 行距: 单倍行距 + 居中 + Ti... Char"/>
    <w:link w:val="955"/>
    <w:qFormat/>
    <w:uiPriority w:val="0"/>
    <w:rPr>
      <w:rFonts w:ascii="宋体" w:hAnsi="Times New Roman" w:eastAsia="黑体" w:cs="宋体"/>
      <w:color w:val="000000"/>
      <w:kern w:val="0"/>
      <w:sz w:val="44"/>
      <w:szCs w:val="32"/>
    </w:rPr>
  </w:style>
  <w:style w:type="paragraph" w:customStyle="1" w:styleId="957">
    <w:name w:val="样式 宋体 段前: 0.5 行 行距: 固定值 18 磅"/>
    <w:basedOn w:val="1"/>
    <w:link w:val="958"/>
    <w:qFormat/>
    <w:uiPriority w:val="0"/>
    <w:pPr>
      <w:spacing w:line="360" w:lineRule="exact"/>
      <w:ind w:firstLine="200" w:firstLineChars="200"/>
    </w:pPr>
    <w:rPr>
      <w:rFonts w:ascii="宋体" w:hAnsi="宋体" w:cs="宋体"/>
      <w:sz w:val="24"/>
      <w:szCs w:val="24"/>
    </w:rPr>
  </w:style>
  <w:style w:type="character" w:customStyle="1" w:styleId="958">
    <w:name w:val="样式 宋体 段前: 0.5 行 行距: 固定值 18 磅 Char"/>
    <w:link w:val="957"/>
    <w:qFormat/>
    <w:uiPriority w:val="0"/>
    <w:rPr>
      <w:rFonts w:ascii="宋体" w:hAnsi="宋体" w:eastAsia="宋体" w:cs="宋体"/>
      <w:sz w:val="24"/>
      <w:szCs w:val="24"/>
    </w:rPr>
  </w:style>
  <w:style w:type="paragraph" w:customStyle="1" w:styleId="959">
    <w:name w:val="表头2"/>
    <w:basedOn w:val="1"/>
    <w:link w:val="960"/>
    <w:qFormat/>
    <w:uiPriority w:val="0"/>
    <w:pPr>
      <w:widowControl/>
      <w:adjustRightInd w:val="0"/>
      <w:snapToGrid w:val="0"/>
      <w:spacing w:line="240" w:lineRule="auto"/>
      <w:jc w:val="center"/>
    </w:pPr>
    <w:rPr>
      <w:rFonts w:ascii="宋体" w:hAnsi="宋体" w:cs="宋体"/>
      <w:b/>
      <w:color w:val="000000"/>
      <w:kern w:val="0"/>
      <w:sz w:val="24"/>
      <w:szCs w:val="24"/>
    </w:rPr>
  </w:style>
  <w:style w:type="character" w:customStyle="1" w:styleId="960">
    <w:name w:val="表头2 Char"/>
    <w:link w:val="959"/>
    <w:uiPriority w:val="0"/>
    <w:rPr>
      <w:rFonts w:ascii="宋体" w:hAnsi="宋体" w:eastAsia="宋体" w:cs="宋体"/>
      <w:b/>
      <w:color w:val="000000"/>
      <w:kern w:val="0"/>
      <w:sz w:val="24"/>
      <w:szCs w:val="24"/>
    </w:rPr>
  </w:style>
  <w:style w:type="paragraph" w:customStyle="1" w:styleId="961">
    <w:name w:val="样式 表头11 + 自动设置"/>
    <w:basedOn w:val="940"/>
    <w:link w:val="962"/>
    <w:uiPriority w:val="0"/>
    <w:pPr>
      <w:spacing w:line="240" w:lineRule="auto"/>
    </w:pPr>
    <w:rPr>
      <w:bCs/>
      <w:color w:val="000000"/>
      <w:szCs w:val="21"/>
    </w:rPr>
  </w:style>
  <w:style w:type="character" w:customStyle="1" w:styleId="962">
    <w:name w:val="样式 表头11 + 自动设置 Char"/>
    <w:link w:val="961"/>
    <w:qFormat/>
    <w:uiPriority w:val="0"/>
    <w:rPr>
      <w:rFonts w:ascii="宋体" w:hAnsi="宋体" w:eastAsia="宋体" w:cs="Times New Roman"/>
      <w:b/>
      <w:bCs/>
      <w:color w:val="000000"/>
      <w:sz w:val="24"/>
      <w:szCs w:val="21"/>
    </w:rPr>
  </w:style>
  <w:style w:type="paragraph" w:customStyle="1" w:styleId="963">
    <w:name w:val="样式 z + Times New Roman"/>
    <w:basedOn w:val="1"/>
    <w:link w:val="964"/>
    <w:qFormat/>
    <w:uiPriority w:val="0"/>
    <w:pPr>
      <w:adjustRightInd w:val="0"/>
      <w:snapToGrid w:val="0"/>
      <w:spacing w:line="480" w:lineRule="exact"/>
      <w:ind w:firstLine="459" w:firstLineChars="200"/>
    </w:pPr>
    <w:rPr>
      <w:rFonts w:ascii="宋体" w:hAnsi="宋体"/>
      <w:kern w:val="0"/>
      <w:position w:val="2"/>
      <w:sz w:val="24"/>
      <w:szCs w:val="24"/>
    </w:rPr>
  </w:style>
  <w:style w:type="character" w:customStyle="1" w:styleId="964">
    <w:name w:val="样式 z + Times New Roman Char"/>
    <w:link w:val="963"/>
    <w:qFormat/>
    <w:uiPriority w:val="0"/>
    <w:rPr>
      <w:rFonts w:ascii="宋体" w:hAnsi="宋体" w:eastAsia="宋体" w:cs="Times New Roman"/>
      <w:kern w:val="0"/>
      <w:position w:val="2"/>
      <w:sz w:val="24"/>
      <w:szCs w:val="24"/>
    </w:rPr>
  </w:style>
  <w:style w:type="paragraph" w:customStyle="1" w:styleId="965">
    <w:name w:val="样式 样式 样式 宋体 段前: 0.5 行 行距: 固定值 18 磅 + 首行缩进:  2 字符 + (西文) 宋体"/>
    <w:basedOn w:val="919"/>
    <w:link w:val="966"/>
    <w:qFormat/>
    <w:uiPriority w:val="0"/>
    <w:pPr>
      <w:adjustRightInd w:val="0"/>
      <w:snapToGrid w:val="0"/>
      <w:spacing w:line="480" w:lineRule="exact"/>
      <w:ind w:firstLine="459"/>
    </w:pPr>
    <w:rPr>
      <w:rFonts w:ascii="Times New Roman" w:hAnsi="Times New Roman" w:eastAsia="Times New Roman"/>
      <w:snapToGrid/>
      <w:szCs w:val="18"/>
    </w:rPr>
  </w:style>
  <w:style w:type="character" w:customStyle="1" w:styleId="966">
    <w:name w:val="样式 样式 样式 宋体 段前: 0.5 行 行距: 固定值 18 磅 + 首行缩进:  2 字符 + (西文) 宋体 Char"/>
    <w:link w:val="965"/>
    <w:qFormat/>
    <w:uiPriority w:val="0"/>
    <w:rPr>
      <w:rFonts w:ascii="Times New Roman" w:hAnsi="Times New Roman" w:eastAsia="Times New Roman" w:cs="宋体"/>
      <w:color w:val="000000"/>
      <w:sz w:val="24"/>
      <w:szCs w:val="18"/>
      <w:lang w:val="en-GB"/>
    </w:rPr>
  </w:style>
  <w:style w:type="paragraph" w:customStyle="1" w:styleId="967">
    <w:name w:val="样式 样式 样式 样式 宋体 段前: 0.5 行 行距: 固定值 18 磅 + 首行缩进:  2 字符 + (西文) 宋体 + ..."/>
    <w:basedOn w:val="965"/>
    <w:link w:val="968"/>
    <w:qFormat/>
    <w:uiPriority w:val="0"/>
  </w:style>
  <w:style w:type="character" w:customStyle="1" w:styleId="968">
    <w:name w:val="样式 样式 样式 样式 宋体 段前: 0.5 行 行距: 固定值 18 磅 + 首行缩进:  2 字符 + (西文) 宋体 + ... Char"/>
    <w:link w:val="967"/>
    <w:qFormat/>
    <w:uiPriority w:val="0"/>
    <w:rPr>
      <w:rFonts w:ascii="Times New Roman" w:hAnsi="Times New Roman" w:eastAsia="Times New Roman" w:cs="宋体"/>
      <w:color w:val="000000"/>
      <w:sz w:val="24"/>
      <w:szCs w:val="18"/>
      <w:lang w:val="en-GB"/>
    </w:rPr>
  </w:style>
  <w:style w:type="paragraph" w:customStyle="1" w:styleId="969">
    <w:name w:val="bg"/>
    <w:basedOn w:val="1"/>
    <w:link w:val="970"/>
    <w:qFormat/>
    <w:uiPriority w:val="0"/>
    <w:pPr>
      <w:adjustRightInd w:val="0"/>
      <w:snapToGrid w:val="0"/>
      <w:spacing w:line="240" w:lineRule="auto"/>
      <w:jc w:val="center"/>
    </w:pPr>
    <w:rPr>
      <w:rFonts w:ascii="Times New Roman" w:hAnsi="Times New Roman" w:cs="宋体"/>
      <w:sz w:val="21"/>
      <w:szCs w:val="21"/>
    </w:rPr>
  </w:style>
  <w:style w:type="character" w:customStyle="1" w:styleId="970">
    <w:name w:val="bg Char"/>
    <w:link w:val="969"/>
    <w:qFormat/>
    <w:uiPriority w:val="0"/>
    <w:rPr>
      <w:rFonts w:ascii="Times New Roman" w:hAnsi="Times New Roman" w:eastAsia="宋体" w:cs="宋体"/>
      <w:szCs w:val="21"/>
    </w:rPr>
  </w:style>
  <w:style w:type="paragraph" w:customStyle="1" w:styleId="971">
    <w:name w:val="报告"/>
    <w:basedOn w:val="1"/>
    <w:link w:val="972"/>
    <w:qFormat/>
    <w:uiPriority w:val="0"/>
    <w:pPr>
      <w:spacing w:line="300" w:lineRule="auto"/>
      <w:ind w:firstLine="539"/>
    </w:pPr>
    <w:rPr>
      <w:rFonts w:ascii="Times New Roman" w:hAnsi="Times New Roman"/>
      <w:sz w:val="24"/>
      <w:szCs w:val="24"/>
    </w:rPr>
  </w:style>
  <w:style w:type="character" w:customStyle="1" w:styleId="972">
    <w:name w:val="报告 Char"/>
    <w:link w:val="971"/>
    <w:qFormat/>
    <w:uiPriority w:val="0"/>
    <w:rPr>
      <w:rFonts w:ascii="Times New Roman" w:hAnsi="Times New Roman" w:eastAsia="宋体" w:cs="Times New Roman"/>
      <w:sz w:val="24"/>
      <w:szCs w:val="24"/>
    </w:rPr>
  </w:style>
  <w:style w:type="paragraph" w:customStyle="1" w:styleId="973">
    <w:name w:val="105v"/>
    <w:basedOn w:val="1"/>
    <w:qFormat/>
    <w:uiPriority w:val="0"/>
    <w:pPr>
      <w:widowControl/>
      <w:spacing w:before="100" w:beforeAutospacing="1" w:after="100" w:afterAutospacing="1" w:line="240" w:lineRule="auto"/>
      <w:jc w:val="left"/>
    </w:pPr>
    <w:rPr>
      <w:rFonts w:ascii="宋体" w:hAnsi="宋体" w:cs="宋体"/>
      <w:kern w:val="0"/>
      <w:sz w:val="21"/>
      <w:szCs w:val="21"/>
    </w:rPr>
  </w:style>
  <w:style w:type="character" w:customStyle="1" w:styleId="974">
    <w:name w:val="表头 Char"/>
    <w:qFormat/>
    <w:uiPriority w:val="0"/>
    <w:rPr>
      <w:b/>
      <w:sz w:val="21"/>
      <w:szCs w:val="21"/>
    </w:rPr>
  </w:style>
  <w:style w:type="paragraph" w:customStyle="1" w:styleId="975">
    <w:name w:val="Char Char Char3 Char Char Char7"/>
    <w:basedOn w:val="1"/>
    <w:uiPriority w:val="0"/>
    <w:pPr>
      <w:ind w:firstLine="200" w:firstLineChars="200"/>
    </w:pPr>
    <w:rPr>
      <w:rFonts w:ascii="宋体" w:hAnsi="宋体" w:cs="宋体"/>
      <w:sz w:val="24"/>
      <w:szCs w:val="24"/>
    </w:rPr>
  </w:style>
  <w:style w:type="paragraph" w:customStyle="1" w:styleId="976">
    <w:name w:val="Char Char Char31"/>
    <w:basedOn w:val="1"/>
    <w:qFormat/>
    <w:uiPriority w:val="0"/>
    <w:pPr>
      <w:ind w:firstLine="200" w:firstLineChars="200"/>
    </w:pPr>
    <w:rPr>
      <w:rFonts w:ascii="宋体" w:hAnsi="宋体" w:cs="宋体"/>
      <w:sz w:val="24"/>
      <w:szCs w:val="24"/>
    </w:rPr>
  </w:style>
  <w:style w:type="paragraph" w:customStyle="1" w:styleId="977">
    <w:name w:val="Char Char Char3 Char Char Char4 Char Char Char1 Char Char Char Char Char"/>
    <w:basedOn w:val="1"/>
    <w:uiPriority w:val="0"/>
    <w:pPr>
      <w:ind w:firstLine="200" w:firstLineChars="200"/>
    </w:pPr>
    <w:rPr>
      <w:rFonts w:ascii="宋体" w:hAnsi="宋体" w:cs="宋体"/>
      <w:sz w:val="24"/>
      <w:szCs w:val="24"/>
    </w:rPr>
  </w:style>
  <w:style w:type="paragraph" w:customStyle="1" w:styleId="978">
    <w:name w:val="默认段落字体 Para Char Char Char Char Char"/>
    <w:basedOn w:val="1"/>
    <w:qFormat/>
    <w:uiPriority w:val="0"/>
    <w:pPr>
      <w:spacing w:line="240" w:lineRule="auto"/>
      <w:ind w:firstLine="200" w:firstLineChars="200"/>
      <w:jc w:val="left"/>
    </w:pPr>
    <w:rPr>
      <w:rFonts w:ascii="Times New Roman" w:hAnsi="Times New Roman"/>
      <w:szCs w:val="24"/>
    </w:rPr>
  </w:style>
  <w:style w:type="paragraph" w:customStyle="1" w:styleId="979">
    <w:name w:val="讲稿"/>
    <w:basedOn w:val="1"/>
    <w:qFormat/>
    <w:uiPriority w:val="0"/>
    <w:pPr>
      <w:spacing w:line="240" w:lineRule="auto"/>
      <w:ind w:firstLine="431"/>
    </w:pPr>
    <w:rPr>
      <w:rFonts w:ascii="Arial" w:hAnsi="Arial"/>
      <w:kern w:val="0"/>
      <w:sz w:val="21"/>
      <w:szCs w:val="20"/>
    </w:rPr>
  </w:style>
  <w:style w:type="paragraph" w:customStyle="1" w:styleId="980">
    <w:name w:val="正文（杨）"/>
    <w:basedOn w:val="1"/>
    <w:link w:val="1142"/>
    <w:qFormat/>
    <w:uiPriority w:val="0"/>
    <w:pPr>
      <w:adjustRightInd w:val="0"/>
      <w:snapToGrid w:val="0"/>
      <w:spacing w:line="312" w:lineRule="auto"/>
      <w:ind w:firstLine="504" w:firstLineChars="200"/>
    </w:pPr>
    <w:rPr>
      <w:rFonts w:ascii="Times New Roman" w:hAnsi="Times New Roman" w:cs="宋体"/>
      <w:color w:val="000000"/>
      <w:spacing w:val="6"/>
      <w:sz w:val="24"/>
      <w:szCs w:val="24"/>
    </w:rPr>
  </w:style>
  <w:style w:type="paragraph" w:customStyle="1" w:styleId="981">
    <w:name w:val="Char Char Char Char Char Char2 Char"/>
    <w:basedOn w:val="1"/>
    <w:qFormat/>
    <w:uiPriority w:val="0"/>
    <w:pPr>
      <w:ind w:firstLine="200" w:firstLineChars="200"/>
    </w:pPr>
    <w:rPr>
      <w:rFonts w:ascii="宋体" w:hAnsi="宋体" w:cs="宋体"/>
      <w:sz w:val="24"/>
      <w:szCs w:val="24"/>
    </w:rPr>
  </w:style>
  <w:style w:type="paragraph" w:customStyle="1" w:styleId="982">
    <w:name w:val="Char Char Char3 Char Char Char4 Char"/>
    <w:basedOn w:val="1"/>
    <w:qFormat/>
    <w:uiPriority w:val="0"/>
    <w:pPr>
      <w:ind w:firstLine="200" w:firstLineChars="200"/>
    </w:pPr>
    <w:rPr>
      <w:rFonts w:ascii="宋体" w:hAnsi="宋体" w:cs="宋体"/>
      <w:sz w:val="24"/>
      <w:szCs w:val="24"/>
    </w:rPr>
  </w:style>
  <w:style w:type="paragraph" w:customStyle="1" w:styleId="983">
    <w:name w:val="报告书正文 Char Char Char Char Char Char Char1"/>
    <w:basedOn w:val="1"/>
    <w:qFormat/>
    <w:uiPriority w:val="0"/>
    <w:pPr>
      <w:spacing w:line="300" w:lineRule="auto"/>
      <w:ind w:firstLine="480" w:firstLineChars="200"/>
    </w:pPr>
    <w:rPr>
      <w:rFonts w:ascii="宋体" w:hAnsi="宋体"/>
      <w:sz w:val="24"/>
      <w:szCs w:val="24"/>
    </w:rPr>
  </w:style>
  <w:style w:type="character" w:customStyle="1" w:styleId="984">
    <w:name w:val="样式 标题 6标题 6 Char Char Char Char Char Char Char Char Char + 加粗 Char Char Char Char Char Char Char Char Char Char Char Char Char Char Char Char Char Char Char Char Char Char Char Char Char Char Char Char Char Char Char Char Char Char Char Char Char  Char2"/>
    <w:qFormat/>
    <w:uiPriority w:val="0"/>
    <w:rPr>
      <w:rFonts w:eastAsia="仿宋_GB2312"/>
      <w:b/>
      <w:bCs/>
    </w:rPr>
  </w:style>
  <w:style w:type="character" w:customStyle="1" w:styleId="985">
    <w:name w:val="报告书正文 Char Char Char Char Char Char Char Char Char Char Char Char1"/>
    <w:qFormat/>
    <w:uiPriority w:val="0"/>
    <w:rPr>
      <w:color w:val="000000"/>
    </w:rPr>
  </w:style>
  <w:style w:type="paragraph" w:customStyle="1" w:styleId="986">
    <w:name w:val="报告书正文 Char Char Char Char Char Char Char Char1"/>
    <w:basedOn w:val="1"/>
    <w:qFormat/>
    <w:uiPriority w:val="0"/>
    <w:pPr>
      <w:spacing w:line="300" w:lineRule="auto"/>
      <w:ind w:firstLine="480" w:firstLineChars="200"/>
    </w:pPr>
    <w:rPr>
      <w:rFonts w:ascii="Times New Roman" w:hAnsi="Times New Roman"/>
      <w:color w:val="000000"/>
      <w:sz w:val="24"/>
      <w:szCs w:val="24"/>
    </w:rPr>
  </w:style>
  <w:style w:type="character" w:customStyle="1" w:styleId="987">
    <w:name w:val="样式 标题 3标题 3 CharH3B Head + 宋体 小三 Char Char Char Char Char1"/>
    <w:qFormat/>
    <w:uiPriority w:val="0"/>
    <w:rPr>
      <w:rFonts w:eastAsia="黑体"/>
      <w:bCs/>
      <w:sz w:val="30"/>
      <w:szCs w:val="28"/>
    </w:rPr>
  </w:style>
  <w:style w:type="character" w:customStyle="1" w:styleId="988">
    <w:name w:val="样式 标题 4 + 宋体 Char Char Char Char Char1"/>
    <w:qFormat/>
    <w:uiPriority w:val="0"/>
    <w:rPr>
      <w:bCs/>
    </w:rPr>
  </w:style>
  <w:style w:type="character" w:customStyle="1" w:styleId="989">
    <w:name w:val="样式1 Char Char Char Char Char Char Char Char1"/>
    <w:uiPriority w:val="0"/>
  </w:style>
  <w:style w:type="character" w:customStyle="1" w:styleId="990">
    <w:name w:val="报告书正文 Char Char Char Char Char Char Char Char Char Char Char Char Char Char Char1"/>
    <w:qFormat/>
    <w:uiPriority w:val="0"/>
    <w:rPr>
      <w:color w:val="000000"/>
    </w:rPr>
  </w:style>
  <w:style w:type="character" w:customStyle="1" w:styleId="991">
    <w:name w:val="自定义正文 Char Char Char Char Char Char Char Char Char Char Char Char Char Char Char1"/>
    <w:uiPriority w:val="0"/>
    <w:rPr>
      <w:position w:val="-28"/>
      <w:sz w:val="28"/>
      <w:szCs w:val="28"/>
    </w:rPr>
  </w:style>
  <w:style w:type="character" w:customStyle="1" w:styleId="992">
    <w:name w:val="标4 Char Char Char Char Char1"/>
    <w:uiPriority w:val="0"/>
    <w:rPr>
      <w:szCs w:val="30"/>
    </w:rPr>
  </w:style>
  <w:style w:type="paragraph" w:customStyle="1" w:styleId="993">
    <w:name w:val="Char11"/>
    <w:basedOn w:val="1"/>
    <w:qFormat/>
    <w:uiPriority w:val="0"/>
    <w:pPr>
      <w:ind w:firstLine="200" w:firstLineChars="200"/>
    </w:pPr>
    <w:rPr>
      <w:rFonts w:ascii="宋体" w:hAnsi="宋体" w:cs="宋体"/>
      <w:sz w:val="24"/>
      <w:szCs w:val="24"/>
    </w:rPr>
  </w:style>
  <w:style w:type="paragraph" w:customStyle="1" w:styleId="994">
    <w:name w:val="俺的正文"/>
    <w:basedOn w:val="1"/>
    <w:qFormat/>
    <w:uiPriority w:val="0"/>
    <w:pPr>
      <w:spacing w:line="460" w:lineRule="exact"/>
      <w:ind w:firstLine="200" w:firstLineChars="200"/>
    </w:pPr>
    <w:rPr>
      <w:rFonts w:ascii="Times New Roman" w:hAnsi="Times New Roman"/>
      <w:sz w:val="24"/>
      <w:szCs w:val="24"/>
    </w:rPr>
  </w:style>
  <w:style w:type="paragraph" w:customStyle="1" w:styleId="995">
    <w:name w:val="Char Char Char Char Char Char Char Char Char1 Char"/>
    <w:basedOn w:val="1"/>
    <w:qFormat/>
    <w:uiPriority w:val="0"/>
    <w:pPr>
      <w:widowControl/>
      <w:spacing w:line="240" w:lineRule="auto"/>
      <w:jc w:val="left"/>
    </w:pPr>
    <w:rPr>
      <w:rFonts w:ascii="Tahoma" w:hAnsi="Tahoma" w:cs="仿宋_GB2312"/>
      <w:kern w:val="0"/>
      <w:sz w:val="24"/>
      <w:szCs w:val="20"/>
    </w:rPr>
  </w:style>
  <w:style w:type="paragraph" w:customStyle="1" w:styleId="996">
    <w:name w:val="1.1.1"/>
    <w:next w:val="835"/>
    <w:link w:val="1514"/>
    <w:qFormat/>
    <w:uiPriority w:val="0"/>
    <w:pPr>
      <w:spacing w:beforeLines="50" w:afterLines="50" w:line="300" w:lineRule="auto"/>
      <w:jc w:val="both"/>
    </w:pPr>
    <w:rPr>
      <w:rFonts w:ascii="宋体" w:hAnsi="Times New Roman" w:eastAsia="宋体" w:cs="Times New Roman"/>
      <w:b/>
      <w:spacing w:val="4"/>
      <w:sz w:val="24"/>
      <w:lang w:val="en-US" w:eastAsia="zh-CN" w:bidi="ar-SA"/>
    </w:rPr>
  </w:style>
  <w:style w:type="paragraph" w:customStyle="1" w:styleId="997">
    <w:name w:val="Char Char1 Char"/>
    <w:basedOn w:val="1"/>
    <w:qFormat/>
    <w:uiPriority w:val="0"/>
    <w:pPr>
      <w:ind w:firstLine="200" w:firstLineChars="200"/>
    </w:pPr>
    <w:rPr>
      <w:rFonts w:ascii="宋体" w:hAnsi="宋体" w:cs="宋体"/>
      <w:sz w:val="24"/>
      <w:szCs w:val="24"/>
    </w:rPr>
  </w:style>
  <w:style w:type="paragraph" w:customStyle="1" w:styleId="998">
    <w:name w:val="Char Char Char3 Char Char"/>
    <w:basedOn w:val="1"/>
    <w:qFormat/>
    <w:uiPriority w:val="0"/>
    <w:pPr>
      <w:ind w:firstLine="200" w:firstLineChars="200"/>
    </w:pPr>
    <w:rPr>
      <w:rFonts w:ascii="宋体" w:hAnsi="宋体" w:cs="宋体"/>
      <w:sz w:val="24"/>
      <w:szCs w:val="24"/>
    </w:rPr>
  </w:style>
  <w:style w:type="paragraph" w:customStyle="1" w:styleId="999">
    <w:name w:val="Char Char Char3 Char Char Char Char Char Char Char Char Char Char Char"/>
    <w:basedOn w:val="1"/>
    <w:qFormat/>
    <w:uiPriority w:val="0"/>
    <w:pPr>
      <w:ind w:firstLine="200" w:firstLineChars="200"/>
    </w:pPr>
    <w:rPr>
      <w:rFonts w:ascii="宋体" w:hAnsi="宋体" w:cs="宋体"/>
      <w:sz w:val="24"/>
      <w:szCs w:val="24"/>
    </w:rPr>
  </w:style>
  <w:style w:type="paragraph" w:customStyle="1" w:styleId="1000">
    <w:name w:val="Char Char Char3 Char Char Char4 Char Char Char1 Char Char"/>
    <w:basedOn w:val="1"/>
    <w:qFormat/>
    <w:uiPriority w:val="0"/>
    <w:pPr>
      <w:ind w:firstLine="200" w:firstLineChars="200"/>
    </w:pPr>
    <w:rPr>
      <w:rFonts w:ascii="宋体" w:hAnsi="宋体" w:cs="宋体"/>
      <w:sz w:val="24"/>
      <w:szCs w:val="24"/>
    </w:rPr>
  </w:style>
  <w:style w:type="paragraph" w:customStyle="1" w:styleId="1001">
    <w:name w:val="Char13 Char Char Char Char Char Char"/>
    <w:basedOn w:val="1"/>
    <w:qFormat/>
    <w:uiPriority w:val="0"/>
    <w:pPr>
      <w:ind w:firstLine="200" w:firstLineChars="200"/>
    </w:pPr>
    <w:rPr>
      <w:rFonts w:ascii="宋体" w:hAnsi="宋体" w:cs="宋体"/>
      <w:sz w:val="24"/>
      <w:szCs w:val="24"/>
    </w:rPr>
  </w:style>
  <w:style w:type="paragraph" w:customStyle="1" w:styleId="1002">
    <w:name w:val="Char Char Char3 Char Char Char4 Char Char Char11"/>
    <w:basedOn w:val="1"/>
    <w:qFormat/>
    <w:uiPriority w:val="0"/>
    <w:pPr>
      <w:ind w:firstLine="200" w:firstLineChars="200"/>
    </w:pPr>
    <w:rPr>
      <w:rFonts w:ascii="宋体" w:hAnsi="宋体" w:cs="宋体"/>
      <w:sz w:val="24"/>
      <w:szCs w:val="24"/>
    </w:rPr>
  </w:style>
  <w:style w:type="paragraph" w:customStyle="1" w:styleId="1003">
    <w:name w:val="Char Char Char3 Char Char Char8"/>
    <w:basedOn w:val="1"/>
    <w:uiPriority w:val="0"/>
    <w:pPr>
      <w:ind w:firstLine="200" w:firstLineChars="200"/>
    </w:pPr>
    <w:rPr>
      <w:rFonts w:ascii="宋体" w:hAnsi="宋体" w:cs="宋体"/>
      <w:sz w:val="24"/>
      <w:szCs w:val="24"/>
    </w:rPr>
  </w:style>
  <w:style w:type="paragraph" w:customStyle="1" w:styleId="1004">
    <w:name w:val="正文文本 32"/>
    <w:basedOn w:val="1"/>
    <w:qFormat/>
    <w:uiPriority w:val="0"/>
    <w:pPr>
      <w:adjustRightInd w:val="0"/>
      <w:spacing w:line="240" w:lineRule="atLeast"/>
      <w:jc w:val="center"/>
      <w:textAlignment w:val="baseline"/>
    </w:pPr>
    <w:rPr>
      <w:rFonts w:ascii="宋体" w:hAnsi="Times New Roman"/>
      <w:kern w:val="0"/>
      <w:sz w:val="18"/>
      <w:szCs w:val="20"/>
    </w:rPr>
  </w:style>
  <w:style w:type="paragraph" w:customStyle="1" w:styleId="1005">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006">
    <w:name w:val="Char Char Char Char Char Char Char Char Char Char Char Char Char Char Char2"/>
    <w:basedOn w:val="1"/>
    <w:qFormat/>
    <w:uiPriority w:val="0"/>
    <w:pPr>
      <w:ind w:firstLine="200" w:firstLineChars="200"/>
    </w:pPr>
    <w:rPr>
      <w:rFonts w:ascii="宋体" w:hAnsi="宋体" w:cs="宋体"/>
      <w:sz w:val="24"/>
      <w:szCs w:val="24"/>
    </w:rPr>
  </w:style>
  <w:style w:type="paragraph" w:customStyle="1" w:styleId="1007">
    <w:name w:val="Char Char Char11"/>
    <w:basedOn w:val="1"/>
    <w:uiPriority w:val="0"/>
    <w:pPr>
      <w:adjustRightInd w:val="0"/>
      <w:ind w:firstLine="200" w:firstLineChars="200"/>
      <w:textAlignment w:val="baseline"/>
    </w:pPr>
    <w:rPr>
      <w:rFonts w:ascii="宋体" w:hAnsi="宋体" w:cs="宋体"/>
      <w:kern w:val="0"/>
      <w:sz w:val="24"/>
      <w:szCs w:val="20"/>
    </w:rPr>
  </w:style>
  <w:style w:type="character" w:customStyle="1" w:styleId="1008">
    <w:name w:val="标题3 Char Char1 Char1"/>
    <w:uiPriority w:val="0"/>
    <w:rPr>
      <w:rFonts w:ascii="黑体" w:eastAsia="黑体"/>
      <w:b/>
      <w:bCs/>
      <w:szCs w:val="32"/>
    </w:rPr>
  </w:style>
  <w:style w:type="character" w:customStyle="1" w:styleId="1009">
    <w:name w:val="标题41 Char Char1"/>
    <w:qFormat/>
    <w:uiPriority w:val="0"/>
    <w:rPr>
      <w:rFonts w:ascii="黑体" w:eastAsia="黑体"/>
      <w:b/>
      <w:bCs/>
      <w:szCs w:val="32"/>
    </w:rPr>
  </w:style>
  <w:style w:type="paragraph" w:customStyle="1" w:styleId="1010">
    <w:name w:val="Char Char Char6"/>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011">
    <w:name w:val="Char Char Char2 Char1"/>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012">
    <w:name w:val="Char Char Char Char Char Char Char Char Char Char Char Char Char Char Char Char Char Char Char Char Char Char1"/>
    <w:basedOn w:val="1"/>
    <w:next w:val="1"/>
    <w:qFormat/>
    <w:uiPriority w:val="0"/>
    <w:pPr>
      <w:pBdr>
        <w:right w:val="single" w:color="auto" w:sz="12" w:space="4"/>
      </w:pBdr>
      <w:ind w:firstLine="200" w:firstLineChars="200"/>
    </w:pPr>
    <w:rPr>
      <w:rFonts w:ascii="宋体" w:hAnsi="宋体" w:cs="宋体"/>
      <w:sz w:val="24"/>
      <w:szCs w:val="24"/>
    </w:rPr>
  </w:style>
  <w:style w:type="paragraph" w:customStyle="1" w:styleId="1013">
    <w:name w:val="Char Char Char Char Char Char Char Char Char Char1"/>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014">
    <w:name w:val="Char Char Char3 Char Char Char11"/>
    <w:basedOn w:val="1"/>
    <w:qFormat/>
    <w:uiPriority w:val="0"/>
    <w:pPr>
      <w:ind w:firstLine="200" w:firstLineChars="200"/>
    </w:pPr>
    <w:rPr>
      <w:rFonts w:ascii="宋体" w:hAnsi="宋体" w:cs="宋体"/>
      <w:sz w:val="24"/>
      <w:szCs w:val="24"/>
    </w:rPr>
  </w:style>
  <w:style w:type="paragraph" w:customStyle="1" w:styleId="1015">
    <w:name w:val="Char Char Char3 Char Char Char21"/>
    <w:basedOn w:val="1"/>
    <w:qFormat/>
    <w:uiPriority w:val="0"/>
    <w:pPr>
      <w:ind w:firstLine="200" w:firstLineChars="200"/>
    </w:pPr>
    <w:rPr>
      <w:rFonts w:ascii="宋体" w:hAnsi="宋体" w:cs="宋体"/>
      <w:sz w:val="24"/>
      <w:szCs w:val="24"/>
    </w:rPr>
  </w:style>
  <w:style w:type="paragraph" w:customStyle="1" w:styleId="1016">
    <w:name w:val="Char Char Char3 Char Char Char31"/>
    <w:basedOn w:val="1"/>
    <w:qFormat/>
    <w:uiPriority w:val="0"/>
    <w:pPr>
      <w:ind w:firstLine="200" w:firstLineChars="200"/>
    </w:pPr>
    <w:rPr>
      <w:rFonts w:ascii="宋体" w:hAnsi="宋体" w:cs="宋体"/>
      <w:sz w:val="24"/>
      <w:szCs w:val="24"/>
    </w:rPr>
  </w:style>
  <w:style w:type="paragraph" w:customStyle="1" w:styleId="1017">
    <w:name w:val="Char Char Char Char Char Char1 Char1"/>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018">
    <w:name w:val="Char Char Char3 Char Char Char4 Char Char Char2"/>
    <w:basedOn w:val="1"/>
    <w:qFormat/>
    <w:uiPriority w:val="0"/>
    <w:pPr>
      <w:ind w:firstLine="200" w:firstLineChars="200"/>
    </w:pPr>
    <w:rPr>
      <w:rFonts w:ascii="宋体" w:hAnsi="宋体" w:cs="宋体"/>
      <w:sz w:val="24"/>
      <w:szCs w:val="24"/>
    </w:rPr>
  </w:style>
  <w:style w:type="paragraph" w:customStyle="1" w:styleId="1019">
    <w:name w:val="Char Char Char Char Char Char1 Char Char Char Char Char Char Char1"/>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020">
    <w:name w:val="Char Char Char3 Char Char Char71"/>
    <w:basedOn w:val="1"/>
    <w:qFormat/>
    <w:uiPriority w:val="0"/>
    <w:pPr>
      <w:ind w:firstLine="200" w:firstLineChars="200"/>
    </w:pPr>
    <w:rPr>
      <w:rFonts w:ascii="宋体" w:hAnsi="宋体" w:cs="宋体"/>
      <w:sz w:val="24"/>
      <w:szCs w:val="24"/>
    </w:rPr>
  </w:style>
  <w:style w:type="paragraph" w:customStyle="1" w:styleId="1021">
    <w:name w:val="Char Char Char3 Char Char Char4 Char Char Char1 Char Char Char Char Char1"/>
    <w:basedOn w:val="1"/>
    <w:uiPriority w:val="0"/>
    <w:pPr>
      <w:ind w:firstLine="200" w:firstLineChars="200"/>
    </w:pPr>
    <w:rPr>
      <w:rFonts w:ascii="宋体" w:hAnsi="宋体" w:cs="宋体"/>
      <w:sz w:val="24"/>
      <w:szCs w:val="24"/>
    </w:rPr>
  </w:style>
  <w:style w:type="paragraph" w:customStyle="1" w:styleId="1022">
    <w:name w:val="Char Char Char Char Char Char2 Char1"/>
    <w:basedOn w:val="1"/>
    <w:qFormat/>
    <w:uiPriority w:val="0"/>
    <w:pPr>
      <w:ind w:firstLine="200" w:firstLineChars="200"/>
    </w:pPr>
    <w:rPr>
      <w:rFonts w:ascii="宋体" w:hAnsi="宋体" w:cs="宋体"/>
      <w:sz w:val="24"/>
      <w:szCs w:val="24"/>
    </w:rPr>
  </w:style>
  <w:style w:type="paragraph" w:customStyle="1" w:styleId="1023">
    <w:name w:val="Char Char Char3 Char Char Char4 Char1"/>
    <w:basedOn w:val="1"/>
    <w:uiPriority w:val="0"/>
    <w:pPr>
      <w:ind w:firstLine="200" w:firstLineChars="200"/>
    </w:pPr>
    <w:rPr>
      <w:rFonts w:ascii="宋体" w:hAnsi="宋体" w:cs="宋体"/>
      <w:sz w:val="24"/>
      <w:szCs w:val="24"/>
    </w:rPr>
  </w:style>
  <w:style w:type="paragraph" w:customStyle="1" w:styleId="1024">
    <w:name w:val="Char Char Char Char Char Char Char Char Char1 Char1"/>
    <w:basedOn w:val="1"/>
    <w:qFormat/>
    <w:uiPriority w:val="0"/>
    <w:pPr>
      <w:widowControl/>
      <w:spacing w:line="240" w:lineRule="auto"/>
      <w:jc w:val="left"/>
    </w:pPr>
    <w:rPr>
      <w:rFonts w:ascii="Tahoma" w:hAnsi="Tahoma" w:cs="仿宋_GB2312"/>
      <w:kern w:val="0"/>
      <w:sz w:val="24"/>
      <w:szCs w:val="20"/>
    </w:rPr>
  </w:style>
  <w:style w:type="paragraph" w:customStyle="1" w:styleId="1025">
    <w:name w:val="Char Char Char3 Char Char Char Char"/>
    <w:basedOn w:val="1"/>
    <w:qFormat/>
    <w:uiPriority w:val="0"/>
    <w:pPr>
      <w:ind w:firstLine="200" w:firstLineChars="200"/>
    </w:pPr>
    <w:rPr>
      <w:rFonts w:ascii="宋体" w:hAnsi="宋体" w:cs="宋体"/>
      <w:sz w:val="24"/>
      <w:szCs w:val="24"/>
    </w:rPr>
  </w:style>
  <w:style w:type="paragraph" w:customStyle="1" w:styleId="1026">
    <w:name w:val="Char Char1 Char Char Char Char Char Char"/>
    <w:basedOn w:val="1"/>
    <w:uiPriority w:val="0"/>
    <w:pPr>
      <w:ind w:firstLine="200" w:firstLineChars="200"/>
    </w:pPr>
    <w:rPr>
      <w:rFonts w:ascii="宋体" w:hAnsi="宋体" w:cs="宋体"/>
      <w:sz w:val="24"/>
      <w:szCs w:val="24"/>
    </w:rPr>
  </w:style>
  <w:style w:type="paragraph" w:customStyle="1" w:styleId="1027">
    <w:name w:val="Char Char5 Char"/>
    <w:basedOn w:val="1"/>
    <w:uiPriority w:val="0"/>
    <w:pPr>
      <w:ind w:firstLine="200" w:firstLineChars="200"/>
    </w:pPr>
    <w:rPr>
      <w:rFonts w:ascii="宋体" w:hAnsi="宋体" w:cs="宋体"/>
      <w:sz w:val="24"/>
      <w:szCs w:val="24"/>
    </w:rPr>
  </w:style>
  <w:style w:type="paragraph" w:customStyle="1" w:styleId="1028">
    <w:name w:val="Char13 Char Char Char Char Char Char Char Char Char"/>
    <w:basedOn w:val="1"/>
    <w:qFormat/>
    <w:uiPriority w:val="0"/>
    <w:pPr>
      <w:ind w:firstLine="200" w:firstLineChars="200"/>
    </w:pPr>
    <w:rPr>
      <w:rFonts w:ascii="宋体" w:hAnsi="宋体" w:cs="宋体"/>
      <w:sz w:val="24"/>
      <w:szCs w:val="24"/>
    </w:rPr>
  </w:style>
  <w:style w:type="paragraph" w:customStyle="1" w:styleId="1029">
    <w:name w:val="Char Char Char4 Char"/>
    <w:basedOn w:val="1"/>
    <w:qFormat/>
    <w:uiPriority w:val="0"/>
    <w:pPr>
      <w:ind w:firstLine="200" w:firstLineChars="200"/>
    </w:pPr>
    <w:rPr>
      <w:rFonts w:ascii="宋体" w:hAnsi="宋体" w:cs="宋体"/>
      <w:sz w:val="24"/>
      <w:szCs w:val="24"/>
    </w:rPr>
  </w:style>
  <w:style w:type="paragraph" w:customStyle="1" w:styleId="1030">
    <w:name w:val="Char Char Char3 Char Char Char7 Char"/>
    <w:basedOn w:val="1"/>
    <w:qFormat/>
    <w:uiPriority w:val="0"/>
    <w:pPr>
      <w:ind w:firstLine="200" w:firstLineChars="200"/>
    </w:pPr>
    <w:rPr>
      <w:rFonts w:ascii="宋体" w:hAnsi="宋体" w:cs="宋体"/>
      <w:sz w:val="24"/>
      <w:szCs w:val="24"/>
    </w:rPr>
  </w:style>
  <w:style w:type="paragraph" w:customStyle="1" w:styleId="1031">
    <w:name w:val="Char8 Char Char Char Char Char"/>
    <w:basedOn w:val="1"/>
    <w:qFormat/>
    <w:uiPriority w:val="0"/>
    <w:pPr>
      <w:ind w:firstLine="200" w:firstLineChars="200"/>
    </w:pPr>
    <w:rPr>
      <w:rFonts w:ascii="宋体" w:hAnsi="宋体" w:cs="宋体"/>
      <w:sz w:val="24"/>
      <w:szCs w:val="24"/>
    </w:rPr>
  </w:style>
  <w:style w:type="paragraph" w:customStyle="1" w:styleId="1032">
    <w:name w:val="Char Char Char3 Char Char Char4 Char Char Char1 Char Char1"/>
    <w:basedOn w:val="1"/>
    <w:qFormat/>
    <w:uiPriority w:val="0"/>
    <w:pPr>
      <w:ind w:firstLine="200" w:firstLineChars="200"/>
    </w:pPr>
    <w:rPr>
      <w:rFonts w:ascii="宋体" w:hAnsi="宋体" w:cs="宋体"/>
      <w:sz w:val="24"/>
      <w:szCs w:val="24"/>
    </w:rPr>
  </w:style>
  <w:style w:type="paragraph" w:customStyle="1" w:styleId="1033">
    <w:name w:val="样式 标题 3小标题标题3H3h33rd level第二层条3heading 3- bodyh3bh3ah..."/>
    <w:basedOn w:val="4"/>
    <w:qFormat/>
    <w:uiPriority w:val="0"/>
    <w:pPr>
      <w:keepNext w:val="0"/>
      <w:keepLines w:val="0"/>
      <w:spacing w:before="240" w:after="0" w:line="360" w:lineRule="auto"/>
      <w:jc w:val="left"/>
    </w:pPr>
    <w:rPr>
      <w:rFonts w:ascii="Times New Roman" w:hAnsi="华文中宋" w:eastAsia="黑体" w:cs="宋体"/>
      <w:b w:val="0"/>
      <w:bCs w:val="0"/>
      <w:kern w:val="0"/>
      <w:sz w:val="24"/>
      <w:szCs w:val="20"/>
    </w:rPr>
  </w:style>
  <w:style w:type="paragraph" w:customStyle="1" w:styleId="1034">
    <w:name w:val="Char Char Char Char Char Char1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character" w:customStyle="1" w:styleId="1035">
    <w:name w:val="报告书正文 Char Char Char Char Char Char1"/>
    <w:link w:val="930"/>
    <w:qFormat/>
    <w:uiPriority w:val="0"/>
    <w:rPr>
      <w:rFonts w:ascii="宋体" w:hAnsi="宋体" w:eastAsia="宋体" w:cs="Times New Roman"/>
      <w:sz w:val="24"/>
      <w:szCs w:val="24"/>
    </w:rPr>
  </w:style>
  <w:style w:type="paragraph" w:customStyle="1" w:styleId="1036">
    <w:name w:val="报告书正文 Char Char Char1"/>
    <w:basedOn w:val="1"/>
    <w:qFormat/>
    <w:uiPriority w:val="0"/>
    <w:pPr>
      <w:spacing w:line="300" w:lineRule="auto"/>
      <w:ind w:firstLine="480" w:firstLineChars="200"/>
    </w:pPr>
    <w:rPr>
      <w:rFonts w:ascii="Times New Roman" w:hAnsi="Times New Roman"/>
      <w:color w:val="000000"/>
      <w:sz w:val="24"/>
      <w:szCs w:val="24"/>
    </w:rPr>
  </w:style>
  <w:style w:type="paragraph" w:customStyle="1" w:styleId="1037">
    <w:name w:val="Char Char Char Char Char Char1 Char Char Char Char1"/>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kern w:val="0"/>
      <w:sz w:val="24"/>
      <w:szCs w:val="24"/>
    </w:rPr>
  </w:style>
  <w:style w:type="paragraph" w:customStyle="1" w:styleId="1038">
    <w:name w:val="Char Char Char Char Char Char1 Char Char Char Char Char Char3 Char"/>
    <w:basedOn w:val="4"/>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character" w:customStyle="1" w:styleId="1039">
    <w:name w:val="123YJ Char Char Char"/>
    <w:qFormat/>
    <w:uiPriority w:val="0"/>
    <w:rPr>
      <w:sz w:val="18"/>
    </w:rPr>
  </w:style>
  <w:style w:type="paragraph" w:customStyle="1" w:styleId="1040">
    <w:name w:val="表尾"/>
    <w:basedOn w:val="1"/>
    <w:next w:val="1"/>
    <w:uiPriority w:val="0"/>
    <w:pPr>
      <w:spacing w:line="240" w:lineRule="auto"/>
      <w:ind w:right="28"/>
      <w:jc w:val="left"/>
    </w:pPr>
    <w:rPr>
      <w:rFonts w:ascii="宋体" w:hAnsi="宋体"/>
      <w:snapToGrid w:val="0"/>
      <w:sz w:val="21"/>
      <w:szCs w:val="24"/>
    </w:rPr>
  </w:style>
  <w:style w:type="character" w:customStyle="1" w:styleId="1041">
    <w:name w:val="bg Char Char"/>
    <w:qFormat/>
    <w:uiPriority w:val="0"/>
    <w:rPr>
      <w:sz w:val="21"/>
      <w:szCs w:val="21"/>
    </w:rPr>
  </w:style>
  <w:style w:type="paragraph" w:customStyle="1" w:styleId="1042">
    <w:name w:val="april标题1"/>
    <w:basedOn w:val="2"/>
    <w:qFormat/>
    <w:uiPriority w:val="0"/>
    <w:pPr>
      <w:adjustRightInd w:val="0"/>
      <w:spacing w:before="480" w:after="480" w:line="240" w:lineRule="auto"/>
      <w:jc w:val="center"/>
      <w:textAlignment w:val="baseline"/>
    </w:pPr>
    <w:rPr>
      <w:rFonts w:ascii="宋体" w:hAnsi="Times New Roman" w:eastAsia="黑体"/>
      <w:b w:val="0"/>
      <w:spacing w:val="6"/>
      <w:sz w:val="32"/>
      <w:szCs w:val="20"/>
    </w:rPr>
  </w:style>
  <w:style w:type="character" w:customStyle="1" w:styleId="1043">
    <w:name w:val="f241"/>
    <w:qFormat/>
    <w:uiPriority w:val="0"/>
    <w:rPr>
      <w:sz w:val="36"/>
      <w:szCs w:val="36"/>
    </w:rPr>
  </w:style>
  <w:style w:type="paragraph" w:customStyle="1" w:styleId="1044">
    <w:name w:val="正文居中"/>
    <w:basedOn w:val="1"/>
    <w:uiPriority w:val="0"/>
    <w:pPr>
      <w:spacing w:line="240" w:lineRule="auto"/>
      <w:jc w:val="center"/>
    </w:pPr>
    <w:rPr>
      <w:rFonts w:ascii="Times New Roman" w:hAnsi="Times New Roman"/>
      <w:sz w:val="21"/>
      <w:szCs w:val="24"/>
    </w:rPr>
  </w:style>
  <w:style w:type="paragraph" w:customStyle="1" w:styleId="1045">
    <w:name w:val="正文居中粗"/>
    <w:basedOn w:val="1"/>
    <w:uiPriority w:val="0"/>
    <w:pPr>
      <w:spacing w:line="240" w:lineRule="auto"/>
      <w:jc w:val="center"/>
    </w:pPr>
    <w:rPr>
      <w:rFonts w:ascii="宋体" w:hAnsi="Times New Roman"/>
      <w:b/>
      <w:bCs/>
      <w:color w:val="000000"/>
      <w:spacing w:val="4"/>
      <w:sz w:val="21"/>
      <w:szCs w:val="24"/>
    </w:rPr>
  </w:style>
  <w:style w:type="paragraph" w:customStyle="1" w:styleId="1046">
    <w:name w:val="图表1"/>
    <w:basedOn w:val="61"/>
    <w:qFormat/>
    <w:uiPriority w:val="0"/>
    <w:pPr>
      <w:adjustRightInd/>
      <w:snapToGrid w:val="0"/>
      <w:spacing w:line="360" w:lineRule="exact"/>
      <w:ind w:left="0" w:firstLine="0"/>
      <w:jc w:val="center"/>
      <w:textAlignment w:val="auto"/>
    </w:pPr>
    <w:rPr>
      <w:rFonts w:ascii="宋体" w:hAnsi="宋体"/>
      <w:spacing w:val="6"/>
      <w:kern w:val="2"/>
      <w:szCs w:val="24"/>
    </w:rPr>
  </w:style>
  <w:style w:type="paragraph" w:customStyle="1" w:styleId="1047">
    <w:name w:val="斜体正文"/>
    <w:basedOn w:val="1"/>
    <w:qFormat/>
    <w:uiPriority w:val="0"/>
    <w:pPr>
      <w:ind w:firstLine="200" w:firstLineChars="200"/>
    </w:pPr>
    <w:rPr>
      <w:rFonts w:ascii="Times New Roman" w:hAnsi="Times New Roman"/>
      <w:b/>
      <w:i/>
      <w:spacing w:val="6"/>
      <w:sz w:val="24"/>
      <w:szCs w:val="24"/>
    </w:rPr>
  </w:style>
  <w:style w:type="paragraph" w:customStyle="1" w:styleId="1048">
    <w:name w:val="样式 表格 +"/>
    <w:basedOn w:val="143"/>
    <w:qFormat/>
    <w:uiPriority w:val="0"/>
    <w:pPr>
      <w:adjustRightInd/>
      <w:snapToGrid/>
      <w:spacing w:before="0" w:beforeLines="0" w:after="0" w:afterLines="0" w:line="0" w:lineRule="atLeast"/>
    </w:pPr>
    <w:rPr>
      <w:rFonts w:eastAsia="楷体_GB2312"/>
      <w:b/>
      <w:sz w:val="28"/>
      <w:szCs w:val="56"/>
    </w:rPr>
  </w:style>
  <w:style w:type="paragraph" w:customStyle="1" w:styleId="1049">
    <w:name w:val="名录"/>
    <w:basedOn w:val="1"/>
    <w:qFormat/>
    <w:uiPriority w:val="0"/>
    <w:pPr>
      <w:jc w:val="center"/>
    </w:pPr>
    <w:rPr>
      <w:rFonts w:ascii="Times New Roman" w:hAnsi="Times New Roman"/>
      <w:spacing w:val="6"/>
      <w:sz w:val="21"/>
      <w:szCs w:val="24"/>
    </w:rPr>
  </w:style>
  <w:style w:type="paragraph" w:customStyle="1" w:styleId="1050">
    <w:name w:val="样式 备注 + 宋体 首行缩进:  2 字符"/>
    <w:basedOn w:val="399"/>
    <w:qFormat/>
    <w:uiPriority w:val="0"/>
    <w:pPr>
      <w:tabs>
        <w:tab w:val="clear" w:pos="547"/>
        <w:tab w:val="clear" w:pos="1080"/>
      </w:tabs>
      <w:spacing w:line="360" w:lineRule="auto"/>
      <w:ind w:firstLine="200" w:firstLineChars="200"/>
    </w:pPr>
    <w:rPr>
      <w:spacing w:val="6"/>
      <w:szCs w:val="24"/>
    </w:rPr>
  </w:style>
  <w:style w:type="paragraph" w:customStyle="1" w:styleId="1051">
    <w:name w:val="样式 表格 + 居中"/>
    <w:basedOn w:val="143"/>
    <w:qFormat/>
    <w:uiPriority w:val="0"/>
    <w:pPr>
      <w:adjustRightInd/>
      <w:snapToGrid/>
      <w:spacing w:before="0" w:beforeLines="0" w:after="0" w:afterLines="0" w:line="0" w:lineRule="atLeast"/>
    </w:pPr>
    <w:rPr>
      <w:rFonts w:eastAsia="楷体_GB2312"/>
      <w:b/>
      <w:sz w:val="28"/>
      <w:szCs w:val="56"/>
    </w:rPr>
  </w:style>
  <w:style w:type="paragraph" w:customStyle="1" w:styleId="1052">
    <w:name w:val="样式 表格 + 居中1"/>
    <w:basedOn w:val="143"/>
    <w:qFormat/>
    <w:uiPriority w:val="0"/>
    <w:pPr>
      <w:adjustRightInd/>
      <w:snapToGrid/>
      <w:spacing w:before="0" w:beforeLines="0" w:after="0" w:afterLines="0" w:line="0" w:lineRule="atLeast"/>
    </w:pPr>
    <w:rPr>
      <w:rFonts w:eastAsia="楷体_GB2312"/>
      <w:b/>
      <w:sz w:val="28"/>
      <w:szCs w:val="56"/>
    </w:rPr>
  </w:style>
  <w:style w:type="character" w:customStyle="1" w:styleId="1053">
    <w:name w:val="q21"/>
    <w:qFormat/>
    <w:uiPriority w:val="0"/>
    <w:rPr>
      <w:rFonts w:hint="default" w:ascii="Arial" w:hAnsi="Arial" w:cs="Arial"/>
      <w:color w:val="000000"/>
      <w:sz w:val="18"/>
      <w:szCs w:val="18"/>
      <w:u w:val="none"/>
    </w:rPr>
  </w:style>
  <w:style w:type="paragraph" w:customStyle="1" w:styleId="1054">
    <w:name w:val="报告书一级标题"/>
    <w:qFormat/>
    <w:uiPriority w:val="0"/>
    <w:pPr>
      <w:spacing w:before="480" w:after="240"/>
      <w:jc w:val="center"/>
    </w:pPr>
    <w:rPr>
      <w:rFonts w:ascii="黑体" w:hAnsi="Times New Roman" w:eastAsia="黑体" w:cs="Times New Roman"/>
      <w:kern w:val="44"/>
      <w:sz w:val="32"/>
      <w:szCs w:val="32"/>
      <w:lang w:val="en-US" w:eastAsia="zh-CN" w:bidi="ar-SA"/>
    </w:rPr>
  </w:style>
  <w:style w:type="paragraph" w:customStyle="1" w:styleId="1055">
    <w:name w:val="报告书二级标题"/>
    <w:basedOn w:val="3"/>
    <w:qFormat/>
    <w:uiPriority w:val="0"/>
    <w:pPr>
      <w:tabs>
        <w:tab w:val="clear" w:pos="1287"/>
      </w:tabs>
      <w:spacing w:before="240" w:beforeAutospacing="0" w:after="240" w:afterAutospacing="0" w:line="240" w:lineRule="auto"/>
    </w:pPr>
    <w:rPr>
      <w:rFonts w:ascii="宋体" w:hAnsi="宋体" w:eastAsia="宋体"/>
      <w:bCs w:val="0"/>
      <w:sz w:val="28"/>
      <w:szCs w:val="20"/>
    </w:rPr>
  </w:style>
  <w:style w:type="paragraph" w:customStyle="1" w:styleId="1056">
    <w:name w:val="报告书三级标题"/>
    <w:basedOn w:val="4"/>
    <w:qFormat/>
    <w:uiPriority w:val="0"/>
    <w:pPr>
      <w:spacing w:before="0" w:after="0" w:line="300" w:lineRule="auto"/>
    </w:pPr>
    <w:rPr>
      <w:rFonts w:ascii="宋体" w:hAnsi="宋体"/>
      <w:b w:val="0"/>
      <w:bCs w:val="0"/>
      <w:kern w:val="0"/>
      <w:sz w:val="24"/>
      <w:szCs w:val="24"/>
    </w:rPr>
  </w:style>
  <w:style w:type="paragraph" w:customStyle="1" w:styleId="1057">
    <w:name w:val="XCHG论文节"/>
    <w:basedOn w:val="1"/>
    <w:qFormat/>
    <w:uiPriority w:val="0"/>
    <w:pPr>
      <w:spacing w:beforeLines="100" w:afterLines="100" w:line="240" w:lineRule="auto"/>
    </w:pPr>
    <w:rPr>
      <w:rFonts w:ascii="方正姚体" w:hAnsi="Times New Roman" w:eastAsia="方正姚体"/>
      <w:b/>
      <w:bCs/>
      <w:sz w:val="36"/>
      <w:szCs w:val="24"/>
    </w:rPr>
  </w:style>
  <w:style w:type="paragraph" w:customStyle="1" w:styleId="1058">
    <w:name w:val="XCHG论文小节"/>
    <w:basedOn w:val="1"/>
    <w:qFormat/>
    <w:uiPriority w:val="0"/>
    <w:pPr>
      <w:spacing w:beforeLines="75" w:afterLines="75" w:line="240" w:lineRule="auto"/>
    </w:pPr>
    <w:rPr>
      <w:rFonts w:ascii="Arial" w:hAnsi="Arial" w:eastAsia="隶书" w:cs="Arial"/>
      <w:b/>
      <w:bCs/>
      <w:color w:val="000000"/>
      <w:sz w:val="32"/>
      <w:szCs w:val="24"/>
    </w:rPr>
  </w:style>
  <w:style w:type="character" w:customStyle="1" w:styleId="1059">
    <w:name w:val="p101"/>
    <w:uiPriority w:val="0"/>
    <w:rPr>
      <w:rFonts w:hint="default" w:ascii="p10" w:hAnsi="p10"/>
      <w:color w:val="006633"/>
      <w:spacing w:val="400"/>
      <w:sz w:val="20"/>
      <w:szCs w:val="20"/>
    </w:rPr>
  </w:style>
  <w:style w:type="character" w:customStyle="1" w:styleId="1060">
    <w:name w:val="unnamed11"/>
    <w:qFormat/>
    <w:uiPriority w:val="0"/>
    <w:rPr>
      <w:color w:val="006666"/>
      <w:spacing w:val="240"/>
      <w:sz w:val="21"/>
      <w:szCs w:val="21"/>
    </w:rPr>
  </w:style>
  <w:style w:type="paragraph" w:customStyle="1" w:styleId="1061">
    <w:name w:val="文字"/>
    <w:basedOn w:val="1"/>
    <w:qFormat/>
    <w:uiPriority w:val="0"/>
    <w:pPr>
      <w:widowControl/>
      <w:spacing w:afterLines="50"/>
      <w:ind w:firstLine="420"/>
    </w:pPr>
    <w:rPr>
      <w:rFonts w:ascii="Times New Roman" w:hAnsi="Times New Roman"/>
      <w:kern w:val="0"/>
      <w:sz w:val="24"/>
      <w:szCs w:val="24"/>
    </w:rPr>
  </w:style>
  <w:style w:type="paragraph" w:customStyle="1" w:styleId="1062">
    <w:name w:val="p16"/>
    <w:basedOn w:val="1"/>
    <w:qFormat/>
    <w:uiPriority w:val="0"/>
    <w:pPr>
      <w:widowControl/>
      <w:spacing w:line="240" w:lineRule="auto"/>
    </w:pPr>
    <w:rPr>
      <w:rFonts w:ascii="宋体" w:hAnsi="宋体" w:cs="宋体"/>
      <w:kern w:val="0"/>
      <w:sz w:val="11"/>
      <w:szCs w:val="11"/>
    </w:rPr>
  </w:style>
  <w:style w:type="paragraph" w:customStyle="1" w:styleId="1063">
    <w:name w:val="Char Char Char Char Char Char Char Char Char1 Char Char Char Char Char Char Char Char Char Char Char Char Char Char Char Char"/>
    <w:basedOn w:val="1"/>
    <w:qFormat/>
    <w:uiPriority w:val="0"/>
    <w:pPr>
      <w:ind w:firstLine="200" w:firstLineChars="200"/>
    </w:pPr>
    <w:rPr>
      <w:rFonts w:ascii="宋体" w:hAnsi="宋体" w:cs="宋体"/>
      <w:sz w:val="24"/>
      <w:szCs w:val="24"/>
    </w:rPr>
  </w:style>
  <w:style w:type="paragraph" w:customStyle="1" w:styleId="1064">
    <w:name w:val="Char Char Char Char Char Char3"/>
    <w:basedOn w:val="1"/>
    <w:qFormat/>
    <w:uiPriority w:val="0"/>
    <w:pPr>
      <w:ind w:firstLine="200" w:firstLineChars="200"/>
    </w:pPr>
    <w:rPr>
      <w:rFonts w:ascii="宋体" w:hAnsi="宋体" w:cs="宋体"/>
      <w:sz w:val="24"/>
      <w:szCs w:val="24"/>
    </w:rPr>
  </w:style>
  <w:style w:type="paragraph" w:customStyle="1" w:styleId="1065">
    <w:name w:val="封面主标题"/>
    <w:basedOn w:val="1"/>
    <w:qFormat/>
    <w:uiPriority w:val="0"/>
    <w:pPr>
      <w:spacing w:line="240" w:lineRule="auto"/>
      <w:jc w:val="center"/>
    </w:pPr>
    <w:rPr>
      <w:rFonts w:ascii="方正大标宋简体" w:hAnsi="Times New Roman" w:eastAsia="方正大标宋简体" w:cs="宋体"/>
      <w:sz w:val="52"/>
      <w:szCs w:val="20"/>
    </w:rPr>
  </w:style>
  <w:style w:type="character" w:customStyle="1" w:styleId="1066">
    <w:name w:val="large1"/>
    <w:qFormat/>
    <w:uiPriority w:val="0"/>
    <w:rPr>
      <w:spacing w:val="380"/>
      <w:sz w:val="22"/>
      <w:szCs w:val="22"/>
    </w:rPr>
  </w:style>
  <w:style w:type="paragraph" w:customStyle="1" w:styleId="1067">
    <w:name w:val="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068">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69">
    <w:name w:val="一级条标题"/>
    <w:basedOn w:val="2"/>
    <w:next w:val="1"/>
    <w:qFormat/>
    <w:uiPriority w:val="0"/>
    <w:pPr>
      <w:keepNext w:val="0"/>
      <w:keepLines w:val="0"/>
      <w:widowControl/>
      <w:spacing w:before="0" w:after="0" w:line="240" w:lineRule="auto"/>
      <w:ind w:left="180" w:hanging="180"/>
      <w:outlineLvl w:val="2"/>
    </w:pPr>
    <w:rPr>
      <w:rFonts w:ascii="黑体" w:hAnsi="Times New Roman" w:eastAsia="黑体"/>
      <w:b w:val="0"/>
      <w:bCs w:val="0"/>
      <w:kern w:val="0"/>
      <w:sz w:val="21"/>
      <w:szCs w:val="20"/>
      <w:u w:color="000000"/>
    </w:rPr>
  </w:style>
  <w:style w:type="paragraph" w:customStyle="1" w:styleId="1070">
    <w:name w:val="二级条标题"/>
    <w:basedOn w:val="1069"/>
    <w:next w:val="1"/>
    <w:qFormat/>
    <w:uiPriority w:val="0"/>
    <w:pPr>
      <w:outlineLvl w:val="3"/>
    </w:pPr>
  </w:style>
  <w:style w:type="paragraph" w:customStyle="1" w:styleId="1071">
    <w:name w:val="三级条标题"/>
    <w:basedOn w:val="1070"/>
    <w:next w:val="1"/>
    <w:qFormat/>
    <w:uiPriority w:val="0"/>
    <w:pPr>
      <w:outlineLvl w:val="4"/>
    </w:pPr>
  </w:style>
  <w:style w:type="paragraph" w:customStyle="1" w:styleId="1072">
    <w:name w:val="四级条标题"/>
    <w:basedOn w:val="1071"/>
    <w:next w:val="1"/>
    <w:qFormat/>
    <w:uiPriority w:val="0"/>
    <w:pPr>
      <w:outlineLvl w:val="5"/>
    </w:pPr>
  </w:style>
  <w:style w:type="paragraph" w:customStyle="1" w:styleId="1073">
    <w:name w:val="五级条标题"/>
    <w:basedOn w:val="1072"/>
    <w:next w:val="1"/>
    <w:qFormat/>
    <w:uiPriority w:val="0"/>
    <w:pPr>
      <w:outlineLvl w:val="6"/>
    </w:pPr>
  </w:style>
  <w:style w:type="character" w:customStyle="1" w:styleId="1074">
    <w:name w:val="小四 C"/>
    <w:qFormat/>
    <w:uiPriority w:val="0"/>
    <w:rPr>
      <w:rFonts w:ascii="Arial" w:hAnsi="Arial" w:eastAsia="黑体"/>
      <w:b/>
      <w:bCs/>
      <w:sz w:val="28"/>
      <w:szCs w:val="28"/>
    </w:rPr>
  </w:style>
  <w:style w:type="paragraph" w:customStyle="1" w:styleId="1075">
    <w:name w:val="样式 标题 8图表名称 + 首行缩进:  0.99 厘米 Char Char Char"/>
    <w:basedOn w:val="9"/>
    <w:link w:val="1076"/>
    <w:qFormat/>
    <w:uiPriority w:val="0"/>
    <w:pPr>
      <w:spacing w:before="0" w:after="0" w:line="240" w:lineRule="auto"/>
      <w:ind w:left="0" w:firstLine="0"/>
      <w:jc w:val="center"/>
    </w:pPr>
    <w:rPr>
      <w:rFonts w:eastAsia="宋体" w:cs="宋体"/>
      <w:b/>
      <w:kern w:val="2"/>
      <w:sz w:val="28"/>
      <w:szCs w:val="28"/>
      <w:u w:val="thick"/>
      <w:lang w:val="en-US"/>
    </w:rPr>
  </w:style>
  <w:style w:type="character" w:customStyle="1" w:styleId="1076">
    <w:name w:val="样式 标题 8图表名称 + 首行缩进:  0.99 厘米 Char Char Char Char"/>
    <w:link w:val="1075"/>
    <w:qFormat/>
    <w:uiPriority w:val="0"/>
    <w:rPr>
      <w:rFonts w:ascii="Arial" w:hAnsi="Arial" w:eastAsia="宋体" w:cs="宋体"/>
      <w:b/>
      <w:bCs/>
      <w:sz w:val="28"/>
      <w:szCs w:val="28"/>
      <w:u w:val="thick"/>
    </w:rPr>
  </w:style>
  <w:style w:type="paragraph" w:customStyle="1" w:styleId="1077">
    <w:name w:val="标题5 Char Char Char Char Char"/>
    <w:basedOn w:val="1"/>
    <w:link w:val="1078"/>
    <w:qFormat/>
    <w:uiPriority w:val="0"/>
    <w:pPr>
      <w:tabs>
        <w:tab w:val="left" w:pos="840"/>
      </w:tabs>
      <w:ind w:left="840" w:hanging="420"/>
      <w:jc w:val="left"/>
      <w:outlineLvl w:val="3"/>
    </w:pPr>
    <w:rPr>
      <w:rFonts w:ascii="Times New Roman" w:hAnsi="Times New Roman"/>
      <w:sz w:val="24"/>
      <w:szCs w:val="24"/>
    </w:rPr>
  </w:style>
  <w:style w:type="character" w:customStyle="1" w:styleId="1078">
    <w:name w:val="标题5 Char Char Char Char Char Char"/>
    <w:link w:val="1077"/>
    <w:qFormat/>
    <w:uiPriority w:val="0"/>
    <w:rPr>
      <w:rFonts w:ascii="Times New Roman" w:hAnsi="Times New Roman" w:eastAsia="宋体" w:cs="Times New Roman"/>
      <w:sz w:val="24"/>
      <w:szCs w:val="24"/>
    </w:rPr>
  </w:style>
  <w:style w:type="paragraph" w:customStyle="1" w:styleId="1079">
    <w:name w:val="样式1-正文z Char Char Char Char"/>
    <w:basedOn w:val="1"/>
    <w:link w:val="1080"/>
    <w:uiPriority w:val="0"/>
    <w:pPr>
      <w:adjustRightInd w:val="0"/>
      <w:snapToGrid w:val="0"/>
      <w:spacing w:line="380" w:lineRule="exact"/>
      <w:ind w:firstLine="482"/>
      <w:textAlignment w:val="center"/>
    </w:pPr>
    <w:rPr>
      <w:rFonts w:ascii="Times New Roman" w:hAnsi="Times New Roman"/>
      <w:snapToGrid w:val="0"/>
      <w:sz w:val="24"/>
      <w:szCs w:val="24"/>
    </w:rPr>
  </w:style>
  <w:style w:type="character" w:customStyle="1" w:styleId="1080">
    <w:name w:val="样式1-正文z Char Char Char Char Char"/>
    <w:link w:val="1079"/>
    <w:qFormat/>
    <w:uiPriority w:val="0"/>
    <w:rPr>
      <w:rFonts w:ascii="Times New Roman" w:hAnsi="Times New Roman" w:eastAsia="宋体" w:cs="Times New Roman"/>
      <w:snapToGrid w:val="0"/>
      <w:sz w:val="24"/>
      <w:szCs w:val="24"/>
    </w:rPr>
  </w:style>
  <w:style w:type="paragraph" w:customStyle="1" w:styleId="1081">
    <w:name w:val="标题5 Char Char Char"/>
    <w:basedOn w:val="1"/>
    <w:qFormat/>
    <w:uiPriority w:val="0"/>
    <w:pPr>
      <w:tabs>
        <w:tab w:val="left" w:pos="170"/>
      </w:tabs>
      <w:ind w:left="624" w:hanging="227"/>
      <w:jc w:val="left"/>
      <w:outlineLvl w:val="3"/>
    </w:pPr>
    <w:rPr>
      <w:rFonts w:ascii="Times New Roman" w:hAnsi="Times New Roman"/>
      <w:sz w:val="24"/>
      <w:szCs w:val="24"/>
    </w:rPr>
  </w:style>
  <w:style w:type="paragraph" w:customStyle="1" w:styleId="1082">
    <w:name w:val="样式1-正文z Char"/>
    <w:basedOn w:val="1"/>
    <w:link w:val="1083"/>
    <w:qFormat/>
    <w:uiPriority w:val="0"/>
    <w:pPr>
      <w:adjustRightInd w:val="0"/>
      <w:snapToGrid w:val="0"/>
      <w:spacing w:line="380" w:lineRule="exact"/>
      <w:ind w:firstLine="482"/>
      <w:textAlignment w:val="center"/>
    </w:pPr>
    <w:rPr>
      <w:rFonts w:ascii="Times New Roman" w:hAnsi="Times New Roman"/>
      <w:snapToGrid w:val="0"/>
      <w:sz w:val="24"/>
      <w:szCs w:val="24"/>
    </w:rPr>
  </w:style>
  <w:style w:type="character" w:customStyle="1" w:styleId="1083">
    <w:name w:val="样式1-正文z Char Char"/>
    <w:link w:val="1082"/>
    <w:uiPriority w:val="0"/>
    <w:rPr>
      <w:rFonts w:ascii="Times New Roman" w:hAnsi="Times New Roman" w:eastAsia="宋体" w:cs="Times New Roman"/>
      <w:snapToGrid w:val="0"/>
      <w:sz w:val="24"/>
      <w:szCs w:val="24"/>
    </w:rPr>
  </w:style>
  <w:style w:type="paragraph" w:customStyle="1" w:styleId="1084">
    <w:name w:val="样式 标题 8图表名称 + 首行缩进:  0.99 厘米 Char Char"/>
    <w:basedOn w:val="9"/>
    <w:qFormat/>
    <w:uiPriority w:val="0"/>
    <w:pPr>
      <w:spacing w:before="0" w:after="0" w:line="240" w:lineRule="auto"/>
      <w:ind w:left="0" w:firstLine="0"/>
      <w:jc w:val="center"/>
    </w:pPr>
    <w:rPr>
      <w:rFonts w:eastAsia="宋体" w:cs="宋体"/>
      <w:b/>
      <w:kern w:val="2"/>
      <w:sz w:val="28"/>
      <w:szCs w:val="28"/>
      <w:u w:val="thick"/>
      <w:lang w:val="en-US"/>
    </w:rPr>
  </w:style>
  <w:style w:type="paragraph" w:customStyle="1" w:styleId="1085">
    <w:name w:val="标题5 Char Char Char Char"/>
    <w:basedOn w:val="1"/>
    <w:qFormat/>
    <w:uiPriority w:val="0"/>
    <w:pPr>
      <w:tabs>
        <w:tab w:val="left" w:pos="840"/>
      </w:tabs>
      <w:ind w:left="840" w:hanging="420"/>
      <w:jc w:val="left"/>
      <w:outlineLvl w:val="3"/>
    </w:pPr>
    <w:rPr>
      <w:rFonts w:ascii="Times New Roman" w:hAnsi="Times New Roman"/>
      <w:sz w:val="24"/>
      <w:szCs w:val="24"/>
    </w:rPr>
  </w:style>
  <w:style w:type="paragraph" w:customStyle="1" w:styleId="1086">
    <w:name w:val="样式1-正文z Char Char Char"/>
    <w:basedOn w:val="1"/>
    <w:uiPriority w:val="0"/>
    <w:pPr>
      <w:adjustRightInd w:val="0"/>
      <w:snapToGrid w:val="0"/>
      <w:spacing w:line="380" w:lineRule="exact"/>
      <w:ind w:firstLine="482"/>
      <w:textAlignment w:val="center"/>
    </w:pPr>
    <w:rPr>
      <w:rFonts w:ascii="Times New Roman" w:hAnsi="Times New Roman"/>
      <w:snapToGrid w:val="0"/>
      <w:sz w:val="24"/>
      <w:szCs w:val="24"/>
    </w:rPr>
  </w:style>
  <w:style w:type="paragraph" w:customStyle="1" w:styleId="1087">
    <w:name w:val="样式1-正文z"/>
    <w:basedOn w:val="1"/>
    <w:qFormat/>
    <w:uiPriority w:val="0"/>
    <w:pPr>
      <w:adjustRightInd w:val="0"/>
      <w:snapToGrid w:val="0"/>
      <w:spacing w:line="380" w:lineRule="exact"/>
      <w:ind w:firstLine="482"/>
      <w:textAlignment w:val="center"/>
    </w:pPr>
    <w:rPr>
      <w:rFonts w:ascii="Times New Roman" w:hAnsi="Times New Roman"/>
      <w:snapToGrid w:val="0"/>
      <w:sz w:val="24"/>
      <w:szCs w:val="24"/>
    </w:rPr>
  </w:style>
  <w:style w:type="paragraph" w:customStyle="1" w:styleId="1088">
    <w:name w:val="正文文字1"/>
    <w:basedOn w:val="1"/>
    <w:next w:val="31"/>
    <w:link w:val="1876"/>
    <w:uiPriority w:val="0"/>
    <w:pPr>
      <w:spacing w:after="120" w:line="240" w:lineRule="auto"/>
    </w:pPr>
    <w:rPr>
      <w:rFonts w:ascii="Times New Roman" w:hAnsi="Times New Roman"/>
      <w:sz w:val="21"/>
      <w:szCs w:val="24"/>
    </w:rPr>
  </w:style>
  <w:style w:type="character" w:customStyle="1" w:styleId="1089">
    <w:name w:val="标题 4 Char Char Char Char"/>
    <w:uiPriority w:val="0"/>
    <w:rPr>
      <w:b/>
      <w:bCs/>
      <w:snapToGrid w:val="0"/>
    </w:rPr>
  </w:style>
  <w:style w:type="character" w:customStyle="1" w:styleId="1090">
    <w:name w:val="grame"/>
    <w:qFormat/>
    <w:uiPriority w:val="0"/>
  </w:style>
  <w:style w:type="character" w:customStyle="1" w:styleId="1091">
    <w:name w:val="style6"/>
    <w:uiPriority w:val="0"/>
  </w:style>
  <w:style w:type="paragraph" w:customStyle="1" w:styleId="1092">
    <w:name w:val="Char Char Char Char Char Char1"/>
    <w:basedOn w:val="1"/>
    <w:uiPriority w:val="0"/>
    <w:pPr>
      <w:ind w:firstLine="200" w:firstLineChars="200"/>
    </w:pPr>
    <w:rPr>
      <w:rFonts w:ascii="宋体" w:hAnsi="宋体" w:cs="宋体"/>
      <w:sz w:val="24"/>
      <w:szCs w:val="24"/>
    </w:rPr>
  </w:style>
  <w:style w:type="character" w:customStyle="1" w:styleId="1093">
    <w:name w:val="hei41"/>
    <w:qFormat/>
    <w:uiPriority w:val="0"/>
    <w:rPr>
      <w:rFonts w:hint="eastAsia"/>
      <w:color w:val="333333"/>
      <w:sz w:val="18"/>
      <w:szCs w:val="18"/>
      <w:u w:val="none"/>
    </w:rPr>
  </w:style>
  <w:style w:type="paragraph" w:customStyle="1" w:styleId="1094">
    <w:name w:val="正文文本 311"/>
    <w:basedOn w:val="1"/>
    <w:qFormat/>
    <w:uiPriority w:val="0"/>
    <w:pPr>
      <w:adjustRightInd w:val="0"/>
      <w:spacing w:line="240" w:lineRule="atLeast"/>
      <w:jc w:val="center"/>
      <w:textAlignment w:val="baseline"/>
    </w:pPr>
    <w:rPr>
      <w:rFonts w:ascii="宋体" w:hAnsi="Times New Roman"/>
      <w:kern w:val="0"/>
      <w:sz w:val="18"/>
      <w:szCs w:val="20"/>
    </w:rPr>
  </w:style>
  <w:style w:type="paragraph" w:customStyle="1" w:styleId="1095">
    <w:name w:val="0"/>
    <w:basedOn w:val="1"/>
    <w:link w:val="1506"/>
    <w:qFormat/>
    <w:uiPriority w:val="0"/>
    <w:pPr>
      <w:widowControl/>
      <w:spacing w:line="240" w:lineRule="auto"/>
    </w:pPr>
    <w:rPr>
      <w:rFonts w:ascii="Times New Roman" w:hAnsi="Times New Roman"/>
      <w:kern w:val="0"/>
      <w:sz w:val="21"/>
      <w:szCs w:val="21"/>
    </w:rPr>
  </w:style>
  <w:style w:type="character" w:customStyle="1" w:styleId="1096">
    <w:name w:val="特点标题 Char Char Char Char Char Char Char Char Char Char Char Char Char Char Char Char Char C Char"/>
    <w:uiPriority w:val="0"/>
    <w:rPr>
      <w:spacing w:val="6"/>
    </w:rPr>
  </w:style>
  <w:style w:type="character" w:customStyle="1" w:styleId="1097">
    <w:name w:val="标题 4 Char Char Char2"/>
    <w:qFormat/>
    <w:uiPriority w:val="0"/>
    <w:rPr>
      <w:rFonts w:ascii="黑体" w:eastAsia="黑体"/>
      <w:b/>
      <w:bCs/>
      <w:spacing w:val="5"/>
      <w:szCs w:val="28"/>
    </w:rPr>
  </w:style>
  <w:style w:type="paragraph" w:customStyle="1" w:styleId="1098">
    <w:name w:val="样式 标题 3标题 3 CharH3B Head + 宋体 小三 Char Char Char"/>
    <w:basedOn w:val="4"/>
    <w:semiHidden/>
    <w:qFormat/>
    <w:uiPriority w:val="0"/>
    <w:pPr>
      <w:tabs>
        <w:tab w:val="left" w:pos="709"/>
        <w:tab w:val="left" w:pos="1412"/>
      </w:tabs>
      <w:adjustRightInd w:val="0"/>
      <w:snapToGrid w:val="0"/>
      <w:spacing w:before="240" w:after="240" w:line="360" w:lineRule="auto"/>
      <w:ind w:left="709" w:hanging="709"/>
    </w:pPr>
    <w:rPr>
      <w:rFonts w:ascii="宋体" w:hAnsi="宋体" w:eastAsia="黑体"/>
      <w:b w:val="0"/>
      <w:kern w:val="0"/>
      <w:sz w:val="30"/>
      <w:szCs w:val="28"/>
    </w:rPr>
  </w:style>
  <w:style w:type="paragraph" w:customStyle="1" w:styleId="1099">
    <w:name w:val="样式 标题 4 + 宋体 Char Char Char"/>
    <w:basedOn w:val="5"/>
    <w:semiHidden/>
    <w:uiPriority w:val="0"/>
    <w:pPr>
      <w:tabs>
        <w:tab w:val="left" w:pos="0"/>
      </w:tabs>
      <w:adjustRightInd w:val="0"/>
      <w:snapToGrid w:val="0"/>
      <w:spacing w:before="80" w:after="80" w:line="300" w:lineRule="auto"/>
    </w:pPr>
    <w:rPr>
      <w:rFonts w:ascii="宋体" w:hAnsi="宋体"/>
      <w:b w:val="0"/>
      <w:bCs w:val="0"/>
    </w:rPr>
  </w:style>
  <w:style w:type="paragraph" w:customStyle="1" w:styleId="1100">
    <w:name w:val="报告书正文 Char Char Char Char Char Char Char Char Char Char"/>
    <w:basedOn w:val="1"/>
    <w:qFormat/>
    <w:uiPriority w:val="0"/>
    <w:pPr>
      <w:spacing w:line="300" w:lineRule="auto"/>
      <w:ind w:firstLine="480" w:firstLineChars="200"/>
    </w:pPr>
    <w:rPr>
      <w:rFonts w:ascii="Times New Roman" w:hAnsi="Times New Roman"/>
      <w:color w:val="000000"/>
      <w:sz w:val="24"/>
      <w:szCs w:val="24"/>
    </w:rPr>
  </w:style>
  <w:style w:type="paragraph" w:customStyle="1" w:styleId="1101">
    <w:name w:val="样式1 Char Char Char Char Char Char"/>
    <w:basedOn w:val="1"/>
    <w:uiPriority w:val="0"/>
    <w:pPr>
      <w:spacing w:line="560" w:lineRule="atLeast"/>
      <w:ind w:firstLine="480" w:firstLineChars="200"/>
    </w:pPr>
    <w:rPr>
      <w:rFonts w:ascii="宋体" w:hAnsi="宋体"/>
      <w:sz w:val="24"/>
      <w:szCs w:val="24"/>
    </w:rPr>
  </w:style>
  <w:style w:type="paragraph" w:customStyle="1" w:styleId="1102">
    <w:name w:val="报告书正文 Char Char Char Char Char Char Char Char Char Char Char Char Char"/>
    <w:basedOn w:val="1"/>
    <w:uiPriority w:val="0"/>
    <w:pPr>
      <w:spacing w:line="300" w:lineRule="auto"/>
      <w:ind w:firstLine="480" w:firstLineChars="200"/>
    </w:pPr>
    <w:rPr>
      <w:rFonts w:ascii="Times New Roman" w:hAnsi="Times New Roman"/>
      <w:color w:val="000000"/>
      <w:sz w:val="24"/>
      <w:szCs w:val="24"/>
    </w:rPr>
  </w:style>
  <w:style w:type="character" w:customStyle="1" w:styleId="1103">
    <w:name w:val="Char2 Char Char2"/>
    <w:qFormat/>
    <w:uiPriority w:val="0"/>
    <w:rPr>
      <w:rFonts w:ascii="Arial" w:hAnsi="Arial" w:eastAsia="黑体" w:cs="Arial"/>
      <w:b/>
      <w:bCs/>
      <w:sz w:val="44"/>
      <w:szCs w:val="32"/>
    </w:rPr>
  </w:style>
  <w:style w:type="paragraph" w:customStyle="1" w:styleId="1104">
    <w:name w:val="自定义正文 Char Char Char Char Char Char Char Char Char Char Char Char Char"/>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105">
    <w:name w:val="标4 Char Char Char"/>
    <w:uiPriority w:val="0"/>
    <w:pPr>
      <w:spacing w:line="560" w:lineRule="atLeast"/>
      <w:jc w:val="both"/>
      <w:outlineLvl w:val="3"/>
    </w:pPr>
    <w:rPr>
      <w:rFonts w:ascii="宋体" w:hAnsi="宋体" w:eastAsia="宋体" w:cs="Times New Roman"/>
      <w:kern w:val="2"/>
      <w:sz w:val="24"/>
      <w:szCs w:val="30"/>
      <w:lang w:val="en-US" w:eastAsia="zh-CN" w:bidi="ar-SA"/>
    </w:rPr>
  </w:style>
  <w:style w:type="paragraph" w:customStyle="1" w:styleId="1106">
    <w:name w:val="Char Char Char1 Char Char Char Char"/>
    <w:basedOn w:val="1"/>
    <w:qFormat/>
    <w:uiPriority w:val="0"/>
    <w:pPr>
      <w:spacing w:line="240" w:lineRule="auto"/>
    </w:pPr>
    <w:rPr>
      <w:rFonts w:ascii="宋体" w:hAnsi="宋体" w:cs="Courier New"/>
      <w:sz w:val="32"/>
      <w:szCs w:val="32"/>
    </w:rPr>
  </w:style>
  <w:style w:type="paragraph" w:customStyle="1" w:styleId="1107">
    <w:name w:val="Char Char Char3 Char"/>
    <w:basedOn w:val="1"/>
    <w:qFormat/>
    <w:uiPriority w:val="0"/>
    <w:pPr>
      <w:ind w:firstLine="200" w:firstLineChars="200"/>
    </w:pPr>
    <w:rPr>
      <w:rFonts w:ascii="宋体" w:hAnsi="宋体" w:cs="宋体"/>
      <w:sz w:val="24"/>
      <w:szCs w:val="24"/>
    </w:rPr>
  </w:style>
  <w:style w:type="paragraph" w:customStyle="1" w:styleId="1108">
    <w:name w:val="Char Char Char Char Char Char Char Char Char1"/>
    <w:basedOn w:val="1"/>
    <w:qFormat/>
    <w:uiPriority w:val="0"/>
    <w:pPr>
      <w:ind w:firstLine="200" w:firstLineChars="200"/>
    </w:pPr>
    <w:rPr>
      <w:rFonts w:ascii="宋体" w:hAnsi="宋体" w:cs="宋体"/>
      <w:sz w:val="24"/>
      <w:szCs w:val="24"/>
    </w:rPr>
  </w:style>
  <w:style w:type="paragraph" w:customStyle="1" w:styleId="1109">
    <w:name w:val="图表标题"/>
    <w:basedOn w:val="1"/>
    <w:qFormat/>
    <w:uiPriority w:val="0"/>
    <w:pPr>
      <w:adjustRightInd w:val="0"/>
      <w:spacing w:beforeLines="50" w:line="240" w:lineRule="auto"/>
      <w:jc w:val="center"/>
      <w:textAlignment w:val="baseline"/>
    </w:pPr>
    <w:rPr>
      <w:rFonts w:ascii="Times New Roman" w:hAnsi="Times New Roman"/>
      <w:b/>
      <w:spacing w:val="5"/>
      <w:kern w:val="0"/>
      <w:sz w:val="21"/>
      <w:szCs w:val="21"/>
    </w:rPr>
  </w:style>
  <w:style w:type="paragraph" w:customStyle="1" w:styleId="1110">
    <w:name w:val="标题3，小四黑体，6磅"/>
    <w:basedOn w:val="1"/>
    <w:qFormat/>
    <w:uiPriority w:val="0"/>
    <w:pPr>
      <w:keepNext/>
      <w:keepLines/>
      <w:spacing w:before="120" w:after="120" w:line="415" w:lineRule="auto"/>
      <w:outlineLvl w:val="2"/>
    </w:pPr>
    <w:rPr>
      <w:rFonts w:ascii="黑体" w:hAnsi="Times New Roman" w:eastAsia="黑体"/>
      <w:b/>
      <w:bCs/>
      <w:sz w:val="24"/>
      <w:szCs w:val="32"/>
    </w:rPr>
  </w:style>
  <w:style w:type="paragraph" w:customStyle="1" w:styleId="1111">
    <w:name w:val="报告书正文 Char1"/>
    <w:basedOn w:val="1"/>
    <w:uiPriority w:val="0"/>
    <w:pPr>
      <w:spacing w:line="300" w:lineRule="auto"/>
      <w:ind w:firstLine="200" w:firstLineChars="200"/>
    </w:pPr>
    <w:rPr>
      <w:rFonts w:ascii="Times New Roman" w:hAnsi="Times New Roman"/>
      <w:sz w:val="24"/>
      <w:szCs w:val="20"/>
    </w:rPr>
  </w:style>
  <w:style w:type="character" w:customStyle="1" w:styleId="1112">
    <w:name w:val="st12"/>
    <w:qFormat/>
    <w:uiPriority w:val="0"/>
  </w:style>
  <w:style w:type="character" w:customStyle="1" w:styleId="1113">
    <w:name w:val="unnamed1"/>
    <w:uiPriority w:val="0"/>
  </w:style>
  <w:style w:type="character" w:customStyle="1" w:styleId="1114">
    <w:name w:val="highlight"/>
    <w:uiPriority w:val="0"/>
  </w:style>
  <w:style w:type="paragraph" w:customStyle="1" w:styleId="1115">
    <w:name w:val="二级标题 Char Char Char"/>
    <w:basedOn w:val="1"/>
    <w:next w:val="1"/>
    <w:qFormat/>
    <w:uiPriority w:val="0"/>
    <w:pPr>
      <w:spacing w:line="529" w:lineRule="exact"/>
      <w:ind w:firstLine="200" w:firstLineChars="200"/>
    </w:pPr>
    <w:rPr>
      <w:rFonts w:ascii="宋体" w:hAnsi="宋体" w:cs="宋体"/>
      <w:sz w:val="24"/>
      <w:szCs w:val="24"/>
    </w:rPr>
  </w:style>
  <w:style w:type="character" w:customStyle="1" w:styleId="1116">
    <w:name w:val="表头 Char1"/>
    <w:uiPriority w:val="0"/>
    <w:rPr>
      <w:b/>
      <w:sz w:val="21"/>
      <w:szCs w:val="21"/>
    </w:rPr>
  </w:style>
  <w:style w:type="paragraph" w:customStyle="1" w:styleId="1117">
    <w:name w:val="hb4"/>
    <w:link w:val="1118"/>
    <w:uiPriority w:val="0"/>
    <w:pPr>
      <w:keepNext/>
      <w:keepLines/>
      <w:spacing w:beforeLines="50" w:afterLines="50" w:line="529" w:lineRule="exact"/>
      <w:outlineLvl w:val="3"/>
    </w:pPr>
    <w:rPr>
      <w:rFonts w:ascii="Times New Roman" w:hAnsi="Times New Roman" w:eastAsia="宋体" w:cs="Times New Roman"/>
      <w:bCs/>
      <w:kern w:val="24"/>
      <w:sz w:val="24"/>
      <w:szCs w:val="24"/>
      <w:lang w:val="en-US" w:eastAsia="zh-CN" w:bidi="ar-SA"/>
    </w:rPr>
  </w:style>
  <w:style w:type="character" w:customStyle="1" w:styleId="1118">
    <w:name w:val="hb4 Char"/>
    <w:link w:val="1117"/>
    <w:qFormat/>
    <w:uiPriority w:val="0"/>
    <w:rPr>
      <w:rFonts w:ascii="Times New Roman" w:hAnsi="Times New Roman" w:eastAsia="宋体" w:cs="Times New Roman"/>
      <w:bCs/>
      <w:kern w:val="24"/>
      <w:sz w:val="24"/>
      <w:szCs w:val="24"/>
    </w:rPr>
  </w:style>
  <w:style w:type="paragraph" w:customStyle="1" w:styleId="1119">
    <w:name w:val="..(......)"/>
    <w:basedOn w:val="1"/>
    <w:next w:val="1"/>
    <w:qFormat/>
    <w:uiPriority w:val="0"/>
    <w:pPr>
      <w:autoSpaceDE w:val="0"/>
      <w:autoSpaceDN w:val="0"/>
      <w:adjustRightInd w:val="0"/>
      <w:spacing w:line="240" w:lineRule="auto"/>
      <w:jc w:val="left"/>
    </w:pPr>
    <w:rPr>
      <w:rFonts w:ascii="宋体" w:hAnsi="Times New Roman"/>
      <w:kern w:val="0"/>
      <w:sz w:val="24"/>
      <w:szCs w:val="24"/>
    </w:rPr>
  </w:style>
  <w:style w:type="paragraph" w:customStyle="1" w:styleId="1120">
    <w:name w:val="Char Char Char Char Char Char Char Char1 Char Char Char Char"/>
    <w:basedOn w:val="1"/>
    <w:qFormat/>
    <w:uiPriority w:val="0"/>
    <w:pPr>
      <w:spacing w:line="240" w:lineRule="auto"/>
    </w:pPr>
    <w:rPr>
      <w:rFonts w:ascii="Times New Roman" w:hAnsi="Times New Roman"/>
      <w:sz w:val="21"/>
      <w:szCs w:val="24"/>
    </w:rPr>
  </w:style>
  <w:style w:type="paragraph" w:customStyle="1" w:styleId="1121">
    <w:name w:val="报告书正文 Char Char Char Char Char1"/>
    <w:basedOn w:val="1"/>
    <w:uiPriority w:val="0"/>
    <w:pPr>
      <w:spacing w:line="300" w:lineRule="auto"/>
      <w:ind w:firstLine="480" w:firstLineChars="200"/>
    </w:pPr>
    <w:rPr>
      <w:rFonts w:ascii="Times New Roman" w:hAnsi="Times New Roman"/>
      <w:color w:val="000000"/>
      <w:sz w:val="24"/>
      <w:szCs w:val="24"/>
    </w:rPr>
  </w:style>
  <w:style w:type="paragraph" w:customStyle="1" w:styleId="1122">
    <w:name w:val="Char Char Char Char Char Char2"/>
    <w:basedOn w:val="1"/>
    <w:qFormat/>
    <w:uiPriority w:val="0"/>
    <w:pPr>
      <w:ind w:firstLine="200" w:firstLineChars="200"/>
    </w:pPr>
    <w:rPr>
      <w:rFonts w:ascii="宋体" w:hAnsi="宋体" w:cs="宋体"/>
      <w:sz w:val="24"/>
      <w:szCs w:val="24"/>
    </w:rPr>
  </w:style>
  <w:style w:type="paragraph" w:customStyle="1" w:styleId="1123">
    <w:name w:val="普通(Web)1"/>
    <w:basedOn w:val="1"/>
    <w:qFormat/>
    <w:uiPriority w:val="0"/>
    <w:pPr>
      <w:widowControl/>
      <w:spacing w:before="90" w:after="90" w:line="240" w:lineRule="auto"/>
      <w:ind w:firstLine="420"/>
      <w:jc w:val="left"/>
    </w:pPr>
    <w:rPr>
      <w:rFonts w:ascii="宋体" w:hAnsi="宋体" w:cs="宋体"/>
      <w:kern w:val="0"/>
      <w:sz w:val="24"/>
      <w:szCs w:val="24"/>
    </w:rPr>
  </w:style>
  <w:style w:type="character" w:customStyle="1" w:styleId="1124">
    <w:name w:val="3dfont"/>
    <w:uiPriority w:val="0"/>
  </w:style>
  <w:style w:type="paragraph" w:customStyle="1" w:styleId="1125">
    <w:name w:val="正文文字缩进1"/>
    <w:basedOn w:val="1"/>
    <w:qFormat/>
    <w:uiPriority w:val="0"/>
    <w:pPr>
      <w:spacing w:line="240" w:lineRule="auto"/>
      <w:ind w:firstLine="556"/>
    </w:pPr>
    <w:rPr>
      <w:rFonts w:ascii="Times New Roman" w:hAnsi="Times New Roman" w:eastAsia="仿宋_GB2312"/>
      <w:szCs w:val="28"/>
    </w:rPr>
  </w:style>
  <w:style w:type="paragraph" w:customStyle="1" w:styleId="1126">
    <w:name w:val="Char Char Char Char Char Char1 Char Char Char"/>
    <w:basedOn w:val="4"/>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127">
    <w:name w:val="Char Char Char Char Char Char Char Char Char1 Char Char Char Char Char Char Char Char Char Char Char Char Char Char Char Char Char Char Char"/>
    <w:basedOn w:val="4"/>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character" w:customStyle="1" w:styleId="1128">
    <w:name w:val="123YJ Char2"/>
    <w:qFormat/>
    <w:uiPriority w:val="0"/>
    <w:rPr>
      <w:sz w:val="18"/>
    </w:rPr>
  </w:style>
  <w:style w:type="paragraph" w:customStyle="1" w:styleId="1129">
    <w:name w:val="HZZH正文"/>
    <w:basedOn w:val="1"/>
    <w:link w:val="1130"/>
    <w:uiPriority w:val="0"/>
    <w:pPr>
      <w:overflowPunct w:val="0"/>
      <w:spacing w:line="300" w:lineRule="auto"/>
      <w:ind w:firstLine="480" w:firstLineChars="200"/>
    </w:pPr>
    <w:rPr>
      <w:rFonts w:ascii="Times New Roman" w:hAnsi="Times New Roman" w:cs="宋体"/>
      <w:kern w:val="0"/>
      <w:sz w:val="24"/>
      <w:szCs w:val="24"/>
    </w:rPr>
  </w:style>
  <w:style w:type="character" w:customStyle="1" w:styleId="1130">
    <w:name w:val="HZZH正文 Char"/>
    <w:link w:val="1129"/>
    <w:uiPriority w:val="0"/>
    <w:rPr>
      <w:rFonts w:ascii="Times New Roman" w:hAnsi="Times New Roman" w:eastAsia="宋体" w:cs="宋体"/>
      <w:kern w:val="0"/>
      <w:sz w:val="24"/>
      <w:szCs w:val="24"/>
    </w:rPr>
  </w:style>
  <w:style w:type="paragraph" w:customStyle="1" w:styleId="1131">
    <w:name w:val="HZZH标题—1"/>
    <w:basedOn w:val="2"/>
    <w:next w:val="1132"/>
    <w:qFormat/>
    <w:uiPriority w:val="0"/>
    <w:pPr>
      <w:numPr>
        <w:ilvl w:val="0"/>
        <w:numId w:val="8"/>
      </w:numPr>
      <w:tabs>
        <w:tab w:val="left" w:pos="0"/>
        <w:tab w:val="clear" w:pos="992"/>
      </w:tabs>
      <w:spacing w:before="480" w:after="480" w:line="240" w:lineRule="auto"/>
      <w:ind w:left="0" w:firstLine="0"/>
      <w:jc w:val="center"/>
    </w:pPr>
    <w:rPr>
      <w:rFonts w:ascii="宋体" w:hAnsi="Times New Roman" w:eastAsia="黑体"/>
      <w:color w:val="000000"/>
      <w:kern w:val="2"/>
      <w:sz w:val="32"/>
      <w:szCs w:val="24"/>
    </w:rPr>
  </w:style>
  <w:style w:type="paragraph" w:customStyle="1" w:styleId="1132">
    <w:name w:val="HZZH标题—2"/>
    <w:basedOn w:val="3"/>
    <w:next w:val="1133"/>
    <w:qFormat/>
    <w:uiPriority w:val="0"/>
    <w:pPr>
      <w:tabs>
        <w:tab w:val="left" w:pos="720"/>
        <w:tab w:val="left" w:pos="992"/>
        <w:tab w:val="clear" w:pos="1287"/>
      </w:tabs>
      <w:spacing w:before="260" w:beforeAutospacing="0" w:after="260" w:afterAutospacing="0" w:line="240" w:lineRule="auto"/>
      <w:ind w:left="992" w:hanging="425"/>
      <w:jc w:val="left"/>
    </w:pPr>
    <w:rPr>
      <w:rFonts w:ascii="黑体" w:hAnsi="黑体"/>
      <w:sz w:val="30"/>
      <w:szCs w:val="32"/>
    </w:rPr>
  </w:style>
  <w:style w:type="paragraph" w:customStyle="1" w:styleId="1133">
    <w:name w:val="HZZH标题—3"/>
    <w:basedOn w:val="4"/>
    <w:next w:val="1134"/>
    <w:qFormat/>
    <w:uiPriority w:val="0"/>
    <w:pPr>
      <w:numPr>
        <w:ilvl w:val="2"/>
        <w:numId w:val="8"/>
      </w:numPr>
      <w:tabs>
        <w:tab w:val="left" w:pos="-1800"/>
        <w:tab w:val="left" w:pos="900"/>
        <w:tab w:val="clear" w:pos="2858"/>
      </w:tabs>
      <w:spacing w:before="180" w:line="240" w:lineRule="auto"/>
      <w:ind w:left="0" w:right="240" w:firstLine="0"/>
      <w:jc w:val="left"/>
    </w:pPr>
    <w:rPr>
      <w:rFonts w:ascii="黑体" w:hAnsi="宋体" w:eastAsia="黑体" w:cs="宋体"/>
      <w:b w:val="0"/>
      <w:kern w:val="0"/>
      <w:sz w:val="28"/>
      <w:szCs w:val="28"/>
    </w:rPr>
  </w:style>
  <w:style w:type="paragraph" w:customStyle="1" w:styleId="1134">
    <w:name w:val="HZZH标题—4"/>
    <w:basedOn w:val="5"/>
    <w:link w:val="1137"/>
    <w:uiPriority w:val="0"/>
    <w:pPr>
      <w:numPr>
        <w:ilvl w:val="3"/>
        <w:numId w:val="8"/>
      </w:numPr>
      <w:tabs>
        <w:tab w:val="left" w:pos="1080"/>
        <w:tab w:val="clear" w:pos="4003"/>
      </w:tabs>
      <w:spacing w:before="80" w:after="80" w:line="360" w:lineRule="auto"/>
      <w:ind w:left="0" w:firstLine="0"/>
      <w:jc w:val="left"/>
    </w:pPr>
    <w:rPr>
      <w:rFonts w:ascii="宋体" w:hAnsi="宋体"/>
    </w:rPr>
  </w:style>
  <w:style w:type="character" w:customStyle="1" w:styleId="1135">
    <w:name w:val="HZZH表头 Char"/>
    <w:link w:val="1136"/>
    <w:qFormat/>
    <w:uiPriority w:val="0"/>
    <w:rPr>
      <w:b/>
      <w:bCs/>
      <w:szCs w:val="21"/>
    </w:rPr>
  </w:style>
  <w:style w:type="paragraph" w:customStyle="1" w:styleId="1136">
    <w:name w:val="HZZH表头"/>
    <w:basedOn w:val="1"/>
    <w:link w:val="1135"/>
    <w:qFormat/>
    <w:uiPriority w:val="0"/>
    <w:pPr>
      <w:spacing w:line="240" w:lineRule="auto"/>
      <w:ind w:firstLine="482"/>
      <w:jc w:val="center"/>
    </w:pPr>
    <w:rPr>
      <w:rFonts w:asciiTheme="minorHAnsi" w:hAnsiTheme="minorHAnsi" w:eastAsiaTheme="minorEastAsia" w:cstheme="minorBidi"/>
      <w:b/>
      <w:bCs/>
      <w:sz w:val="21"/>
      <w:szCs w:val="21"/>
    </w:rPr>
  </w:style>
  <w:style w:type="character" w:customStyle="1" w:styleId="1137">
    <w:name w:val="HZZH标题—4 Char"/>
    <w:link w:val="1134"/>
    <w:uiPriority w:val="0"/>
    <w:rPr>
      <w:rFonts w:ascii="宋体" w:hAnsi="宋体" w:eastAsia="宋体" w:cs="Times New Roman"/>
      <w:b/>
      <w:bCs/>
      <w:sz w:val="28"/>
      <w:szCs w:val="28"/>
    </w:rPr>
  </w:style>
  <w:style w:type="character" w:customStyle="1" w:styleId="1138">
    <w:name w:val="123YJ Char3"/>
    <w:qFormat/>
    <w:uiPriority w:val="0"/>
    <w:rPr>
      <w:sz w:val="18"/>
    </w:rPr>
  </w:style>
  <w:style w:type="character" w:customStyle="1" w:styleId="1139">
    <w:name w:val="123YJ Char4"/>
    <w:uiPriority w:val="0"/>
    <w:rPr>
      <w:sz w:val="18"/>
    </w:rPr>
  </w:style>
  <w:style w:type="character" w:customStyle="1" w:styleId="1140">
    <w:name w:val="style261"/>
    <w:uiPriority w:val="0"/>
    <w:rPr>
      <w:color w:val="000000"/>
      <w:sz w:val="18"/>
      <w:szCs w:val="18"/>
    </w:rPr>
  </w:style>
  <w:style w:type="paragraph" w:customStyle="1" w:styleId="1141">
    <w:name w:val="box1"/>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character" w:customStyle="1" w:styleId="1142">
    <w:name w:val="正文（杨） Char"/>
    <w:link w:val="980"/>
    <w:uiPriority w:val="0"/>
    <w:rPr>
      <w:rFonts w:ascii="Times New Roman" w:hAnsi="Times New Roman" w:eastAsia="宋体" w:cs="宋体"/>
      <w:color w:val="000000"/>
      <w:spacing w:val="6"/>
      <w:sz w:val="24"/>
      <w:szCs w:val="24"/>
    </w:rPr>
  </w:style>
  <w:style w:type="paragraph" w:customStyle="1" w:styleId="1143">
    <w:name w:val="图名A"/>
    <w:basedOn w:val="1"/>
    <w:qFormat/>
    <w:uiPriority w:val="0"/>
    <w:pPr>
      <w:widowControl/>
      <w:tabs>
        <w:tab w:val="left" w:pos="0"/>
      </w:tabs>
      <w:adjustRightInd w:val="0"/>
      <w:snapToGrid w:val="0"/>
      <w:spacing w:beforeLines="20" w:afterLines="80" w:line="240" w:lineRule="auto"/>
      <w:jc w:val="center"/>
    </w:pPr>
    <w:rPr>
      <w:rFonts w:ascii="Times New Roman" w:hAnsi="Times New Roman"/>
      <w:b/>
      <w:snapToGrid w:val="0"/>
      <w:kern w:val="0"/>
      <w:sz w:val="21"/>
      <w:szCs w:val="20"/>
    </w:rPr>
  </w:style>
  <w:style w:type="paragraph" w:customStyle="1" w:styleId="1144">
    <w:name w:val="表名LA"/>
    <w:basedOn w:val="1"/>
    <w:qFormat/>
    <w:uiPriority w:val="0"/>
    <w:pPr>
      <w:widowControl/>
      <w:tabs>
        <w:tab w:val="left" w:pos="0"/>
      </w:tabs>
      <w:adjustRightInd w:val="0"/>
      <w:snapToGrid w:val="0"/>
      <w:spacing w:beforeLines="80" w:afterLines="20" w:line="240" w:lineRule="auto"/>
      <w:jc w:val="center"/>
    </w:pPr>
    <w:rPr>
      <w:rFonts w:ascii="Times New Roman" w:hAnsi="Times New Roman"/>
      <w:b/>
      <w:snapToGrid w:val="0"/>
      <w:kern w:val="0"/>
      <w:sz w:val="21"/>
      <w:szCs w:val="20"/>
    </w:rPr>
  </w:style>
  <w:style w:type="paragraph" w:customStyle="1" w:styleId="1145">
    <w:name w:val="标题C"/>
    <w:qFormat/>
    <w:uiPriority w:val="0"/>
    <w:pPr>
      <w:tabs>
        <w:tab w:val="left" w:pos="0"/>
      </w:tabs>
      <w:adjustRightInd w:val="0"/>
      <w:snapToGrid w:val="0"/>
      <w:spacing w:before="300"/>
      <w:outlineLvl w:val="2"/>
    </w:pPr>
    <w:rPr>
      <w:rFonts w:ascii="Times New Roman" w:hAnsi="Times New Roman" w:eastAsia="宋体" w:cs="Times New Roman"/>
      <w:b/>
      <w:snapToGrid w:val="0"/>
      <w:sz w:val="28"/>
      <w:lang w:val="en-US" w:eastAsia="zh-CN" w:bidi="ar-SA"/>
    </w:rPr>
  </w:style>
  <w:style w:type="paragraph" w:customStyle="1" w:styleId="1146">
    <w:name w:val="标题A"/>
    <w:qFormat/>
    <w:uiPriority w:val="0"/>
    <w:pPr>
      <w:tabs>
        <w:tab w:val="left" w:pos="0"/>
      </w:tabs>
      <w:adjustRightInd w:val="0"/>
      <w:snapToGrid w:val="0"/>
      <w:spacing w:before="600"/>
      <w:jc w:val="center"/>
      <w:outlineLvl w:val="0"/>
    </w:pPr>
    <w:rPr>
      <w:rFonts w:ascii="Times New Roman" w:hAnsi="Times New Roman" w:eastAsia="宋体" w:cs="Times New Roman"/>
      <w:b/>
      <w:snapToGrid w:val="0"/>
      <w:sz w:val="32"/>
      <w:lang w:val="en-US" w:eastAsia="zh-CN" w:bidi="ar-SA"/>
    </w:rPr>
  </w:style>
  <w:style w:type="character" w:customStyle="1" w:styleId="1147">
    <w:name w:val="neiyetest1"/>
    <w:qFormat/>
    <w:uiPriority w:val="0"/>
    <w:rPr>
      <w:rFonts w:hint="default" w:ascii="ˎ̥" w:hAnsi="ˎ̥"/>
      <w:color w:val="000000"/>
      <w:sz w:val="20"/>
      <w:szCs w:val="20"/>
    </w:rPr>
  </w:style>
  <w:style w:type="paragraph" w:customStyle="1" w:styleId="1148">
    <w:name w:val="标题B"/>
    <w:qFormat/>
    <w:uiPriority w:val="0"/>
    <w:pPr>
      <w:adjustRightInd w:val="0"/>
      <w:snapToGrid w:val="0"/>
      <w:spacing w:before="400"/>
      <w:outlineLvl w:val="1"/>
    </w:pPr>
    <w:rPr>
      <w:rFonts w:ascii="Times New Roman" w:hAnsi="Times New Roman" w:eastAsia="宋体" w:cs="Times New Roman"/>
      <w:b/>
      <w:snapToGrid w:val="0"/>
      <w:sz w:val="30"/>
      <w:lang w:val="en-US" w:eastAsia="zh-CN" w:bidi="ar-SA"/>
    </w:rPr>
  </w:style>
  <w:style w:type="paragraph" w:customStyle="1" w:styleId="1149">
    <w:name w:val="标题D"/>
    <w:qFormat/>
    <w:uiPriority w:val="0"/>
    <w:pPr>
      <w:adjustRightInd w:val="0"/>
      <w:snapToGrid w:val="0"/>
      <w:spacing w:before="240" w:line="360" w:lineRule="auto"/>
      <w:outlineLvl w:val="3"/>
    </w:pPr>
    <w:rPr>
      <w:rFonts w:ascii="Times New Roman" w:hAnsi="Times New Roman" w:eastAsia="宋体" w:cs="Times New Roman"/>
      <w:b/>
      <w:sz w:val="24"/>
      <w:lang w:val="en-US" w:eastAsia="zh-CN" w:bidi="ar-SA"/>
    </w:rPr>
  </w:style>
  <w:style w:type="paragraph" w:customStyle="1" w:styleId="1150">
    <w:name w:val="表文A"/>
    <w:uiPriority w:val="0"/>
    <w:pPr>
      <w:tabs>
        <w:tab w:val="left" w:pos="0"/>
      </w:tabs>
      <w:adjustRightInd w:val="0"/>
      <w:snapToGrid w:val="0"/>
      <w:spacing w:line="240" w:lineRule="exact"/>
      <w:ind w:left="-38" w:leftChars="-51" w:hanging="69" w:hangingChars="41"/>
      <w:jc w:val="center"/>
    </w:pPr>
    <w:rPr>
      <w:rFonts w:ascii="宋体" w:hAnsi="Times New Roman" w:eastAsia="宋体" w:cs="Times New Roman"/>
      <w:snapToGrid w:val="0"/>
      <w:spacing w:val="-6"/>
      <w:sz w:val="18"/>
      <w:lang w:val="en-US" w:eastAsia="zh-CN" w:bidi="ar-SA"/>
    </w:rPr>
  </w:style>
  <w:style w:type="paragraph" w:customStyle="1" w:styleId="1151">
    <w:name w:val="表文B"/>
    <w:uiPriority w:val="0"/>
    <w:pPr>
      <w:tabs>
        <w:tab w:val="left" w:pos="0"/>
      </w:tabs>
      <w:adjustRightInd w:val="0"/>
      <w:snapToGrid w:val="0"/>
      <w:spacing w:line="264" w:lineRule="auto"/>
    </w:pPr>
    <w:rPr>
      <w:rFonts w:ascii="宋体" w:hAnsi="Times New Roman" w:eastAsia="宋体" w:cs="Times New Roman"/>
      <w:snapToGrid w:val="0"/>
      <w:sz w:val="21"/>
      <w:lang w:val="en-US" w:eastAsia="zh-CN" w:bidi="ar-SA"/>
    </w:rPr>
  </w:style>
  <w:style w:type="paragraph" w:customStyle="1" w:styleId="1152">
    <w:name w:val="图表名A"/>
    <w:qFormat/>
    <w:uiPriority w:val="0"/>
    <w:pPr>
      <w:tabs>
        <w:tab w:val="left" w:pos="0"/>
      </w:tabs>
      <w:adjustRightInd w:val="0"/>
      <w:snapToGrid w:val="0"/>
      <w:spacing w:before="156" w:after="156"/>
      <w:jc w:val="center"/>
    </w:pPr>
    <w:rPr>
      <w:rFonts w:ascii="Times New Roman" w:hAnsi="Times New Roman" w:eastAsia="宋体" w:cs="Times New Roman"/>
      <w:b/>
      <w:snapToGrid w:val="0"/>
      <w:sz w:val="21"/>
      <w:lang w:val="en-US" w:eastAsia="zh-CN" w:bidi="ar-SA"/>
    </w:rPr>
  </w:style>
  <w:style w:type="paragraph" w:customStyle="1" w:styleId="1153">
    <w:name w:val="正文B"/>
    <w:basedOn w:val="805"/>
    <w:qFormat/>
    <w:uiPriority w:val="0"/>
    <w:pPr>
      <w:widowControl/>
      <w:spacing w:before="120"/>
      <w:ind w:firstLine="0" w:firstLineChars="0"/>
      <w:textAlignment w:val="auto"/>
    </w:pPr>
    <w:rPr>
      <w:snapToGrid/>
    </w:rPr>
  </w:style>
  <w:style w:type="paragraph" w:customStyle="1" w:styleId="1154">
    <w:name w:val="标题E"/>
    <w:basedOn w:val="1145"/>
    <w:qFormat/>
    <w:uiPriority w:val="0"/>
    <w:pPr>
      <w:spacing w:beforeLines="50" w:line="360" w:lineRule="auto"/>
      <w:ind w:firstLine="200" w:firstLineChars="200"/>
      <w:outlineLvl w:val="4"/>
    </w:pPr>
    <w:rPr>
      <w:b w:val="0"/>
      <w:sz w:val="24"/>
    </w:rPr>
  </w:style>
  <w:style w:type="paragraph" w:customStyle="1" w:styleId="1155">
    <w:name w:val="表文C"/>
    <w:basedOn w:val="1151"/>
    <w:qFormat/>
    <w:uiPriority w:val="0"/>
    <w:pPr>
      <w:spacing w:line="240" w:lineRule="auto"/>
      <w:jc w:val="center"/>
    </w:pPr>
    <w:rPr>
      <w:rFonts w:ascii="Times New Roman"/>
    </w:rPr>
  </w:style>
  <w:style w:type="paragraph" w:customStyle="1" w:styleId="1156">
    <w:name w:val="表名A"/>
    <w:basedOn w:val="1152"/>
    <w:qFormat/>
    <w:uiPriority w:val="0"/>
    <w:pPr>
      <w:spacing w:beforeLines="80" w:afterLines="20"/>
    </w:pPr>
  </w:style>
  <w:style w:type="paragraph" w:customStyle="1" w:styleId="1157">
    <w:name w:val="样式 纯文本 + 首行缩进:  2 字符 段前: 7.8 磅 段后: 7.8 磅 字符缩放: 105% 非加宽量 / 紧..."/>
    <w:basedOn w:val="41"/>
    <w:qFormat/>
    <w:uiPriority w:val="0"/>
    <w:pPr>
      <w:widowControl w:val="0"/>
      <w:spacing w:before="156" w:after="156" w:line="300" w:lineRule="auto"/>
      <w:ind w:firstLine="503" w:firstLineChars="200"/>
      <w:jc w:val="both"/>
    </w:pPr>
    <w:rPr>
      <w:rFonts w:eastAsia="长城楷体_GB2312" w:cs="Times New Roman"/>
      <w:w w:val="105"/>
      <w:sz w:val="24"/>
      <w:szCs w:val="24"/>
    </w:rPr>
  </w:style>
  <w:style w:type="character" w:customStyle="1" w:styleId="1158">
    <w:name w:val="ca-11"/>
    <w:qFormat/>
    <w:uiPriority w:val="0"/>
    <w:rPr>
      <w:rFonts w:hint="eastAsia"/>
      <w:color w:val="000000"/>
      <w:sz w:val="28"/>
      <w:szCs w:val="28"/>
    </w:rPr>
  </w:style>
  <w:style w:type="paragraph" w:customStyle="1" w:styleId="115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60">
    <w:name w:val="标题 4 + (西文) 宋体"/>
    <w:basedOn w:val="4"/>
    <w:qFormat/>
    <w:uiPriority w:val="0"/>
    <w:pPr>
      <w:spacing w:before="120" w:after="120" w:line="300" w:lineRule="auto"/>
    </w:pPr>
    <w:rPr>
      <w:rFonts w:ascii="宋体" w:hAnsi="宋体" w:eastAsia="黑体"/>
      <w:b w:val="0"/>
      <w:kern w:val="0"/>
      <w:sz w:val="24"/>
    </w:rPr>
  </w:style>
  <w:style w:type="character" w:customStyle="1" w:styleId="1161">
    <w:name w:val="3标题 Char"/>
    <w:qFormat/>
    <w:uiPriority w:val="0"/>
    <w:rPr>
      <w:b/>
      <w:bCs/>
      <w:szCs w:val="32"/>
    </w:rPr>
  </w:style>
  <w:style w:type="paragraph" w:customStyle="1" w:styleId="1162">
    <w:name w:val="5表标题"/>
    <w:qFormat/>
    <w:uiPriority w:val="0"/>
    <w:pPr>
      <w:jc w:val="center"/>
    </w:pPr>
    <w:rPr>
      <w:rFonts w:ascii="Times New Roman" w:hAnsi="Times New Roman" w:eastAsia="宋体" w:cs="宋体"/>
      <w:b/>
      <w:bCs/>
      <w:kern w:val="2"/>
      <w:sz w:val="21"/>
      <w:lang w:val="en-US" w:eastAsia="zh-CN" w:bidi="ar-SA"/>
    </w:rPr>
  </w:style>
  <w:style w:type="paragraph" w:customStyle="1" w:styleId="1163">
    <w:name w:val="6表内文字 居中"/>
    <w:basedOn w:val="1"/>
    <w:qFormat/>
    <w:uiPriority w:val="0"/>
    <w:pPr>
      <w:adjustRightInd w:val="0"/>
      <w:spacing w:line="240" w:lineRule="atLeast"/>
      <w:jc w:val="center"/>
      <w:textAlignment w:val="baseline"/>
    </w:pPr>
    <w:rPr>
      <w:rFonts w:ascii="Times New Roman" w:hAnsi="Times New Roman"/>
      <w:snapToGrid w:val="0"/>
      <w:kern w:val="0"/>
      <w:sz w:val="21"/>
      <w:szCs w:val="24"/>
    </w:rPr>
  </w:style>
  <w:style w:type="character" w:customStyle="1" w:styleId="1164">
    <w:name w:val="表头1 Char"/>
    <w:link w:val="1165"/>
    <w:uiPriority w:val="0"/>
    <w:rPr>
      <w:rFonts w:eastAsia="楷体_GB2312"/>
      <w:b/>
    </w:rPr>
  </w:style>
  <w:style w:type="paragraph" w:customStyle="1" w:styleId="1165">
    <w:name w:val="表头1"/>
    <w:basedOn w:val="1"/>
    <w:next w:val="1"/>
    <w:link w:val="1164"/>
    <w:qFormat/>
    <w:uiPriority w:val="0"/>
    <w:pPr>
      <w:spacing w:beforeLines="50" w:line="240" w:lineRule="auto"/>
      <w:jc w:val="center"/>
    </w:pPr>
    <w:rPr>
      <w:rFonts w:eastAsia="楷体_GB2312" w:asciiTheme="minorHAnsi" w:hAnsiTheme="minorHAnsi" w:cstheme="minorBidi"/>
      <w:b/>
      <w:sz w:val="21"/>
    </w:rPr>
  </w:style>
  <w:style w:type="character" w:customStyle="1" w:styleId="1166">
    <w:name w:val="123YJ Char5"/>
    <w:qFormat/>
    <w:uiPriority w:val="0"/>
    <w:rPr>
      <w:sz w:val="18"/>
    </w:rPr>
  </w:style>
  <w:style w:type="character" w:customStyle="1" w:styleId="1167">
    <w:name w:val="正文文字缩进 2 Char2"/>
    <w:qFormat/>
    <w:uiPriority w:val="0"/>
    <w:rPr>
      <w:spacing w:val="4"/>
    </w:rPr>
  </w:style>
  <w:style w:type="paragraph" w:customStyle="1" w:styleId="1168">
    <w:name w:val="7表后注"/>
    <w:basedOn w:val="1"/>
    <w:qFormat/>
    <w:uiPriority w:val="0"/>
    <w:pPr>
      <w:snapToGrid w:val="0"/>
      <w:spacing w:line="240" w:lineRule="auto"/>
    </w:pPr>
    <w:rPr>
      <w:rFonts w:ascii="Times New Roman" w:hAnsi="Times New Roman"/>
      <w:color w:val="000000"/>
      <w:sz w:val="21"/>
      <w:szCs w:val="21"/>
    </w:rPr>
  </w:style>
  <w:style w:type="paragraph" w:customStyle="1" w:styleId="1169">
    <w:name w:val="6表内文字 居左"/>
    <w:basedOn w:val="556"/>
    <w:qFormat/>
    <w:uiPriority w:val="0"/>
    <w:pPr>
      <w:snapToGrid/>
      <w:spacing w:line="240" w:lineRule="exact"/>
      <w:ind w:firstLine="0" w:firstLineChars="0"/>
      <w:textAlignment w:val="auto"/>
    </w:pPr>
    <w:rPr>
      <w:rFonts w:cs="宋体"/>
      <w:kern w:val="2"/>
      <w:sz w:val="21"/>
    </w:rPr>
  </w:style>
  <w:style w:type="character" w:customStyle="1" w:styleId="1170">
    <w:name w:val="正文文本1 Char1 Char Char Char Char Char Char Char1"/>
    <w:qFormat/>
    <w:uiPriority w:val="0"/>
    <w:rPr>
      <w:sz w:val="18"/>
      <w:szCs w:val="18"/>
    </w:rPr>
  </w:style>
  <w:style w:type="paragraph" w:customStyle="1" w:styleId="1171">
    <w:name w:val="样式 样式 楷体_GB2312 四号 行距: 固定值 28 磅1 + 首行缩进:  2 字符"/>
    <w:basedOn w:val="1"/>
    <w:qFormat/>
    <w:uiPriority w:val="0"/>
    <w:pPr>
      <w:spacing w:line="500" w:lineRule="exact"/>
      <w:ind w:firstLine="482" w:firstLineChars="200"/>
      <w:jc w:val="center"/>
    </w:pPr>
    <w:rPr>
      <w:rFonts w:ascii="宋体" w:hAnsi="宋体" w:cs="宋体"/>
      <w:b/>
      <w:bCs/>
      <w:sz w:val="24"/>
      <w:szCs w:val="24"/>
    </w:rPr>
  </w:style>
  <w:style w:type="paragraph" w:customStyle="1" w:styleId="1172">
    <w:name w:val="我的表头"/>
    <w:basedOn w:val="1"/>
    <w:link w:val="1173"/>
    <w:qFormat/>
    <w:uiPriority w:val="0"/>
    <w:pPr>
      <w:ind w:firstLine="200" w:firstLineChars="200"/>
      <w:jc w:val="center"/>
    </w:pPr>
    <w:rPr>
      <w:rFonts w:ascii="Times New Roman" w:hAnsi="Times New Roman" w:eastAsia="黑体"/>
      <w:sz w:val="21"/>
      <w:szCs w:val="24"/>
    </w:rPr>
  </w:style>
  <w:style w:type="character" w:customStyle="1" w:styleId="1173">
    <w:name w:val="我的表头 Char"/>
    <w:link w:val="1172"/>
    <w:uiPriority w:val="0"/>
    <w:rPr>
      <w:rFonts w:ascii="Times New Roman" w:hAnsi="Times New Roman" w:eastAsia="黑体" w:cs="Times New Roman"/>
      <w:szCs w:val="24"/>
    </w:rPr>
  </w:style>
  <w:style w:type="paragraph" w:customStyle="1" w:styleId="1174">
    <w:name w:val="2标题"/>
    <w:basedOn w:val="3"/>
    <w:qFormat/>
    <w:uiPriority w:val="0"/>
    <w:pPr>
      <w:tabs>
        <w:tab w:val="clear" w:pos="1287"/>
      </w:tabs>
      <w:adjustRightInd w:val="0"/>
      <w:spacing w:before="120" w:beforeAutospacing="0" w:after="0" w:afterAutospacing="0" w:line="240" w:lineRule="auto"/>
      <w:textAlignment w:val="baseline"/>
    </w:pPr>
    <w:rPr>
      <w:rFonts w:eastAsia="宋体" w:cs="宋体"/>
      <w:sz w:val="28"/>
      <w:szCs w:val="20"/>
    </w:rPr>
  </w:style>
  <w:style w:type="paragraph" w:customStyle="1" w:styleId="1175">
    <w:name w:val="Char Char Char1 Char Char Char Char Char Char Char Char Char Char Char Char1 Char Char Char Char"/>
    <w:basedOn w:val="1"/>
    <w:semiHidden/>
    <w:uiPriority w:val="0"/>
    <w:pPr>
      <w:ind w:firstLine="200" w:firstLineChars="200"/>
    </w:pPr>
    <w:rPr>
      <w:rFonts w:ascii="宋体" w:hAnsi="宋体" w:cs="宋体"/>
      <w:sz w:val="24"/>
      <w:szCs w:val="24"/>
    </w:rPr>
  </w:style>
  <w:style w:type="paragraph" w:customStyle="1" w:styleId="1176">
    <w:name w:val="4标题"/>
    <w:basedOn w:val="4"/>
    <w:qFormat/>
    <w:uiPriority w:val="0"/>
    <w:pPr>
      <w:spacing w:before="120" w:after="0" w:line="300" w:lineRule="auto"/>
      <w:ind w:left="628" w:hanging="628" w:hangingChars="298"/>
    </w:pPr>
    <w:rPr>
      <w:rFonts w:ascii="Times New Roman" w:hAnsi="华文中宋" w:cs="宋体"/>
      <w:b w:val="0"/>
      <w:kern w:val="0"/>
      <w:sz w:val="21"/>
      <w:szCs w:val="20"/>
    </w:rPr>
  </w:style>
  <w:style w:type="character" w:customStyle="1" w:styleId="1177">
    <w:name w:val="Char Char17"/>
    <w:uiPriority w:val="0"/>
    <w:rPr>
      <w:rFonts w:ascii="Arial" w:hAnsi="Arial" w:eastAsia="黑体"/>
      <w:b/>
      <w:bCs/>
    </w:rPr>
  </w:style>
  <w:style w:type="character" w:customStyle="1" w:styleId="1178">
    <w:name w:val="Char Char16"/>
    <w:semiHidden/>
    <w:uiPriority w:val="0"/>
    <w:rPr>
      <w:sz w:val="21"/>
      <w:shd w:val="clear" w:color="auto" w:fill="000080"/>
    </w:rPr>
  </w:style>
  <w:style w:type="character" w:customStyle="1" w:styleId="1179">
    <w:name w:val="Char Char14"/>
    <w:uiPriority w:val="0"/>
    <w:rPr>
      <w:sz w:val="21"/>
    </w:rPr>
  </w:style>
  <w:style w:type="paragraph" w:customStyle="1" w:styleId="1180">
    <w:name w:val="Char Char Char Char Char Char Char Char Char1 Char Char Char Char Char Char Char Char Char Char Char Char Char Char Char Char1"/>
    <w:basedOn w:val="1"/>
    <w:uiPriority w:val="0"/>
    <w:pPr>
      <w:ind w:firstLine="200" w:firstLineChars="200"/>
    </w:pPr>
    <w:rPr>
      <w:rFonts w:ascii="宋体" w:hAnsi="宋体" w:cs="宋体"/>
      <w:sz w:val="24"/>
      <w:szCs w:val="24"/>
    </w:rPr>
  </w:style>
  <w:style w:type="paragraph" w:customStyle="1" w:styleId="1181">
    <w:name w:val="Char Char Char Char Char Char Char Char Char2"/>
    <w:basedOn w:val="1"/>
    <w:uiPriority w:val="0"/>
    <w:pPr>
      <w:ind w:firstLine="200" w:firstLineChars="200"/>
    </w:pPr>
    <w:rPr>
      <w:rFonts w:ascii="宋体" w:hAnsi="宋体" w:cs="宋体"/>
      <w:sz w:val="24"/>
      <w:szCs w:val="24"/>
    </w:rPr>
  </w:style>
  <w:style w:type="paragraph" w:customStyle="1" w:styleId="1182">
    <w:name w:val="Char Char Char Char Char Char31"/>
    <w:basedOn w:val="1"/>
    <w:uiPriority w:val="0"/>
    <w:pPr>
      <w:ind w:firstLine="200" w:firstLineChars="200"/>
    </w:pPr>
    <w:rPr>
      <w:rFonts w:ascii="宋体" w:hAnsi="宋体" w:cs="宋体"/>
      <w:sz w:val="24"/>
      <w:szCs w:val="24"/>
    </w:rPr>
  </w:style>
  <w:style w:type="paragraph" w:customStyle="1" w:styleId="1183">
    <w:name w:val="Char Char Char Char Char1"/>
    <w:basedOn w:val="4"/>
    <w:uiPriority w:val="0"/>
    <w:pPr>
      <w:tabs>
        <w:tab w:val="left" w:pos="360"/>
        <w:tab w:val="left" w:pos="900"/>
      </w:tabs>
      <w:snapToGrid w:val="0"/>
      <w:spacing w:before="120" w:after="120" w:line="360" w:lineRule="auto"/>
      <w:ind w:left="542" w:leftChars="-12" w:firstLine="200" w:firstLineChars="200"/>
      <w:jc w:val="left"/>
    </w:pPr>
    <w:rPr>
      <w:rFonts w:ascii="Times New Roman" w:hAnsi="华文中宋" w:eastAsia="黑体"/>
      <w:b w:val="0"/>
      <w:bCs w:val="0"/>
      <w:snapToGrid w:val="0"/>
      <w:kern w:val="0"/>
      <w:sz w:val="24"/>
      <w:szCs w:val="24"/>
    </w:rPr>
  </w:style>
  <w:style w:type="paragraph" w:customStyle="1" w:styleId="1184">
    <w:name w:val="Char Char Char Char Char Char11"/>
    <w:basedOn w:val="1"/>
    <w:uiPriority w:val="0"/>
    <w:pPr>
      <w:ind w:firstLine="200" w:firstLineChars="200"/>
    </w:pPr>
    <w:rPr>
      <w:rFonts w:ascii="宋体" w:hAnsi="宋体" w:cs="宋体"/>
      <w:sz w:val="24"/>
      <w:szCs w:val="24"/>
    </w:rPr>
  </w:style>
  <w:style w:type="paragraph" w:customStyle="1" w:styleId="1185">
    <w:name w:val="正文文本 312"/>
    <w:basedOn w:val="1"/>
    <w:qFormat/>
    <w:uiPriority w:val="0"/>
    <w:pPr>
      <w:adjustRightInd w:val="0"/>
      <w:spacing w:line="240" w:lineRule="atLeast"/>
      <w:jc w:val="center"/>
      <w:textAlignment w:val="baseline"/>
    </w:pPr>
    <w:rPr>
      <w:rFonts w:ascii="宋体" w:hAnsi="Times New Roman"/>
      <w:kern w:val="0"/>
      <w:sz w:val="18"/>
      <w:szCs w:val="20"/>
    </w:rPr>
  </w:style>
  <w:style w:type="paragraph" w:customStyle="1" w:styleId="1186">
    <w:name w:val="Char Char Char1 Char Char Char Char1"/>
    <w:basedOn w:val="1"/>
    <w:uiPriority w:val="0"/>
    <w:pPr>
      <w:spacing w:line="240" w:lineRule="auto"/>
    </w:pPr>
    <w:rPr>
      <w:rFonts w:ascii="宋体" w:hAnsi="宋体" w:cs="Courier New"/>
      <w:sz w:val="32"/>
      <w:szCs w:val="32"/>
    </w:rPr>
  </w:style>
  <w:style w:type="paragraph" w:customStyle="1" w:styleId="1187">
    <w:name w:val="Char Char Char3 Char2"/>
    <w:basedOn w:val="1"/>
    <w:qFormat/>
    <w:uiPriority w:val="0"/>
    <w:pPr>
      <w:ind w:firstLine="200" w:firstLineChars="200"/>
    </w:pPr>
    <w:rPr>
      <w:rFonts w:ascii="宋体" w:hAnsi="宋体" w:cs="宋体"/>
      <w:sz w:val="24"/>
      <w:szCs w:val="24"/>
    </w:rPr>
  </w:style>
  <w:style w:type="paragraph" w:customStyle="1" w:styleId="1188">
    <w:name w:val="Char Char Char Char Char Char Char Char Char11"/>
    <w:basedOn w:val="1"/>
    <w:qFormat/>
    <w:uiPriority w:val="0"/>
    <w:pPr>
      <w:ind w:firstLine="200" w:firstLineChars="200"/>
    </w:pPr>
    <w:rPr>
      <w:rFonts w:ascii="宋体" w:hAnsi="宋体" w:cs="宋体"/>
      <w:sz w:val="24"/>
      <w:szCs w:val="24"/>
    </w:rPr>
  </w:style>
  <w:style w:type="character" w:customStyle="1" w:styleId="1189">
    <w:name w:val="Char Char121"/>
    <w:semiHidden/>
    <w:qFormat/>
    <w:uiPriority w:val="0"/>
    <w:rPr>
      <w:sz w:val="21"/>
    </w:rPr>
  </w:style>
  <w:style w:type="paragraph" w:customStyle="1" w:styleId="1190">
    <w:name w:val="表内文字，居中"/>
    <w:basedOn w:val="1"/>
    <w:qFormat/>
    <w:uiPriority w:val="0"/>
    <w:pPr>
      <w:widowControl/>
      <w:spacing w:line="240" w:lineRule="auto"/>
      <w:jc w:val="center"/>
    </w:pPr>
    <w:rPr>
      <w:rFonts w:ascii="Times New Roman" w:hAnsi="Times New Roman"/>
      <w:kern w:val="0"/>
      <w:sz w:val="21"/>
      <w:szCs w:val="20"/>
    </w:rPr>
  </w:style>
  <w:style w:type="paragraph" w:customStyle="1" w:styleId="1191">
    <w:name w:val="第1章"/>
    <w:basedOn w:val="1"/>
    <w:qFormat/>
    <w:uiPriority w:val="0"/>
    <w:pPr>
      <w:spacing w:before="600" w:after="360" w:line="240" w:lineRule="atLeast"/>
      <w:jc w:val="center"/>
      <w:outlineLvl w:val="0"/>
    </w:pPr>
    <w:rPr>
      <w:rFonts w:ascii="楷体_GB2312" w:hAnsi="Times New Roman" w:eastAsia="楷体_GB2312"/>
      <w:b/>
      <w:spacing w:val="6"/>
      <w:sz w:val="32"/>
      <w:szCs w:val="20"/>
    </w:rPr>
  </w:style>
  <w:style w:type="paragraph" w:customStyle="1" w:styleId="1192">
    <w:name w:val="第1.1节"/>
    <w:basedOn w:val="1"/>
    <w:qFormat/>
    <w:uiPriority w:val="0"/>
    <w:pPr>
      <w:spacing w:before="360" w:after="240" w:line="240" w:lineRule="atLeast"/>
      <w:outlineLvl w:val="1"/>
    </w:pPr>
    <w:rPr>
      <w:rFonts w:ascii="楷体_GB2312" w:hAnsi="Times New Roman" w:eastAsia="楷体_GB2312"/>
      <w:b/>
      <w:spacing w:val="6"/>
      <w:szCs w:val="20"/>
    </w:rPr>
  </w:style>
  <w:style w:type="paragraph" w:customStyle="1" w:styleId="1193">
    <w:name w:val="内容"/>
    <w:basedOn w:val="1"/>
    <w:qFormat/>
    <w:uiPriority w:val="0"/>
    <w:pPr>
      <w:spacing w:line="400" w:lineRule="atLeast"/>
      <w:ind w:firstLine="200" w:firstLineChars="200"/>
    </w:pPr>
    <w:rPr>
      <w:rFonts w:ascii="Times New Roman" w:hAnsi="Times New Roman"/>
      <w:spacing w:val="10"/>
      <w:sz w:val="24"/>
      <w:szCs w:val="20"/>
    </w:rPr>
  </w:style>
  <w:style w:type="paragraph" w:customStyle="1" w:styleId="1194">
    <w:name w:val="五号表格"/>
    <w:basedOn w:val="1"/>
    <w:qFormat/>
    <w:uiPriority w:val="0"/>
    <w:pPr>
      <w:spacing w:line="240" w:lineRule="atLeast"/>
      <w:jc w:val="center"/>
    </w:pPr>
    <w:rPr>
      <w:rFonts w:ascii="Times New Roman" w:hAnsi="Times New Roman"/>
      <w:sz w:val="21"/>
      <w:szCs w:val="24"/>
    </w:rPr>
  </w:style>
  <w:style w:type="paragraph" w:customStyle="1" w:styleId="1195">
    <w:name w:val="插图"/>
    <w:basedOn w:val="1"/>
    <w:next w:val="1"/>
    <w:qFormat/>
    <w:uiPriority w:val="0"/>
    <w:pPr>
      <w:keepLines/>
      <w:adjustRightInd w:val="0"/>
      <w:spacing w:before="360" w:after="300" w:line="567" w:lineRule="atLeast"/>
      <w:jc w:val="center"/>
      <w:textAlignment w:val="baseline"/>
    </w:pPr>
    <w:rPr>
      <w:rFonts w:ascii="Times New Roman" w:hAnsi="Times New Roman"/>
      <w:spacing w:val="6"/>
      <w:kern w:val="0"/>
      <w:sz w:val="24"/>
      <w:szCs w:val="20"/>
    </w:rPr>
  </w:style>
  <w:style w:type="paragraph" w:customStyle="1" w:styleId="1196">
    <w:name w:val="小五表格"/>
    <w:basedOn w:val="1"/>
    <w:qFormat/>
    <w:uiPriority w:val="0"/>
    <w:pPr>
      <w:spacing w:line="240" w:lineRule="auto"/>
      <w:jc w:val="left"/>
    </w:pPr>
    <w:rPr>
      <w:rFonts w:ascii="Times New Roman" w:hAnsi="Times New Roman"/>
      <w:sz w:val="18"/>
      <w:szCs w:val="24"/>
    </w:rPr>
  </w:style>
  <w:style w:type="paragraph" w:customStyle="1" w:styleId="1197">
    <w:name w:val="表内文字，居左"/>
    <w:basedOn w:val="1"/>
    <w:qFormat/>
    <w:uiPriority w:val="0"/>
    <w:pPr>
      <w:widowControl/>
      <w:spacing w:line="240" w:lineRule="auto"/>
      <w:jc w:val="left"/>
    </w:pPr>
    <w:rPr>
      <w:rFonts w:ascii="Times New Roman" w:hAnsi="Times New Roman"/>
      <w:spacing w:val="6"/>
      <w:sz w:val="21"/>
      <w:szCs w:val="20"/>
    </w:rPr>
  </w:style>
  <w:style w:type="character" w:customStyle="1" w:styleId="1198">
    <w:name w:val="正文文本 Char2"/>
    <w:qFormat/>
    <w:uiPriority w:val="0"/>
    <w:rPr>
      <w:spacing w:val="6"/>
    </w:rPr>
  </w:style>
  <w:style w:type="table" w:customStyle="1" w:styleId="1199">
    <w:name w:val="网格型 1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1200">
    <w:name w:val="Char Char Char1 Char Char Char Char Char Char Char Char Char Char Char Char1 Char Char Char Char1"/>
    <w:basedOn w:val="1"/>
    <w:qFormat/>
    <w:uiPriority w:val="0"/>
    <w:pPr>
      <w:ind w:firstLine="200" w:firstLineChars="200"/>
    </w:pPr>
    <w:rPr>
      <w:rFonts w:ascii="宋体" w:hAnsi="宋体" w:cs="宋体"/>
      <w:sz w:val="24"/>
      <w:szCs w:val="24"/>
    </w:rPr>
  </w:style>
  <w:style w:type="paragraph" w:customStyle="1" w:styleId="1201">
    <w:name w:val="二标题"/>
    <w:basedOn w:val="1"/>
    <w:qFormat/>
    <w:uiPriority w:val="0"/>
    <w:pPr>
      <w:ind w:firstLine="200" w:firstLineChars="200"/>
    </w:pPr>
    <w:rPr>
      <w:rFonts w:ascii="宋体" w:hAnsi="宋体" w:cs="宋体"/>
      <w:sz w:val="24"/>
      <w:szCs w:val="24"/>
    </w:rPr>
  </w:style>
  <w:style w:type="paragraph" w:customStyle="1" w:styleId="1202">
    <w:name w:val="1大标题"/>
    <w:basedOn w:val="2"/>
    <w:qFormat/>
    <w:uiPriority w:val="0"/>
    <w:pPr>
      <w:adjustRightInd w:val="0"/>
      <w:spacing w:before="120" w:after="240" w:line="240" w:lineRule="auto"/>
      <w:jc w:val="center"/>
      <w:textAlignment w:val="baseline"/>
    </w:pPr>
    <w:rPr>
      <w:rFonts w:ascii="宋体" w:hAnsi="Times New Roman" w:eastAsia="黑体" w:cs="宋体"/>
      <w:b w:val="0"/>
      <w:bCs w:val="0"/>
      <w:sz w:val="32"/>
      <w:szCs w:val="20"/>
    </w:rPr>
  </w:style>
  <w:style w:type="table" w:customStyle="1" w:styleId="1203">
    <w:name w:val="8表格格式"/>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character" w:customStyle="1" w:styleId="1204">
    <w:name w:val="Char12 Char Char1"/>
    <w:qFormat/>
    <w:uiPriority w:val="0"/>
    <w:rPr>
      <w:b/>
      <w:bCs/>
    </w:rPr>
  </w:style>
  <w:style w:type="character" w:customStyle="1" w:styleId="1205">
    <w:name w:val="Char11 Char Char1"/>
    <w:qFormat/>
    <w:uiPriority w:val="0"/>
    <w:rPr>
      <w:rFonts w:ascii="Arial" w:hAnsi="Arial" w:eastAsia="黑体"/>
    </w:rPr>
  </w:style>
  <w:style w:type="character" w:customStyle="1" w:styleId="1206">
    <w:name w:val="Char10 Char Char1"/>
    <w:semiHidden/>
    <w:qFormat/>
    <w:uiPriority w:val="0"/>
    <w:rPr>
      <w:sz w:val="21"/>
    </w:rPr>
  </w:style>
  <w:style w:type="character" w:customStyle="1" w:styleId="1207">
    <w:name w:val="正文文字缩进 3 Char1"/>
    <w:qFormat/>
    <w:uiPriority w:val="0"/>
  </w:style>
  <w:style w:type="character" w:customStyle="1" w:styleId="1208">
    <w:name w:val="正文文本1 Char1 Char Char Char Char Char Char Char2"/>
    <w:qFormat/>
    <w:uiPriority w:val="0"/>
    <w:rPr>
      <w:sz w:val="18"/>
      <w:szCs w:val="18"/>
    </w:rPr>
  </w:style>
  <w:style w:type="character" w:customStyle="1" w:styleId="1209">
    <w:name w:val="Char8 Char Char Char1"/>
    <w:qFormat/>
    <w:uiPriority w:val="0"/>
  </w:style>
  <w:style w:type="character" w:customStyle="1" w:styleId="1210">
    <w:name w:val="Char6 Char Char1"/>
    <w:semiHidden/>
    <w:qFormat/>
    <w:uiPriority w:val="0"/>
    <w:rPr>
      <w:sz w:val="21"/>
    </w:rPr>
  </w:style>
  <w:style w:type="character" w:customStyle="1" w:styleId="1211">
    <w:name w:val="正文文字 2 Char1"/>
    <w:qFormat/>
    <w:uiPriority w:val="0"/>
    <w:rPr>
      <w:spacing w:val="-10"/>
      <w:sz w:val="18"/>
    </w:rPr>
  </w:style>
  <w:style w:type="character" w:customStyle="1" w:styleId="1212">
    <w:name w:val="正文文字 3 Char1"/>
    <w:qFormat/>
    <w:uiPriority w:val="0"/>
    <w:rPr>
      <w:sz w:val="16"/>
      <w:szCs w:val="16"/>
    </w:rPr>
  </w:style>
  <w:style w:type="character" w:customStyle="1" w:styleId="1213">
    <w:name w:val="Char9 Char Char1"/>
    <w:semiHidden/>
    <w:qFormat/>
    <w:uiPriority w:val="0"/>
    <w:rPr>
      <w:sz w:val="18"/>
      <w:szCs w:val="18"/>
    </w:rPr>
  </w:style>
  <w:style w:type="character" w:customStyle="1" w:styleId="1214">
    <w:name w:val="Char4 Char Char1"/>
    <w:semiHidden/>
    <w:qFormat/>
    <w:uiPriority w:val="0"/>
    <w:rPr>
      <w:b/>
      <w:bCs/>
      <w:sz w:val="21"/>
    </w:rPr>
  </w:style>
  <w:style w:type="character" w:customStyle="1" w:styleId="1215">
    <w:name w:val="Char7 Char Char1"/>
    <w:qFormat/>
    <w:uiPriority w:val="0"/>
    <w:rPr>
      <w:snapToGrid w:val="0"/>
      <w:kern w:val="24"/>
    </w:rPr>
  </w:style>
  <w:style w:type="character" w:customStyle="1" w:styleId="1216">
    <w:name w:val="HTML 预先格式化 Char1"/>
    <w:qFormat/>
    <w:uiPriority w:val="0"/>
    <w:rPr>
      <w:rFonts w:ascii="Courier New" w:hAnsi="Courier New" w:cs="Courier New"/>
    </w:rPr>
  </w:style>
  <w:style w:type="character" w:customStyle="1" w:styleId="1217">
    <w:name w:val="Char3 Char Char1"/>
    <w:semiHidden/>
    <w:qFormat/>
    <w:uiPriority w:val="0"/>
    <w:rPr>
      <w:sz w:val="18"/>
      <w:szCs w:val="18"/>
    </w:rPr>
  </w:style>
  <w:style w:type="paragraph" w:customStyle="1" w:styleId="1218">
    <w:name w:val="大妹正文"/>
    <w:basedOn w:val="2"/>
    <w:qFormat/>
    <w:uiPriority w:val="0"/>
    <w:pPr>
      <w:keepNext w:val="0"/>
      <w:keepLines w:val="0"/>
      <w:spacing w:beforeLines="100" w:after="0" w:line="240" w:lineRule="auto"/>
      <w:ind w:firstLine="420" w:firstLineChars="200"/>
      <w:jc w:val="center"/>
      <w:outlineLvl w:val="9"/>
    </w:pPr>
    <w:rPr>
      <w:rFonts w:ascii="宋体" w:hAnsi="Times New Roman"/>
      <w:b w:val="0"/>
      <w:bCs w:val="0"/>
      <w:kern w:val="2"/>
      <w:sz w:val="21"/>
      <w:szCs w:val="20"/>
    </w:rPr>
  </w:style>
  <w:style w:type="paragraph" w:customStyle="1" w:styleId="1219">
    <w:name w:val="Char Char Char1 Char Char Char Char Char Char Char Char Char Char Char Char Char Char Char Char Char Char Char Char Char Char Char Char Char"/>
    <w:basedOn w:val="1"/>
    <w:qFormat/>
    <w:uiPriority w:val="0"/>
    <w:pPr>
      <w:spacing w:line="240" w:lineRule="auto"/>
    </w:pPr>
    <w:rPr>
      <w:rFonts w:ascii="Times New Roman" w:hAnsi="Times New Roman"/>
      <w:sz w:val="21"/>
      <w:szCs w:val="24"/>
    </w:rPr>
  </w:style>
  <w:style w:type="paragraph" w:customStyle="1" w:styleId="1220">
    <w:name w:val="Char Char Char3 Char Char Char7 Char1"/>
    <w:basedOn w:val="1"/>
    <w:qFormat/>
    <w:uiPriority w:val="0"/>
    <w:pPr>
      <w:ind w:firstLine="200" w:firstLineChars="200"/>
    </w:pPr>
    <w:rPr>
      <w:rFonts w:ascii="宋体" w:hAnsi="宋体" w:cs="宋体"/>
      <w:sz w:val="24"/>
      <w:szCs w:val="24"/>
    </w:rPr>
  </w:style>
  <w:style w:type="character" w:customStyle="1" w:styleId="1221">
    <w:name w:val="自定义正文 Char Char Char Char Char Char Char Char Char Char Char"/>
    <w:link w:val="905"/>
    <w:qFormat/>
    <w:uiPriority w:val="0"/>
    <w:rPr>
      <w:rFonts w:ascii="Times New Roman" w:hAnsi="Times New Roman" w:eastAsia="宋体" w:cs="Times New Roman"/>
      <w:position w:val="-28"/>
      <w:sz w:val="28"/>
      <w:szCs w:val="28"/>
    </w:rPr>
  </w:style>
  <w:style w:type="character" w:customStyle="1" w:styleId="1222">
    <w:name w:val="普通文字 Char Char Char Char Char Char Char Char Char Char Char Char Char Char Char Char Char Char Char Char Char Char Char Char1 Char Char Char Char1"/>
    <w:qFormat/>
    <w:uiPriority w:val="0"/>
    <w:rPr>
      <w:rFonts w:hAnsi="Courier New" w:cs="Courier New"/>
      <w:sz w:val="21"/>
      <w:szCs w:val="21"/>
    </w:rPr>
  </w:style>
  <w:style w:type="paragraph" w:customStyle="1" w:styleId="1223">
    <w:name w:val="BG5 Char Char Char Char Char Char Char"/>
    <w:basedOn w:val="1"/>
    <w:link w:val="1224"/>
    <w:qFormat/>
    <w:uiPriority w:val="0"/>
    <w:pPr>
      <w:autoSpaceDE w:val="0"/>
      <w:autoSpaceDN w:val="0"/>
      <w:adjustRightInd w:val="0"/>
      <w:spacing w:line="200" w:lineRule="atLeast"/>
      <w:jc w:val="center"/>
    </w:pPr>
    <w:rPr>
      <w:rFonts w:ascii="@宋体" w:hAnsi="Times New Roman"/>
      <w:sz w:val="21"/>
      <w:szCs w:val="24"/>
    </w:rPr>
  </w:style>
  <w:style w:type="character" w:customStyle="1" w:styleId="1224">
    <w:name w:val="BG5 Char Char Char Char Char Char Char Char"/>
    <w:link w:val="1223"/>
    <w:qFormat/>
    <w:uiPriority w:val="0"/>
    <w:rPr>
      <w:rFonts w:ascii="@宋体" w:hAnsi="Times New Roman" w:eastAsia="宋体" w:cs="Times New Roman"/>
      <w:szCs w:val="24"/>
    </w:rPr>
  </w:style>
  <w:style w:type="character" w:customStyle="1" w:styleId="1225">
    <w:name w:val="普通文字 Char Char Char Char Char Char Char Char Char Char Char Char Char Char Char Char Char Char Char Char"/>
    <w:qFormat/>
    <w:uiPriority w:val="0"/>
    <w:rPr>
      <w:rFonts w:hAnsi="Courier New"/>
      <w:sz w:val="21"/>
    </w:rPr>
  </w:style>
  <w:style w:type="paragraph" w:customStyle="1" w:styleId="1226">
    <w:name w:val="BG5-"/>
    <w:basedOn w:val="1"/>
    <w:qFormat/>
    <w:uiPriority w:val="0"/>
    <w:pPr>
      <w:autoSpaceDE w:val="0"/>
      <w:autoSpaceDN w:val="0"/>
      <w:adjustRightInd w:val="0"/>
      <w:spacing w:line="180" w:lineRule="exact"/>
      <w:jc w:val="center"/>
      <w:textAlignment w:val="baseline"/>
    </w:pPr>
    <w:rPr>
      <w:rFonts w:ascii="@宋体" w:hAnsi="Times New Roman"/>
      <w:kern w:val="0"/>
      <w:sz w:val="18"/>
      <w:szCs w:val="20"/>
    </w:rPr>
  </w:style>
  <w:style w:type="paragraph" w:customStyle="1" w:styleId="1227">
    <w:name w:val="表格内容 Char Char Char Char Char"/>
    <w:basedOn w:val="1"/>
    <w:link w:val="1228"/>
    <w:qFormat/>
    <w:uiPriority w:val="0"/>
    <w:pPr>
      <w:adjustRightInd w:val="0"/>
      <w:snapToGrid w:val="0"/>
      <w:spacing w:line="240" w:lineRule="auto"/>
      <w:jc w:val="center"/>
    </w:pPr>
    <w:rPr>
      <w:rFonts w:ascii="宋体" w:hAnsi="宋体"/>
      <w:sz w:val="21"/>
      <w:szCs w:val="21"/>
    </w:rPr>
  </w:style>
  <w:style w:type="character" w:customStyle="1" w:styleId="1228">
    <w:name w:val="表格内容 Char Char Char Char Char Char"/>
    <w:link w:val="1227"/>
    <w:qFormat/>
    <w:uiPriority w:val="0"/>
    <w:rPr>
      <w:rFonts w:ascii="宋体" w:hAnsi="宋体" w:eastAsia="宋体" w:cs="Times New Roman"/>
      <w:szCs w:val="21"/>
    </w:rPr>
  </w:style>
  <w:style w:type="character" w:customStyle="1" w:styleId="1229">
    <w:name w:val="f14 lh15"/>
    <w:qFormat/>
    <w:uiPriority w:val="0"/>
  </w:style>
  <w:style w:type="character" w:customStyle="1" w:styleId="1230">
    <w:name w:val="报告书正文 Char Char Char Char Char Char3"/>
    <w:qFormat/>
    <w:uiPriority w:val="0"/>
  </w:style>
  <w:style w:type="paragraph" w:customStyle="1" w:styleId="1231">
    <w:name w:val="Char Char Char3 Char Char Char4"/>
    <w:basedOn w:val="1"/>
    <w:qFormat/>
    <w:uiPriority w:val="0"/>
    <w:pPr>
      <w:ind w:firstLine="200" w:firstLineChars="200"/>
    </w:pPr>
    <w:rPr>
      <w:rFonts w:ascii="宋体" w:hAnsi="宋体" w:cs="宋体"/>
      <w:sz w:val="24"/>
      <w:szCs w:val="24"/>
    </w:rPr>
  </w:style>
  <w:style w:type="paragraph" w:customStyle="1" w:styleId="1232">
    <w:name w:val="usersign1"/>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character" w:customStyle="1" w:styleId="1233">
    <w:name w:val="l3 Char1"/>
    <w:qFormat/>
    <w:uiPriority w:val="0"/>
    <w:rPr>
      <w:b/>
      <w:bCs/>
      <w:sz w:val="32"/>
      <w:szCs w:val="32"/>
    </w:rPr>
  </w:style>
  <w:style w:type="paragraph" w:customStyle="1" w:styleId="1234">
    <w:name w:val="表格11 Char Char Char"/>
    <w:basedOn w:val="1"/>
    <w:link w:val="1263"/>
    <w:qFormat/>
    <w:uiPriority w:val="0"/>
    <w:pPr>
      <w:snapToGrid w:val="0"/>
      <w:spacing w:line="240" w:lineRule="auto"/>
      <w:jc w:val="center"/>
    </w:pPr>
    <w:rPr>
      <w:rFonts w:ascii="宋体" w:hAnsi="宋体" w:cs="宋体"/>
      <w:kern w:val="0"/>
      <w:sz w:val="21"/>
      <w:szCs w:val="21"/>
    </w:rPr>
  </w:style>
  <w:style w:type="paragraph" w:customStyle="1" w:styleId="1235">
    <w:name w:val="报告 Char Char Char Char Char"/>
    <w:basedOn w:val="1"/>
    <w:link w:val="1236"/>
    <w:qFormat/>
    <w:uiPriority w:val="0"/>
    <w:pPr>
      <w:spacing w:line="300" w:lineRule="auto"/>
      <w:ind w:firstLine="539"/>
    </w:pPr>
    <w:rPr>
      <w:rFonts w:ascii="Times New Roman" w:hAnsi="Times New Roman"/>
      <w:sz w:val="24"/>
      <w:szCs w:val="24"/>
    </w:rPr>
  </w:style>
  <w:style w:type="character" w:customStyle="1" w:styleId="1236">
    <w:name w:val="报告 Char Char Char Char Char Char"/>
    <w:link w:val="1235"/>
    <w:qFormat/>
    <w:uiPriority w:val="0"/>
    <w:rPr>
      <w:rFonts w:ascii="Times New Roman" w:hAnsi="Times New Roman" w:eastAsia="宋体" w:cs="Times New Roman"/>
      <w:sz w:val="24"/>
      <w:szCs w:val="24"/>
    </w:rPr>
  </w:style>
  <w:style w:type="paragraph" w:customStyle="1" w:styleId="1237">
    <w:name w:val="bg Char Char Char Char"/>
    <w:basedOn w:val="1"/>
    <w:link w:val="1238"/>
    <w:qFormat/>
    <w:uiPriority w:val="0"/>
    <w:pPr>
      <w:adjustRightInd w:val="0"/>
      <w:snapToGrid w:val="0"/>
      <w:spacing w:line="240" w:lineRule="auto"/>
      <w:jc w:val="center"/>
    </w:pPr>
    <w:rPr>
      <w:rFonts w:ascii="Times New Roman" w:hAnsi="Times New Roman" w:cs="宋体"/>
      <w:sz w:val="21"/>
      <w:szCs w:val="21"/>
    </w:rPr>
  </w:style>
  <w:style w:type="character" w:customStyle="1" w:styleId="1238">
    <w:name w:val="bg Char Char Char Char Char"/>
    <w:link w:val="1237"/>
    <w:qFormat/>
    <w:uiPriority w:val="0"/>
    <w:rPr>
      <w:rFonts w:ascii="Times New Roman" w:hAnsi="Times New Roman" w:eastAsia="宋体" w:cs="宋体"/>
      <w:szCs w:val="21"/>
    </w:rPr>
  </w:style>
  <w:style w:type="paragraph" w:customStyle="1" w:styleId="1239">
    <w:name w:val="Char Char Char3 Char Char Char5"/>
    <w:basedOn w:val="1"/>
    <w:qFormat/>
    <w:uiPriority w:val="0"/>
    <w:pPr>
      <w:ind w:firstLine="200" w:firstLineChars="200"/>
    </w:pPr>
    <w:rPr>
      <w:rFonts w:ascii="宋体" w:hAnsi="宋体" w:cs="宋体"/>
      <w:sz w:val="24"/>
      <w:szCs w:val="24"/>
    </w:rPr>
  </w:style>
  <w:style w:type="paragraph" w:customStyle="1" w:styleId="1240">
    <w:name w:val="样式 标题 3标题 3 CharH3B Head + 宋体 小三 Char Char Char Char Char Char Char Char"/>
    <w:basedOn w:val="4"/>
    <w:link w:val="1241"/>
    <w:semiHidden/>
    <w:qFormat/>
    <w:uiPriority w:val="0"/>
    <w:pPr>
      <w:tabs>
        <w:tab w:val="left" w:pos="709"/>
        <w:tab w:val="left" w:pos="1412"/>
      </w:tabs>
      <w:adjustRightInd w:val="0"/>
      <w:snapToGrid w:val="0"/>
      <w:spacing w:before="240" w:after="240" w:line="360" w:lineRule="auto"/>
      <w:ind w:left="709" w:hanging="709"/>
    </w:pPr>
    <w:rPr>
      <w:rFonts w:ascii="宋体" w:hAnsi="宋体" w:eastAsia="黑体"/>
      <w:b w:val="0"/>
      <w:kern w:val="0"/>
      <w:sz w:val="30"/>
      <w:szCs w:val="28"/>
    </w:rPr>
  </w:style>
  <w:style w:type="character" w:customStyle="1" w:styleId="1241">
    <w:name w:val="样式 标题 3标题 3 CharH3B Head + 宋体 小三 Char Char Char Char Char Char Char Char Char"/>
    <w:link w:val="1240"/>
    <w:semiHidden/>
    <w:qFormat/>
    <w:uiPriority w:val="0"/>
    <w:rPr>
      <w:rFonts w:ascii="宋体" w:hAnsi="宋体" w:eastAsia="黑体" w:cs="Times New Roman"/>
      <w:bCs/>
      <w:kern w:val="0"/>
      <w:sz w:val="30"/>
      <w:szCs w:val="28"/>
    </w:rPr>
  </w:style>
  <w:style w:type="paragraph" w:customStyle="1" w:styleId="1242">
    <w:name w:val="样式 标题 4 + 宋体 Char Char Char Char Char Char Char Char"/>
    <w:basedOn w:val="5"/>
    <w:link w:val="1243"/>
    <w:semiHidden/>
    <w:qFormat/>
    <w:uiPriority w:val="0"/>
    <w:pPr>
      <w:tabs>
        <w:tab w:val="left" w:pos="0"/>
      </w:tabs>
      <w:adjustRightInd w:val="0"/>
      <w:snapToGrid w:val="0"/>
      <w:spacing w:before="80" w:after="80" w:line="300" w:lineRule="auto"/>
    </w:pPr>
    <w:rPr>
      <w:rFonts w:ascii="宋体" w:hAnsi="宋体"/>
      <w:b w:val="0"/>
      <w:bCs w:val="0"/>
    </w:rPr>
  </w:style>
  <w:style w:type="character" w:customStyle="1" w:styleId="1243">
    <w:name w:val="样式 标题 4 + 宋体 Char Char Char Char Char Char Char Char Char"/>
    <w:link w:val="1242"/>
    <w:semiHidden/>
    <w:qFormat/>
    <w:uiPriority w:val="0"/>
    <w:rPr>
      <w:rFonts w:ascii="宋体" w:hAnsi="宋体" w:eastAsia="宋体" w:cs="Times New Roman"/>
      <w:sz w:val="28"/>
      <w:szCs w:val="28"/>
    </w:rPr>
  </w:style>
  <w:style w:type="character" w:customStyle="1" w:styleId="1244">
    <w:name w:val="样式1 Char Char Char Char Char Char Char Char Char"/>
    <w:qFormat/>
    <w:uiPriority w:val="0"/>
  </w:style>
  <w:style w:type="character" w:customStyle="1" w:styleId="1245">
    <w:name w:val="报告书正文 Char Char Char Char Char Char Char Char Char Char Char Char Char Char Char Char"/>
    <w:qFormat/>
    <w:uiPriority w:val="0"/>
    <w:rPr>
      <w:color w:val="000000"/>
    </w:rPr>
  </w:style>
  <w:style w:type="character" w:customStyle="1" w:styleId="1246">
    <w:name w:val="自定义正文 Char Char Char Char Char Char Char Char Char Char Char Char Char Char Char Char"/>
    <w:qFormat/>
    <w:uiPriority w:val="0"/>
    <w:rPr>
      <w:position w:val="-28"/>
      <w:sz w:val="28"/>
      <w:szCs w:val="28"/>
    </w:rPr>
  </w:style>
  <w:style w:type="character" w:customStyle="1" w:styleId="1247">
    <w:name w:val="标4 Char Char Char Char Char Char"/>
    <w:qFormat/>
    <w:uiPriority w:val="0"/>
    <w:rPr>
      <w:szCs w:val="30"/>
    </w:rPr>
  </w:style>
  <w:style w:type="paragraph" w:customStyle="1" w:styleId="1248">
    <w:name w:val="自定义正文 Char Char Char Char Char Char Char Char Char Char1"/>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1249">
    <w:name w:val="样式 标题 3标题 3 CharH3B Head + 宋体 小三 Char Char Char Char Char Char Char Char Char1"/>
    <w:qFormat/>
    <w:uiPriority w:val="0"/>
    <w:rPr>
      <w:rFonts w:eastAsia="黑体"/>
      <w:bCs/>
      <w:sz w:val="30"/>
      <w:szCs w:val="28"/>
    </w:rPr>
  </w:style>
  <w:style w:type="character" w:customStyle="1" w:styleId="1250">
    <w:name w:val="样式 标题 4 + 宋体 Char Char Char Char Char Char Char Char Char1"/>
    <w:qFormat/>
    <w:uiPriority w:val="0"/>
    <w:rPr>
      <w:bCs/>
    </w:rPr>
  </w:style>
  <w:style w:type="paragraph" w:customStyle="1" w:styleId="1251">
    <w:name w:val="样式 样式 宋体 段前: 0.5 行 行距: 固定值 18 磅 + 首行缩进:  2 字符 Char Char Char"/>
    <w:basedOn w:val="1"/>
    <w:link w:val="1257"/>
    <w:qFormat/>
    <w:uiPriority w:val="0"/>
    <w:pPr>
      <w:ind w:firstLine="480" w:firstLineChars="200"/>
    </w:pPr>
    <w:rPr>
      <w:rFonts w:ascii="宋体" w:hAnsi="宋体" w:cs="宋体"/>
      <w:snapToGrid w:val="0"/>
      <w:color w:val="000000"/>
      <w:sz w:val="24"/>
      <w:szCs w:val="24"/>
      <w:lang w:val="en-GB"/>
    </w:rPr>
  </w:style>
  <w:style w:type="character" w:customStyle="1" w:styleId="1252">
    <w:name w:val="标题41 Char"/>
    <w:qFormat/>
    <w:uiPriority w:val="0"/>
    <w:rPr>
      <w:rFonts w:eastAsia="黑体"/>
      <w:b/>
      <w:bCs/>
      <w:color w:val="0000FF"/>
      <w:sz w:val="28"/>
      <w:szCs w:val="28"/>
    </w:rPr>
  </w:style>
  <w:style w:type="character" w:customStyle="1" w:styleId="1253">
    <w:name w:val="dfgdfg Char Char Char"/>
    <w:qFormat/>
    <w:uiPriority w:val="0"/>
    <w:rPr>
      <w:rFonts w:ascii="Arial" w:hAnsi="Arial" w:eastAsia="黑体"/>
      <w:sz w:val="21"/>
      <w:szCs w:val="21"/>
    </w:rPr>
  </w:style>
  <w:style w:type="character" w:customStyle="1" w:styleId="1254">
    <w:name w:val="正文文字缩进 3 Char Char Char Char"/>
    <w:qFormat/>
    <w:uiPriority w:val="0"/>
    <w:rPr>
      <w:sz w:val="16"/>
      <w:szCs w:val="16"/>
    </w:rPr>
  </w:style>
  <w:style w:type="character" w:customStyle="1" w:styleId="1255">
    <w:name w:val="正文文字 2 Char Char Char Char"/>
    <w:qFormat/>
    <w:uiPriority w:val="0"/>
    <w:rPr>
      <w:sz w:val="21"/>
    </w:rPr>
  </w:style>
  <w:style w:type="character" w:customStyle="1" w:styleId="1256">
    <w:name w:val="正文文字 3 Char Char Char Char"/>
    <w:qFormat/>
    <w:uiPriority w:val="0"/>
    <w:rPr>
      <w:sz w:val="16"/>
      <w:szCs w:val="16"/>
    </w:rPr>
  </w:style>
  <w:style w:type="character" w:customStyle="1" w:styleId="1257">
    <w:name w:val="样式 样式 宋体 段前: 0.5 行 行距: 固定值 18 磅 + 首行缩进:  2 字符 Char Char Char Char"/>
    <w:link w:val="1251"/>
    <w:qFormat/>
    <w:uiPriority w:val="0"/>
    <w:rPr>
      <w:rFonts w:ascii="宋体" w:hAnsi="宋体" w:eastAsia="宋体" w:cs="宋体"/>
      <w:snapToGrid w:val="0"/>
      <w:color w:val="000000"/>
      <w:sz w:val="24"/>
      <w:szCs w:val="24"/>
      <w:lang w:val="en-GB"/>
    </w:rPr>
  </w:style>
  <w:style w:type="character" w:customStyle="1" w:styleId="1258">
    <w:name w:val="HTML 预先格式化 Char Char Char Char"/>
    <w:qFormat/>
    <w:uiPriority w:val="0"/>
    <w:rPr>
      <w:rFonts w:ascii="Courier New" w:hAnsi="Courier New" w:cs="Courier New"/>
    </w:rPr>
  </w:style>
  <w:style w:type="character" w:customStyle="1" w:styleId="1259">
    <w:name w:val="样式 标题 3标题 3 CharH3B Head + 宋体 小三 Char Char Char Char Char Char Char Char1"/>
    <w:qFormat/>
    <w:uiPriority w:val="0"/>
    <w:rPr>
      <w:rFonts w:eastAsia="黑体"/>
      <w:bCs/>
      <w:sz w:val="30"/>
      <w:szCs w:val="28"/>
    </w:rPr>
  </w:style>
  <w:style w:type="character" w:customStyle="1" w:styleId="1260">
    <w:name w:val="样式 标题 4 + 宋体 Char Char Char Char Char Char Char Char1"/>
    <w:qFormat/>
    <w:uiPriority w:val="0"/>
    <w:rPr>
      <w:b/>
      <w:bCs/>
    </w:rPr>
  </w:style>
  <w:style w:type="paragraph" w:customStyle="1" w:styleId="1261">
    <w:name w:val="表头11 Char Char Char"/>
    <w:basedOn w:val="1"/>
    <w:link w:val="1262"/>
    <w:qFormat/>
    <w:uiPriority w:val="0"/>
    <w:pPr>
      <w:adjustRightInd w:val="0"/>
      <w:snapToGrid w:val="0"/>
      <w:spacing w:line="480" w:lineRule="exact"/>
      <w:jc w:val="center"/>
    </w:pPr>
    <w:rPr>
      <w:rFonts w:ascii="宋体" w:hAnsi="宋体"/>
      <w:b/>
      <w:color w:val="FF0000"/>
      <w:sz w:val="24"/>
      <w:szCs w:val="24"/>
    </w:rPr>
  </w:style>
  <w:style w:type="character" w:customStyle="1" w:styleId="1262">
    <w:name w:val="表头11 Char Char Char Char"/>
    <w:link w:val="1261"/>
    <w:qFormat/>
    <w:uiPriority w:val="0"/>
    <w:rPr>
      <w:rFonts w:ascii="宋体" w:hAnsi="宋体" w:eastAsia="宋体" w:cs="Times New Roman"/>
      <w:b/>
      <w:color w:val="FF0000"/>
      <w:sz w:val="24"/>
      <w:szCs w:val="24"/>
    </w:rPr>
  </w:style>
  <w:style w:type="character" w:customStyle="1" w:styleId="1263">
    <w:name w:val="表格11 Char Char Char Char"/>
    <w:link w:val="1234"/>
    <w:qFormat/>
    <w:uiPriority w:val="0"/>
    <w:rPr>
      <w:rFonts w:ascii="宋体" w:hAnsi="宋体" w:eastAsia="宋体" w:cs="宋体"/>
      <w:kern w:val="0"/>
      <w:szCs w:val="21"/>
    </w:rPr>
  </w:style>
  <w:style w:type="paragraph" w:customStyle="1" w:styleId="1264">
    <w:name w:val="样式 样式 z + Times New Roman + (西文) Times New Roman Char Char Char"/>
    <w:basedOn w:val="1"/>
    <w:link w:val="1265"/>
    <w:qFormat/>
    <w:uiPriority w:val="0"/>
    <w:pPr>
      <w:adjustRightInd w:val="0"/>
      <w:snapToGrid w:val="0"/>
      <w:spacing w:line="480" w:lineRule="exact"/>
      <w:ind w:firstLine="459" w:firstLineChars="200"/>
    </w:pPr>
    <w:rPr>
      <w:rFonts w:ascii="Times New Roman" w:hAnsi="Times New Roman"/>
      <w:position w:val="2"/>
      <w:sz w:val="24"/>
      <w:szCs w:val="24"/>
    </w:rPr>
  </w:style>
  <w:style w:type="character" w:customStyle="1" w:styleId="1265">
    <w:name w:val="样式 样式 z + Times New Roman + (西文) Times New Roman Char Char Char Char"/>
    <w:link w:val="1264"/>
    <w:qFormat/>
    <w:uiPriority w:val="0"/>
    <w:rPr>
      <w:rFonts w:ascii="Times New Roman" w:hAnsi="Times New Roman" w:eastAsia="宋体" w:cs="Times New Roman"/>
      <w:position w:val="2"/>
      <w:sz w:val="24"/>
      <w:szCs w:val="24"/>
    </w:rPr>
  </w:style>
  <w:style w:type="paragraph" w:customStyle="1" w:styleId="1266">
    <w:name w:val="样式 表格11 + 居中 Char Char Char"/>
    <w:basedOn w:val="1234"/>
    <w:link w:val="1267"/>
    <w:qFormat/>
    <w:uiPriority w:val="0"/>
    <w:pPr>
      <w:adjustRightInd w:val="0"/>
      <w:spacing w:line="240" w:lineRule="exact"/>
    </w:pPr>
  </w:style>
  <w:style w:type="character" w:customStyle="1" w:styleId="1267">
    <w:name w:val="样式 表格11 + 居中 Char Char Char Char"/>
    <w:link w:val="1266"/>
    <w:qFormat/>
    <w:uiPriority w:val="0"/>
    <w:rPr>
      <w:rFonts w:ascii="宋体" w:hAnsi="宋体" w:eastAsia="宋体" w:cs="宋体"/>
      <w:kern w:val="0"/>
      <w:szCs w:val="21"/>
    </w:rPr>
  </w:style>
  <w:style w:type="paragraph" w:customStyle="1" w:styleId="1268">
    <w:name w:val="样式 标题 1 + 黑体 三号 黑色 居中 段前: 0.5 行 段后: 0 磅 行距: 单倍行距 Char Char Char"/>
    <w:basedOn w:val="2"/>
    <w:link w:val="1269"/>
    <w:qFormat/>
    <w:uiPriority w:val="0"/>
    <w:pPr>
      <w:pageBreakBefore/>
      <w:spacing w:before="0" w:after="0" w:line="360" w:lineRule="exact"/>
      <w:jc w:val="left"/>
    </w:pPr>
    <w:rPr>
      <w:rFonts w:ascii="宋体" w:hAnsi="Times New Roman" w:eastAsia="黑体" w:cs="宋体"/>
      <w:color w:val="000000"/>
      <w:szCs w:val="32"/>
    </w:rPr>
  </w:style>
  <w:style w:type="character" w:customStyle="1" w:styleId="1269">
    <w:name w:val="样式 标题 1 + 黑体 三号 黑色 居中 段前: 0.5 行 段后: 0 磅 行距: 单倍行距 Char Char Char Char"/>
    <w:link w:val="1268"/>
    <w:qFormat/>
    <w:uiPriority w:val="0"/>
    <w:rPr>
      <w:rFonts w:ascii="宋体" w:hAnsi="Times New Roman" w:eastAsia="黑体" w:cs="宋体"/>
      <w:b/>
      <w:bCs/>
      <w:color w:val="000000"/>
      <w:kern w:val="44"/>
      <w:sz w:val="44"/>
      <w:szCs w:val="32"/>
    </w:rPr>
  </w:style>
  <w:style w:type="paragraph" w:customStyle="1" w:styleId="1270">
    <w:name w:val="样式 样式 标题 1 + 黑体 三号 黑色 居中 段前: 0.5 行 段后: 0 磅 行距: 单倍行距 + 居中 Char Char Char"/>
    <w:basedOn w:val="1268"/>
    <w:link w:val="1271"/>
    <w:qFormat/>
    <w:uiPriority w:val="0"/>
    <w:pPr>
      <w:spacing w:beforeLines="50"/>
    </w:pPr>
  </w:style>
  <w:style w:type="character" w:customStyle="1" w:styleId="1271">
    <w:name w:val="样式 样式 标题 1 + 黑体 三号 黑色 居中 段前: 0.5 行 段后: 0 磅 行距: 单倍行距 + 居中 Char Char Char Char"/>
    <w:link w:val="1270"/>
    <w:qFormat/>
    <w:uiPriority w:val="0"/>
    <w:rPr>
      <w:rFonts w:ascii="宋体" w:hAnsi="Times New Roman" w:eastAsia="黑体" w:cs="宋体"/>
      <w:b/>
      <w:bCs/>
      <w:color w:val="000000"/>
      <w:kern w:val="44"/>
      <w:sz w:val="44"/>
      <w:szCs w:val="32"/>
    </w:rPr>
  </w:style>
  <w:style w:type="paragraph" w:customStyle="1" w:styleId="1272">
    <w:name w:val="样式 段前: 0.5 行 Char Char Char"/>
    <w:basedOn w:val="1"/>
    <w:link w:val="1273"/>
    <w:qFormat/>
    <w:uiPriority w:val="0"/>
    <w:pPr>
      <w:spacing w:beforeLines="50" w:line="360" w:lineRule="exact"/>
      <w:ind w:firstLine="200" w:firstLineChars="200"/>
    </w:pPr>
    <w:rPr>
      <w:rFonts w:ascii="Times New Roman" w:hAnsi="Times New Roman" w:cs="宋体"/>
      <w:sz w:val="24"/>
      <w:szCs w:val="24"/>
    </w:rPr>
  </w:style>
  <w:style w:type="character" w:customStyle="1" w:styleId="1273">
    <w:name w:val="样式 段前: 0.5 行 Char Char Char Char"/>
    <w:link w:val="1272"/>
    <w:qFormat/>
    <w:uiPriority w:val="0"/>
    <w:rPr>
      <w:rFonts w:ascii="Times New Roman" w:hAnsi="Times New Roman" w:eastAsia="宋体" w:cs="宋体"/>
      <w:sz w:val="24"/>
      <w:szCs w:val="24"/>
    </w:rPr>
  </w:style>
  <w:style w:type="paragraph" w:customStyle="1" w:styleId="1274">
    <w:name w:val="样式 样式 段前: 0.5 行 + 首行缩进:  2 字符 段前: 0.5 行 Char Char Char"/>
    <w:basedOn w:val="1272"/>
    <w:link w:val="1275"/>
    <w:qFormat/>
    <w:uiPriority w:val="0"/>
    <w:pPr>
      <w:spacing w:beforeLines="0"/>
      <w:ind w:left="420" w:leftChars="100" w:right="100" w:rightChars="100" w:firstLine="459"/>
    </w:pPr>
  </w:style>
  <w:style w:type="character" w:customStyle="1" w:styleId="1275">
    <w:name w:val="样式 样式 段前: 0.5 行 + 首行缩进:  2 字符 段前: 0.5 行 Char Char Char Char"/>
    <w:link w:val="1274"/>
    <w:qFormat/>
    <w:uiPriority w:val="0"/>
    <w:rPr>
      <w:rFonts w:ascii="Times New Roman" w:hAnsi="Times New Roman" w:eastAsia="宋体" w:cs="宋体"/>
      <w:sz w:val="24"/>
      <w:szCs w:val="24"/>
    </w:rPr>
  </w:style>
  <w:style w:type="paragraph" w:customStyle="1" w:styleId="1276">
    <w:name w:val="样式 样式 样式 标题 1 + 黑体 三号 黑色 居中 段前: 0.5 行 段后: 0 磅 行距: 单倍行距 + 居中 + Ti... Char Char Char"/>
    <w:basedOn w:val="1270"/>
    <w:link w:val="1277"/>
    <w:qFormat/>
    <w:uiPriority w:val="0"/>
    <w:pPr>
      <w:spacing w:before="50"/>
    </w:pPr>
  </w:style>
  <w:style w:type="character" w:customStyle="1" w:styleId="1277">
    <w:name w:val="样式 样式 样式 标题 1 + 黑体 三号 黑色 居中 段前: 0.5 行 段后: 0 磅 行距: 单倍行距 + 居中 + Ti... Char Char Char Char"/>
    <w:link w:val="1276"/>
    <w:qFormat/>
    <w:uiPriority w:val="0"/>
    <w:rPr>
      <w:rFonts w:ascii="宋体" w:hAnsi="Times New Roman" w:eastAsia="黑体" w:cs="宋体"/>
      <w:b/>
      <w:bCs/>
      <w:color w:val="000000"/>
      <w:kern w:val="44"/>
      <w:sz w:val="44"/>
      <w:szCs w:val="32"/>
    </w:rPr>
  </w:style>
  <w:style w:type="paragraph" w:customStyle="1" w:styleId="1278">
    <w:name w:val="样式 宋体 段前: 0.5 行 行距: 固定值 18 磅 Char Char Char"/>
    <w:basedOn w:val="1"/>
    <w:link w:val="1279"/>
    <w:qFormat/>
    <w:uiPriority w:val="0"/>
    <w:pPr>
      <w:spacing w:line="360" w:lineRule="exact"/>
      <w:ind w:firstLine="200" w:firstLineChars="200"/>
    </w:pPr>
    <w:rPr>
      <w:rFonts w:ascii="宋体" w:hAnsi="宋体" w:cs="宋体"/>
      <w:sz w:val="24"/>
      <w:szCs w:val="24"/>
    </w:rPr>
  </w:style>
  <w:style w:type="character" w:customStyle="1" w:styleId="1279">
    <w:name w:val="样式 宋体 段前: 0.5 行 行距: 固定值 18 磅 Char Char Char Char"/>
    <w:link w:val="1278"/>
    <w:qFormat/>
    <w:uiPriority w:val="0"/>
    <w:rPr>
      <w:rFonts w:ascii="宋体" w:hAnsi="宋体" w:eastAsia="宋体" w:cs="宋体"/>
      <w:sz w:val="24"/>
      <w:szCs w:val="24"/>
    </w:rPr>
  </w:style>
  <w:style w:type="paragraph" w:customStyle="1" w:styleId="1280">
    <w:name w:val="表头2 Char Char Char"/>
    <w:basedOn w:val="1"/>
    <w:link w:val="1281"/>
    <w:qFormat/>
    <w:uiPriority w:val="0"/>
    <w:pPr>
      <w:widowControl/>
      <w:adjustRightInd w:val="0"/>
      <w:snapToGrid w:val="0"/>
      <w:spacing w:line="240" w:lineRule="auto"/>
      <w:jc w:val="center"/>
    </w:pPr>
    <w:rPr>
      <w:rFonts w:ascii="宋体" w:hAnsi="宋体" w:cs="宋体"/>
      <w:b/>
      <w:color w:val="000000"/>
      <w:sz w:val="24"/>
      <w:szCs w:val="24"/>
    </w:rPr>
  </w:style>
  <w:style w:type="character" w:customStyle="1" w:styleId="1281">
    <w:name w:val="表头2 Char Char Char Char"/>
    <w:link w:val="1280"/>
    <w:qFormat/>
    <w:uiPriority w:val="0"/>
    <w:rPr>
      <w:rFonts w:ascii="宋体" w:hAnsi="宋体" w:eastAsia="宋体" w:cs="宋体"/>
      <w:b/>
      <w:color w:val="000000"/>
      <w:sz w:val="24"/>
      <w:szCs w:val="24"/>
    </w:rPr>
  </w:style>
  <w:style w:type="paragraph" w:customStyle="1" w:styleId="1282">
    <w:name w:val="样式 表头11 + 自动设置 Char Char Char"/>
    <w:basedOn w:val="1261"/>
    <w:link w:val="1283"/>
    <w:qFormat/>
    <w:uiPriority w:val="0"/>
    <w:pPr>
      <w:spacing w:line="240" w:lineRule="auto"/>
    </w:pPr>
    <w:rPr>
      <w:bCs/>
      <w:color w:val="000000"/>
      <w:szCs w:val="21"/>
    </w:rPr>
  </w:style>
  <w:style w:type="character" w:customStyle="1" w:styleId="1283">
    <w:name w:val="样式 表头11 + 自动设置 Char Char Char Char"/>
    <w:link w:val="1282"/>
    <w:qFormat/>
    <w:uiPriority w:val="0"/>
    <w:rPr>
      <w:rFonts w:ascii="宋体" w:hAnsi="宋体" w:eastAsia="宋体" w:cs="Times New Roman"/>
      <w:b/>
      <w:bCs/>
      <w:color w:val="000000"/>
      <w:sz w:val="24"/>
      <w:szCs w:val="21"/>
    </w:rPr>
  </w:style>
  <w:style w:type="paragraph" w:customStyle="1" w:styleId="1284">
    <w:name w:val="样式 z + Times New Roman Char Char Char"/>
    <w:basedOn w:val="1"/>
    <w:link w:val="1285"/>
    <w:qFormat/>
    <w:uiPriority w:val="0"/>
    <w:pPr>
      <w:adjustRightInd w:val="0"/>
      <w:snapToGrid w:val="0"/>
      <w:spacing w:line="480" w:lineRule="exact"/>
      <w:ind w:firstLine="459" w:firstLineChars="200"/>
    </w:pPr>
    <w:rPr>
      <w:rFonts w:ascii="宋体" w:hAnsi="宋体"/>
      <w:position w:val="2"/>
      <w:sz w:val="24"/>
      <w:szCs w:val="24"/>
    </w:rPr>
  </w:style>
  <w:style w:type="character" w:customStyle="1" w:styleId="1285">
    <w:name w:val="样式 z + Times New Roman Char Char Char Char"/>
    <w:link w:val="1284"/>
    <w:qFormat/>
    <w:uiPriority w:val="0"/>
    <w:rPr>
      <w:rFonts w:ascii="宋体" w:hAnsi="宋体" w:eastAsia="宋体" w:cs="Times New Roman"/>
      <w:position w:val="2"/>
      <w:sz w:val="24"/>
      <w:szCs w:val="24"/>
    </w:rPr>
  </w:style>
  <w:style w:type="paragraph" w:customStyle="1" w:styleId="1286">
    <w:name w:val="样式 样式 样式 宋体 段前: 0.5 行 行距: 固定值 18 磅 + 首行缩进:  2 字符 + (西文) 宋体 Char Char Char"/>
    <w:basedOn w:val="1251"/>
    <w:link w:val="1287"/>
    <w:qFormat/>
    <w:uiPriority w:val="0"/>
    <w:pPr>
      <w:adjustRightInd w:val="0"/>
      <w:snapToGrid w:val="0"/>
      <w:spacing w:line="480" w:lineRule="exact"/>
      <w:ind w:firstLine="459"/>
    </w:pPr>
  </w:style>
  <w:style w:type="character" w:customStyle="1" w:styleId="1287">
    <w:name w:val="样式 样式 样式 宋体 段前: 0.5 行 行距: 固定值 18 磅 + 首行缩进:  2 字符 + (西文) 宋体 Char Char Char Char"/>
    <w:link w:val="1286"/>
    <w:qFormat/>
    <w:uiPriority w:val="0"/>
    <w:rPr>
      <w:rFonts w:ascii="宋体" w:hAnsi="宋体" w:eastAsia="宋体" w:cs="宋体"/>
      <w:snapToGrid w:val="0"/>
      <w:color w:val="000000"/>
      <w:sz w:val="24"/>
      <w:szCs w:val="24"/>
      <w:lang w:val="en-GB"/>
    </w:rPr>
  </w:style>
  <w:style w:type="paragraph" w:customStyle="1" w:styleId="1288">
    <w:name w:val="样式 样式 样式 样式 宋体 段前: 0.5 行 行距: 固定值 18 磅 + 首行缩进:  2 字符 + (西文) 宋体 + ... Char Char Char"/>
    <w:basedOn w:val="1286"/>
    <w:link w:val="1289"/>
    <w:qFormat/>
    <w:uiPriority w:val="0"/>
  </w:style>
  <w:style w:type="character" w:customStyle="1" w:styleId="1289">
    <w:name w:val="样式 样式 样式 样式 宋体 段前: 0.5 行 行距: 固定值 18 磅 + 首行缩进:  2 字符 + (西文) 宋体 + ... Char Char Char Char"/>
    <w:link w:val="1288"/>
    <w:qFormat/>
    <w:uiPriority w:val="0"/>
    <w:rPr>
      <w:rFonts w:ascii="宋体" w:hAnsi="宋体" w:eastAsia="宋体" w:cs="宋体"/>
      <w:snapToGrid w:val="0"/>
      <w:color w:val="000000"/>
      <w:sz w:val="24"/>
      <w:szCs w:val="24"/>
      <w:lang w:val="en-GB"/>
    </w:rPr>
  </w:style>
  <w:style w:type="paragraph" w:customStyle="1" w:styleId="1290">
    <w:name w:val="Char Char Char2 Char Char Char Char"/>
    <w:basedOn w:val="1"/>
    <w:qFormat/>
    <w:uiPriority w:val="0"/>
    <w:pPr>
      <w:ind w:firstLine="200" w:firstLineChars="200"/>
    </w:pPr>
    <w:rPr>
      <w:rFonts w:ascii="宋体" w:hAnsi="宋体" w:cs="宋体"/>
      <w:sz w:val="24"/>
      <w:szCs w:val="24"/>
    </w:rPr>
  </w:style>
  <w:style w:type="paragraph" w:customStyle="1" w:styleId="1291">
    <w:name w:val="Char Char Char3 Char Char Char6"/>
    <w:basedOn w:val="1"/>
    <w:qFormat/>
    <w:uiPriority w:val="0"/>
    <w:pPr>
      <w:ind w:firstLine="200" w:firstLineChars="200"/>
    </w:pPr>
    <w:rPr>
      <w:rFonts w:ascii="宋体" w:hAnsi="宋体" w:cs="宋体"/>
      <w:sz w:val="24"/>
      <w:szCs w:val="24"/>
    </w:rPr>
  </w:style>
  <w:style w:type="paragraph" w:customStyle="1" w:styleId="1292">
    <w:name w:val="BG5 Char Char Char Char Char"/>
    <w:basedOn w:val="1"/>
    <w:link w:val="1293"/>
    <w:qFormat/>
    <w:uiPriority w:val="0"/>
    <w:pPr>
      <w:autoSpaceDE w:val="0"/>
      <w:autoSpaceDN w:val="0"/>
      <w:adjustRightInd w:val="0"/>
      <w:spacing w:line="200" w:lineRule="atLeast"/>
      <w:jc w:val="center"/>
    </w:pPr>
    <w:rPr>
      <w:rFonts w:ascii="@宋体" w:hAnsi="Times New Roman"/>
      <w:sz w:val="21"/>
      <w:szCs w:val="24"/>
    </w:rPr>
  </w:style>
  <w:style w:type="character" w:customStyle="1" w:styleId="1293">
    <w:name w:val="BG5 Char Char Char Char Char Char"/>
    <w:link w:val="1292"/>
    <w:qFormat/>
    <w:uiPriority w:val="0"/>
    <w:rPr>
      <w:rFonts w:ascii="@宋体" w:hAnsi="Times New Roman" w:eastAsia="宋体" w:cs="Times New Roman"/>
      <w:szCs w:val="24"/>
    </w:rPr>
  </w:style>
  <w:style w:type="paragraph" w:customStyle="1" w:styleId="1294">
    <w:name w:val="表格内容 Char Char Char"/>
    <w:basedOn w:val="1"/>
    <w:link w:val="1295"/>
    <w:qFormat/>
    <w:uiPriority w:val="0"/>
    <w:pPr>
      <w:adjustRightInd w:val="0"/>
      <w:snapToGrid w:val="0"/>
      <w:spacing w:line="240" w:lineRule="auto"/>
    </w:pPr>
    <w:rPr>
      <w:rFonts w:ascii="宋体" w:hAnsi="宋体"/>
      <w:sz w:val="21"/>
      <w:szCs w:val="21"/>
    </w:rPr>
  </w:style>
  <w:style w:type="character" w:customStyle="1" w:styleId="1295">
    <w:name w:val="表格内容 Char Char Char Char"/>
    <w:link w:val="1294"/>
    <w:qFormat/>
    <w:uiPriority w:val="0"/>
    <w:rPr>
      <w:rFonts w:ascii="宋体" w:hAnsi="宋体" w:eastAsia="宋体" w:cs="Times New Roman"/>
      <w:szCs w:val="21"/>
    </w:rPr>
  </w:style>
  <w:style w:type="character" w:customStyle="1" w:styleId="1296">
    <w:name w:val="报告 Char Char Char Char"/>
    <w:qFormat/>
    <w:uiPriority w:val="0"/>
  </w:style>
  <w:style w:type="character" w:customStyle="1" w:styleId="1297">
    <w:name w:val="bg Char Char Char"/>
    <w:qFormat/>
    <w:uiPriority w:val="0"/>
    <w:rPr>
      <w:sz w:val="21"/>
      <w:szCs w:val="21"/>
    </w:rPr>
  </w:style>
  <w:style w:type="paragraph" w:customStyle="1" w:styleId="1298">
    <w:name w:val="报告书正文 Char Char Char Char Char Char Char Char Char Char Char Char Char1"/>
    <w:basedOn w:val="1"/>
    <w:qFormat/>
    <w:uiPriority w:val="0"/>
    <w:pPr>
      <w:spacing w:line="300" w:lineRule="auto"/>
      <w:ind w:firstLine="480" w:firstLineChars="200"/>
    </w:pPr>
    <w:rPr>
      <w:rFonts w:ascii="Times New Roman" w:hAnsi="Times New Roman"/>
      <w:color w:val="000000"/>
      <w:sz w:val="24"/>
      <w:szCs w:val="24"/>
    </w:rPr>
  </w:style>
  <w:style w:type="character" w:customStyle="1" w:styleId="1299">
    <w:name w:val="样式 样式 宋体 段前: 0.5 行 行距: 固定值 18 磅 + 首行缩进:  2 字符 Char Char"/>
    <w:qFormat/>
    <w:uiPriority w:val="0"/>
    <w:rPr>
      <w:snapToGrid w:val="0"/>
      <w:color w:val="000000"/>
      <w:lang w:val="en-GB"/>
    </w:rPr>
  </w:style>
  <w:style w:type="character" w:customStyle="1" w:styleId="1300">
    <w:name w:val="表头11 Char Char"/>
    <w:qFormat/>
    <w:uiPriority w:val="0"/>
    <w:rPr>
      <w:b/>
      <w:color w:val="FF0000"/>
    </w:rPr>
  </w:style>
  <w:style w:type="character" w:customStyle="1" w:styleId="1301">
    <w:name w:val="表格11 Char Char"/>
    <w:qFormat/>
    <w:uiPriority w:val="0"/>
    <w:rPr>
      <w:sz w:val="21"/>
      <w:szCs w:val="21"/>
    </w:rPr>
  </w:style>
  <w:style w:type="character" w:customStyle="1" w:styleId="1302">
    <w:name w:val="样式 样式 z + Times New Roman + (西文) Times New Roman Char Char"/>
    <w:qFormat/>
    <w:uiPriority w:val="0"/>
    <w:rPr>
      <w:position w:val="2"/>
    </w:rPr>
  </w:style>
  <w:style w:type="character" w:customStyle="1" w:styleId="1303">
    <w:name w:val="样式 表格11 + 居中 Char Char"/>
    <w:qFormat/>
    <w:uiPriority w:val="0"/>
  </w:style>
  <w:style w:type="character" w:customStyle="1" w:styleId="1304">
    <w:name w:val="样式 标题 1 + 黑体 三号 黑色 居中 段前: 0.5 行 段后: 0 磅 行距: 单倍行距 Char Char"/>
    <w:qFormat/>
    <w:uiPriority w:val="0"/>
    <w:rPr>
      <w:rFonts w:eastAsia="黑体"/>
      <w:b/>
      <w:bCs/>
      <w:color w:val="000000"/>
      <w:kern w:val="44"/>
      <w:sz w:val="36"/>
      <w:szCs w:val="32"/>
    </w:rPr>
  </w:style>
  <w:style w:type="character" w:customStyle="1" w:styleId="1305">
    <w:name w:val="样式 样式 标题 1 + 黑体 三号 黑色 居中 段前: 0.5 行 段后: 0 磅 行距: 单倍行距 + 居中 Char Char"/>
    <w:qFormat/>
    <w:uiPriority w:val="0"/>
  </w:style>
  <w:style w:type="character" w:customStyle="1" w:styleId="1306">
    <w:name w:val="样式 段前: 0.5 行 Char Char"/>
    <w:qFormat/>
    <w:uiPriority w:val="0"/>
  </w:style>
  <w:style w:type="character" w:customStyle="1" w:styleId="1307">
    <w:name w:val="样式 样式 段前: 0.5 行 + 首行缩进:  2 字符 段前: 0.5 行 Char Char"/>
    <w:qFormat/>
    <w:uiPriority w:val="0"/>
  </w:style>
  <w:style w:type="character" w:customStyle="1" w:styleId="1308">
    <w:name w:val="样式 样式 样式 标题 1 + 黑体 三号 黑色 居中 段前: 0.5 行 段后: 0 磅 行距: 单倍行距 + 居中 + Ti... Char Char"/>
    <w:qFormat/>
    <w:uiPriority w:val="0"/>
    <w:rPr>
      <w:rFonts w:eastAsia="黑体"/>
      <w:b/>
      <w:bCs/>
      <w:color w:val="000000"/>
      <w:kern w:val="44"/>
      <w:sz w:val="36"/>
      <w:szCs w:val="32"/>
    </w:rPr>
  </w:style>
  <w:style w:type="character" w:customStyle="1" w:styleId="1309">
    <w:name w:val="样式 宋体 段前: 0.5 行 行距: 固定值 18 磅 Char Char"/>
    <w:qFormat/>
    <w:uiPriority w:val="0"/>
  </w:style>
  <w:style w:type="character" w:customStyle="1" w:styleId="1310">
    <w:name w:val="表头2 Char Char"/>
    <w:qFormat/>
    <w:uiPriority w:val="0"/>
    <w:rPr>
      <w:b/>
      <w:color w:val="000000"/>
    </w:rPr>
  </w:style>
  <w:style w:type="character" w:customStyle="1" w:styleId="1311">
    <w:name w:val="样式 表头11 + 自动设置 Char Char"/>
    <w:qFormat/>
    <w:uiPriority w:val="0"/>
    <w:rPr>
      <w:b/>
      <w:bCs/>
      <w:color w:val="000000"/>
      <w:szCs w:val="21"/>
    </w:rPr>
  </w:style>
  <w:style w:type="character" w:customStyle="1" w:styleId="1312">
    <w:name w:val="样式 z + Times New Roman Char Char"/>
    <w:qFormat/>
    <w:uiPriority w:val="0"/>
    <w:rPr>
      <w:position w:val="2"/>
    </w:rPr>
  </w:style>
  <w:style w:type="character" w:customStyle="1" w:styleId="1313">
    <w:name w:val="样式 样式 样式 宋体 段前: 0.5 行 行距: 固定值 18 磅 + 首行缩进:  2 字符 + (西文) 宋体 Char Char"/>
    <w:qFormat/>
    <w:uiPriority w:val="0"/>
  </w:style>
  <w:style w:type="character" w:customStyle="1" w:styleId="1314">
    <w:name w:val="样式 样式 样式 样式 宋体 段前: 0.5 行 行距: 固定值 18 磅 + 首行缩进:  2 字符 + (西文) 宋体 + ... Char Char"/>
    <w:qFormat/>
    <w:uiPriority w:val="0"/>
    <w:rPr>
      <w:snapToGrid w:val="0"/>
      <w:color w:val="000000"/>
      <w:lang w:val="en-GB"/>
    </w:rPr>
  </w:style>
  <w:style w:type="character" w:customStyle="1" w:styleId="1315">
    <w:name w:val="小节1 Char"/>
    <w:qFormat/>
    <w:uiPriority w:val="0"/>
    <w:rPr>
      <w:b/>
      <w:bCs/>
      <w:sz w:val="32"/>
      <w:szCs w:val="32"/>
    </w:rPr>
  </w:style>
  <w:style w:type="character" w:customStyle="1" w:styleId="1316">
    <w:name w:val="Char Char Char4"/>
    <w:qFormat/>
    <w:uiPriority w:val="0"/>
    <w:rPr>
      <w:rFonts w:ascii="Arial" w:hAnsi="Arial" w:eastAsia="黑体"/>
      <w:b/>
      <w:bCs/>
    </w:rPr>
  </w:style>
  <w:style w:type="character" w:customStyle="1" w:styleId="1317">
    <w:name w:val="Char12 Char Char"/>
    <w:qFormat/>
    <w:uiPriority w:val="0"/>
    <w:rPr>
      <w:b/>
      <w:bCs/>
    </w:rPr>
  </w:style>
  <w:style w:type="character" w:customStyle="1" w:styleId="1318">
    <w:name w:val="Char11 Char Char"/>
    <w:qFormat/>
    <w:uiPriority w:val="0"/>
    <w:rPr>
      <w:rFonts w:ascii="Arial" w:hAnsi="Arial" w:eastAsia="黑体"/>
    </w:rPr>
  </w:style>
  <w:style w:type="character" w:customStyle="1" w:styleId="1319">
    <w:name w:val="Char10 Char Char"/>
    <w:semiHidden/>
    <w:qFormat/>
    <w:uiPriority w:val="0"/>
    <w:rPr>
      <w:sz w:val="21"/>
      <w:shd w:val="clear" w:color="auto" w:fill="000080"/>
    </w:rPr>
  </w:style>
  <w:style w:type="character" w:customStyle="1" w:styleId="1320">
    <w:name w:val="Char9 Char Char"/>
    <w:semiHidden/>
    <w:qFormat/>
    <w:uiPriority w:val="0"/>
    <w:rPr>
      <w:sz w:val="18"/>
      <w:szCs w:val="18"/>
    </w:rPr>
  </w:style>
  <w:style w:type="character" w:customStyle="1" w:styleId="1321">
    <w:name w:val="Char8 Char Char Char"/>
    <w:qFormat/>
    <w:uiPriority w:val="0"/>
  </w:style>
  <w:style w:type="character" w:customStyle="1" w:styleId="1322">
    <w:name w:val="Char7 Char Char"/>
    <w:qFormat/>
    <w:uiPriority w:val="0"/>
    <w:rPr>
      <w:snapToGrid w:val="0"/>
      <w:spacing w:val="6"/>
      <w:kern w:val="24"/>
    </w:rPr>
  </w:style>
  <w:style w:type="character" w:customStyle="1" w:styleId="1323">
    <w:name w:val="Char6 Char Char"/>
    <w:semiHidden/>
    <w:qFormat/>
    <w:uiPriority w:val="0"/>
    <w:rPr>
      <w:sz w:val="21"/>
    </w:rPr>
  </w:style>
  <w:style w:type="character" w:customStyle="1" w:styleId="1324">
    <w:name w:val="Char5 Char Char"/>
    <w:qFormat/>
    <w:uiPriority w:val="0"/>
    <w:rPr>
      <w:rFonts w:ascii="Arial" w:hAnsi="Arial" w:cs="Arial"/>
      <w:b/>
      <w:bCs/>
      <w:kern w:val="28"/>
      <w:sz w:val="32"/>
      <w:szCs w:val="32"/>
    </w:rPr>
  </w:style>
  <w:style w:type="character" w:customStyle="1" w:styleId="1325">
    <w:name w:val="Char4 Char Char"/>
    <w:semiHidden/>
    <w:qFormat/>
    <w:uiPriority w:val="0"/>
    <w:rPr>
      <w:b/>
      <w:bCs/>
      <w:sz w:val="21"/>
    </w:rPr>
  </w:style>
  <w:style w:type="character" w:customStyle="1" w:styleId="1326">
    <w:name w:val="Char3 Char Char"/>
    <w:semiHidden/>
    <w:qFormat/>
    <w:uiPriority w:val="0"/>
    <w:rPr>
      <w:sz w:val="18"/>
      <w:szCs w:val="18"/>
    </w:rPr>
  </w:style>
  <w:style w:type="character" w:customStyle="1" w:styleId="1327">
    <w:name w:val="Char2 Char Char"/>
    <w:qFormat/>
    <w:uiPriority w:val="0"/>
    <w:rPr>
      <w:rFonts w:ascii="Arial" w:hAnsi="Arial" w:cs="Arial"/>
      <w:b/>
      <w:bCs/>
      <w:sz w:val="32"/>
      <w:szCs w:val="32"/>
    </w:rPr>
  </w:style>
  <w:style w:type="character" w:customStyle="1" w:styleId="1328">
    <w:name w:val="报告书正文 Char Char Char Char Char Char2"/>
    <w:qFormat/>
    <w:uiPriority w:val="0"/>
  </w:style>
  <w:style w:type="character" w:customStyle="1" w:styleId="1329">
    <w:name w:val="样式 标题 3标题 3 CharH3B Head + 宋体 小三 Char Char Char Char Char Char Char1"/>
    <w:qFormat/>
    <w:uiPriority w:val="0"/>
    <w:rPr>
      <w:rFonts w:eastAsia="黑体"/>
      <w:bCs/>
      <w:sz w:val="30"/>
      <w:szCs w:val="28"/>
    </w:rPr>
  </w:style>
  <w:style w:type="character" w:customStyle="1" w:styleId="1330">
    <w:name w:val="样式 标题 4 + 宋体 Char Char Char Char Char Char Char1"/>
    <w:qFormat/>
    <w:uiPriority w:val="0"/>
    <w:rPr>
      <w:b/>
      <w:bCs/>
    </w:rPr>
  </w:style>
  <w:style w:type="character" w:customStyle="1" w:styleId="1331">
    <w:name w:val="BG5 Char Char Char Char Char Char1"/>
    <w:qFormat/>
    <w:uiPriority w:val="0"/>
    <w:rPr>
      <w:rFonts w:ascii="@宋体"/>
      <w:sz w:val="21"/>
    </w:rPr>
  </w:style>
  <w:style w:type="character" w:customStyle="1" w:styleId="1332">
    <w:name w:val="表格内容 Char Char Char Char1"/>
    <w:qFormat/>
    <w:uiPriority w:val="0"/>
    <w:rPr>
      <w:sz w:val="21"/>
      <w:szCs w:val="21"/>
    </w:rPr>
  </w:style>
  <w:style w:type="character" w:customStyle="1" w:styleId="1333">
    <w:name w:val="报告 Char Char Char Char1"/>
    <w:qFormat/>
    <w:uiPriority w:val="0"/>
  </w:style>
  <w:style w:type="character" w:customStyle="1" w:styleId="1334">
    <w:name w:val="bg Char Char Char1"/>
    <w:qFormat/>
    <w:uiPriority w:val="0"/>
    <w:rPr>
      <w:sz w:val="21"/>
      <w:szCs w:val="21"/>
    </w:rPr>
  </w:style>
  <w:style w:type="character" w:customStyle="1" w:styleId="1335">
    <w:name w:val="样式 样式 宋体 段前: 0.5 行 行距: 固定值 18 磅 + 首行缩进:  2 字符 Char Char1"/>
    <w:qFormat/>
    <w:uiPriority w:val="0"/>
    <w:rPr>
      <w:snapToGrid w:val="0"/>
      <w:color w:val="000000"/>
      <w:lang w:val="en-GB"/>
    </w:rPr>
  </w:style>
  <w:style w:type="character" w:customStyle="1" w:styleId="1336">
    <w:name w:val="表头11 Char Char1"/>
    <w:qFormat/>
    <w:uiPriority w:val="0"/>
    <w:rPr>
      <w:b/>
      <w:color w:val="FF0000"/>
    </w:rPr>
  </w:style>
  <w:style w:type="character" w:customStyle="1" w:styleId="1337">
    <w:name w:val="表格11 Char Char1"/>
    <w:qFormat/>
    <w:uiPriority w:val="0"/>
    <w:rPr>
      <w:sz w:val="21"/>
      <w:szCs w:val="21"/>
    </w:rPr>
  </w:style>
  <w:style w:type="character" w:customStyle="1" w:styleId="1338">
    <w:name w:val="样式 样式 z + Times New Roman + (西文) Times New Roman Char Char1"/>
    <w:qFormat/>
    <w:uiPriority w:val="0"/>
    <w:rPr>
      <w:position w:val="2"/>
    </w:rPr>
  </w:style>
  <w:style w:type="character" w:customStyle="1" w:styleId="1339">
    <w:name w:val="样式 表格11 + 居中 Char Char1"/>
    <w:qFormat/>
    <w:uiPriority w:val="0"/>
  </w:style>
  <w:style w:type="character" w:customStyle="1" w:styleId="1340">
    <w:name w:val="样式 标题 1 + 黑体 三号 黑色 居中 段前: 0.5 行 段后: 0 磅 行距: 单倍行距 Char Char1"/>
    <w:qFormat/>
    <w:uiPriority w:val="0"/>
    <w:rPr>
      <w:rFonts w:eastAsia="黑体"/>
      <w:b/>
      <w:bCs/>
      <w:color w:val="000000"/>
      <w:kern w:val="44"/>
      <w:sz w:val="36"/>
      <w:szCs w:val="32"/>
    </w:rPr>
  </w:style>
  <w:style w:type="character" w:customStyle="1" w:styleId="1341">
    <w:name w:val="样式 样式 标题 1 + 黑体 三号 黑色 居中 段前: 0.5 行 段后: 0 磅 行距: 单倍行距 + 居中 Char Char1"/>
    <w:qFormat/>
    <w:uiPriority w:val="0"/>
  </w:style>
  <w:style w:type="character" w:customStyle="1" w:styleId="1342">
    <w:name w:val="样式 段前: 0.5 行 Char Char1"/>
    <w:qFormat/>
    <w:uiPriority w:val="0"/>
  </w:style>
  <w:style w:type="character" w:customStyle="1" w:styleId="1343">
    <w:name w:val="样式 样式 段前: 0.5 行 + 首行缩进:  2 字符 段前: 0.5 行 Char Char1"/>
    <w:qFormat/>
    <w:uiPriority w:val="0"/>
  </w:style>
  <w:style w:type="character" w:customStyle="1" w:styleId="1344">
    <w:name w:val="样式 样式 样式 标题 1 + 黑体 三号 黑色 居中 段前: 0.5 行 段后: 0 磅 行距: 单倍行距 + 居中 + Ti... Char Char1"/>
    <w:qFormat/>
    <w:uiPriority w:val="0"/>
    <w:rPr>
      <w:rFonts w:eastAsia="黑体"/>
      <w:b/>
      <w:bCs/>
      <w:color w:val="000000"/>
      <w:kern w:val="44"/>
      <w:sz w:val="36"/>
      <w:szCs w:val="32"/>
    </w:rPr>
  </w:style>
  <w:style w:type="character" w:customStyle="1" w:styleId="1345">
    <w:name w:val="样式 宋体 段前: 0.5 行 行距: 固定值 18 磅 Char Char1"/>
    <w:qFormat/>
    <w:uiPriority w:val="0"/>
  </w:style>
  <w:style w:type="character" w:customStyle="1" w:styleId="1346">
    <w:name w:val="表头2 Char Char1"/>
    <w:qFormat/>
    <w:uiPriority w:val="0"/>
    <w:rPr>
      <w:b/>
      <w:color w:val="000000"/>
    </w:rPr>
  </w:style>
  <w:style w:type="character" w:customStyle="1" w:styleId="1347">
    <w:name w:val="样式 表头11 + 自动设置 Char Char1"/>
    <w:qFormat/>
    <w:uiPriority w:val="0"/>
    <w:rPr>
      <w:b/>
      <w:bCs/>
      <w:color w:val="000000"/>
      <w:szCs w:val="21"/>
    </w:rPr>
  </w:style>
  <w:style w:type="character" w:customStyle="1" w:styleId="1348">
    <w:name w:val="样式 z + Times New Roman Char Char1"/>
    <w:qFormat/>
    <w:uiPriority w:val="0"/>
    <w:rPr>
      <w:position w:val="2"/>
    </w:rPr>
  </w:style>
  <w:style w:type="character" w:customStyle="1" w:styleId="1349">
    <w:name w:val="样式 样式 样式 宋体 段前: 0.5 行 行距: 固定值 18 磅 + 首行缩进:  2 字符 + (西文) 宋体 Char Char1"/>
    <w:qFormat/>
    <w:uiPriority w:val="0"/>
  </w:style>
  <w:style w:type="character" w:customStyle="1" w:styleId="1350">
    <w:name w:val="样式 样式 样式 样式 宋体 段前: 0.5 行 行距: 固定值 18 磅 + 首行缩进:  2 字符 + (西文) 宋体 + ... Char Char1"/>
    <w:qFormat/>
    <w:uiPriority w:val="0"/>
    <w:rPr>
      <w:snapToGrid w:val="0"/>
      <w:color w:val="000000"/>
      <w:lang w:val="en-GB"/>
    </w:rPr>
  </w:style>
  <w:style w:type="paragraph" w:customStyle="1" w:styleId="1351">
    <w:name w:val="自定义正文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1352">
    <w:name w:val="样式 标题 3标题 3 CharH3B Head + 宋体 小三 Char Char Char Char Char Char Char"/>
    <w:qFormat/>
    <w:uiPriority w:val="0"/>
    <w:rPr>
      <w:rFonts w:eastAsia="黑体"/>
      <w:bCs/>
      <w:sz w:val="30"/>
      <w:szCs w:val="28"/>
    </w:rPr>
  </w:style>
  <w:style w:type="character" w:customStyle="1" w:styleId="1353">
    <w:name w:val="样式 标题 4 + 宋体 Char Char Char Char Char Char Char"/>
    <w:qFormat/>
    <w:uiPriority w:val="0"/>
    <w:rPr>
      <w:bCs/>
    </w:rPr>
  </w:style>
  <w:style w:type="paragraph" w:customStyle="1" w:styleId="1354">
    <w:name w:val="Char Char Char3 Char1"/>
    <w:basedOn w:val="1"/>
    <w:qFormat/>
    <w:uiPriority w:val="0"/>
    <w:pPr>
      <w:ind w:firstLine="200" w:firstLineChars="200"/>
    </w:pPr>
    <w:rPr>
      <w:rFonts w:ascii="宋体" w:hAnsi="宋体" w:cs="宋体"/>
      <w:sz w:val="24"/>
      <w:szCs w:val="24"/>
    </w:rPr>
  </w:style>
  <w:style w:type="character" w:customStyle="1" w:styleId="1355">
    <w:name w:val="表格内容 Char Char"/>
    <w:qFormat/>
    <w:uiPriority w:val="0"/>
    <w:rPr>
      <w:rFonts w:ascii="黑体" w:eastAsia="黑体"/>
      <w:sz w:val="21"/>
      <w:szCs w:val="21"/>
    </w:rPr>
  </w:style>
  <w:style w:type="paragraph" w:customStyle="1" w:styleId="1356">
    <w:name w:val="报告表格标题"/>
    <w:basedOn w:val="1"/>
    <w:qFormat/>
    <w:uiPriority w:val="0"/>
    <w:pPr>
      <w:keepNext/>
      <w:keepLines/>
      <w:spacing w:before="120"/>
      <w:jc w:val="center"/>
      <w:outlineLvl w:val="2"/>
    </w:pPr>
    <w:rPr>
      <w:rFonts w:ascii="Times New Roman" w:hAnsi="Times New Roman" w:eastAsia="黑体"/>
      <w:sz w:val="24"/>
      <w:szCs w:val="24"/>
    </w:rPr>
  </w:style>
  <w:style w:type="paragraph" w:customStyle="1" w:styleId="1357">
    <w:name w:val="Char Char Char3 Char Char Char7 Char Char Char"/>
    <w:basedOn w:val="1"/>
    <w:qFormat/>
    <w:uiPriority w:val="0"/>
    <w:pPr>
      <w:ind w:firstLine="200" w:firstLineChars="200"/>
    </w:pPr>
    <w:rPr>
      <w:rFonts w:ascii="宋体" w:hAnsi="宋体" w:cs="宋体"/>
      <w:sz w:val="24"/>
      <w:szCs w:val="24"/>
    </w:rPr>
  </w:style>
  <w:style w:type="paragraph" w:customStyle="1" w:styleId="1358">
    <w:name w:val="april正文"/>
    <w:basedOn w:val="556"/>
    <w:qFormat/>
    <w:uiPriority w:val="0"/>
    <w:pPr>
      <w:snapToGrid/>
      <w:spacing w:line="300" w:lineRule="auto"/>
      <w:ind w:firstLine="504"/>
      <w:textAlignment w:val="auto"/>
    </w:pPr>
    <w:rPr>
      <w:snapToGrid w:val="0"/>
      <w:spacing w:val="6"/>
      <w:szCs w:val="24"/>
    </w:rPr>
  </w:style>
  <w:style w:type="paragraph" w:customStyle="1" w:styleId="1359">
    <w:name w:val="april标题2"/>
    <w:basedOn w:val="3"/>
    <w:qFormat/>
    <w:uiPriority w:val="0"/>
    <w:pPr>
      <w:tabs>
        <w:tab w:val="clear" w:pos="1287"/>
      </w:tabs>
      <w:adjustRightInd w:val="0"/>
      <w:spacing w:before="240" w:beforeAutospacing="0" w:after="0" w:afterAutospacing="0"/>
      <w:textAlignment w:val="baseline"/>
    </w:pPr>
    <w:rPr>
      <w:rFonts w:eastAsia="宋体"/>
      <w:bCs w:val="0"/>
      <w:spacing w:val="6"/>
      <w:kern w:val="0"/>
      <w:sz w:val="28"/>
      <w:szCs w:val="20"/>
    </w:rPr>
  </w:style>
  <w:style w:type="paragraph" w:customStyle="1" w:styleId="1360">
    <w:name w:val="april标题3"/>
    <w:basedOn w:val="4"/>
    <w:link w:val="1362"/>
    <w:qFormat/>
    <w:uiPriority w:val="0"/>
    <w:pPr>
      <w:spacing w:before="120" w:after="120" w:line="360" w:lineRule="auto"/>
    </w:pPr>
    <w:rPr>
      <w:rFonts w:ascii="Times New Roman" w:hAnsi="华文中宋"/>
      <w:b w:val="0"/>
      <w:spacing w:val="6"/>
      <w:kern w:val="0"/>
      <w:sz w:val="24"/>
      <w:szCs w:val="24"/>
    </w:rPr>
  </w:style>
  <w:style w:type="paragraph" w:customStyle="1" w:styleId="1361">
    <w:name w:val="april表格标题"/>
    <w:basedOn w:val="1360"/>
    <w:link w:val="1363"/>
    <w:qFormat/>
    <w:uiPriority w:val="0"/>
    <w:pPr>
      <w:spacing w:after="0"/>
      <w:jc w:val="center"/>
    </w:pPr>
  </w:style>
  <w:style w:type="character" w:customStyle="1" w:styleId="1362">
    <w:name w:val="april标题3 Char"/>
    <w:link w:val="1360"/>
    <w:qFormat/>
    <w:uiPriority w:val="0"/>
    <w:rPr>
      <w:rFonts w:ascii="Times New Roman" w:hAnsi="华文中宋" w:eastAsia="宋体" w:cs="Times New Roman"/>
      <w:bCs/>
      <w:spacing w:val="6"/>
      <w:kern w:val="0"/>
      <w:sz w:val="24"/>
      <w:szCs w:val="24"/>
    </w:rPr>
  </w:style>
  <w:style w:type="character" w:customStyle="1" w:styleId="1363">
    <w:name w:val="april表格标题 Char"/>
    <w:link w:val="1361"/>
    <w:qFormat/>
    <w:uiPriority w:val="0"/>
    <w:rPr>
      <w:rFonts w:ascii="Times New Roman" w:hAnsi="华文中宋" w:eastAsia="宋体" w:cs="Times New Roman"/>
      <w:bCs/>
      <w:spacing w:val="6"/>
      <w:kern w:val="0"/>
      <w:sz w:val="24"/>
      <w:szCs w:val="24"/>
    </w:rPr>
  </w:style>
  <w:style w:type="character" w:customStyle="1" w:styleId="1364">
    <w:name w:val="Char Char1 Char1"/>
    <w:qFormat/>
    <w:uiPriority w:val="0"/>
    <w:rPr>
      <w:b/>
      <w:spacing w:val="4"/>
    </w:rPr>
  </w:style>
  <w:style w:type="character" w:customStyle="1" w:styleId="1365">
    <w:name w:val="图表名称 Char"/>
    <w:qFormat/>
    <w:uiPriority w:val="0"/>
    <w:rPr>
      <w:rFonts w:ascii="Arial" w:hAnsi="Arial" w:eastAsia="黑体"/>
      <w:spacing w:val="4"/>
    </w:rPr>
  </w:style>
  <w:style w:type="character" w:customStyle="1" w:styleId="1366">
    <w:name w:val="dfgdfg Char2"/>
    <w:qFormat/>
    <w:uiPriority w:val="0"/>
    <w:rPr>
      <w:rFonts w:ascii="Arial" w:hAnsi="Arial" w:eastAsia="黑体"/>
      <w:spacing w:val="4"/>
    </w:rPr>
  </w:style>
  <w:style w:type="character" w:customStyle="1" w:styleId="1367">
    <w:name w:val="Char10 Char Char2"/>
    <w:semiHidden/>
    <w:qFormat/>
    <w:uiPriority w:val="0"/>
    <w:rPr>
      <w:sz w:val="21"/>
    </w:rPr>
  </w:style>
  <w:style w:type="character" w:customStyle="1" w:styleId="1368">
    <w:name w:val="正文文本1 Char1 Char Char Char Char Char Char Char3"/>
    <w:qFormat/>
    <w:uiPriority w:val="0"/>
    <w:rPr>
      <w:sz w:val="18"/>
    </w:rPr>
  </w:style>
  <w:style w:type="character" w:customStyle="1" w:styleId="1369">
    <w:name w:val="正文文字缩进 2 Char3"/>
    <w:qFormat/>
    <w:uiPriority w:val="0"/>
    <w:rPr>
      <w:spacing w:val="4"/>
    </w:rPr>
  </w:style>
  <w:style w:type="character" w:customStyle="1" w:styleId="1370">
    <w:name w:val="Char8 Char Char Char2"/>
    <w:qFormat/>
    <w:uiPriority w:val="0"/>
    <w:rPr>
      <w:sz w:val="21"/>
    </w:rPr>
  </w:style>
  <w:style w:type="character" w:customStyle="1" w:styleId="1371">
    <w:name w:val="Char6 Char Char2"/>
    <w:semiHidden/>
    <w:qFormat/>
    <w:uiPriority w:val="0"/>
    <w:rPr>
      <w:sz w:val="21"/>
    </w:rPr>
  </w:style>
  <w:style w:type="character" w:customStyle="1" w:styleId="1372">
    <w:name w:val="Char Char Char5"/>
    <w:semiHidden/>
    <w:qFormat/>
    <w:uiPriority w:val="0"/>
    <w:rPr>
      <w:sz w:val="18"/>
      <w:szCs w:val="18"/>
    </w:rPr>
  </w:style>
  <w:style w:type="character" w:customStyle="1" w:styleId="1373">
    <w:name w:val="正文文字缩进 3 Char2"/>
    <w:qFormat/>
    <w:uiPriority w:val="0"/>
    <w:rPr>
      <w:spacing w:val="6"/>
    </w:rPr>
  </w:style>
  <w:style w:type="character" w:customStyle="1" w:styleId="1374">
    <w:name w:val="正文文字 3 Char2"/>
    <w:qFormat/>
    <w:uiPriority w:val="0"/>
    <w:rPr>
      <w:sz w:val="16"/>
      <w:szCs w:val="16"/>
    </w:rPr>
  </w:style>
  <w:style w:type="character" w:customStyle="1" w:styleId="1375">
    <w:name w:val="Char7 Char Char2"/>
    <w:qFormat/>
    <w:uiPriority w:val="0"/>
    <w:rPr>
      <w:b/>
      <w:bCs/>
      <w:w w:val="90"/>
      <w:sz w:val="21"/>
    </w:rPr>
  </w:style>
  <w:style w:type="character" w:customStyle="1" w:styleId="1376">
    <w:name w:val="正文文字 2 Char2"/>
    <w:qFormat/>
    <w:uiPriority w:val="0"/>
  </w:style>
  <w:style w:type="character" w:customStyle="1" w:styleId="1377">
    <w:name w:val="Char3 Char Char2"/>
    <w:qFormat/>
    <w:uiPriority w:val="0"/>
    <w:rPr>
      <w:sz w:val="18"/>
      <w:szCs w:val="18"/>
    </w:rPr>
  </w:style>
  <w:style w:type="character" w:customStyle="1" w:styleId="1378">
    <w:name w:val="HTML 预先格式化 Char2"/>
    <w:qFormat/>
    <w:uiPriority w:val="0"/>
  </w:style>
  <w:style w:type="character" w:customStyle="1" w:styleId="1379">
    <w:name w:val="Char5 Char Char1"/>
    <w:qFormat/>
    <w:uiPriority w:val="0"/>
    <w:rPr>
      <w:rFonts w:ascii="Arial" w:hAnsi="Arial" w:cs="Arial"/>
      <w:b/>
      <w:bCs/>
      <w:kern w:val="28"/>
      <w:sz w:val="32"/>
      <w:szCs w:val="32"/>
    </w:rPr>
  </w:style>
  <w:style w:type="character" w:customStyle="1" w:styleId="1380">
    <w:name w:val="Char2 Char Char1"/>
    <w:qFormat/>
    <w:uiPriority w:val="0"/>
    <w:rPr>
      <w:rFonts w:ascii="Arial" w:hAnsi="Arial" w:cs="Arial"/>
      <w:b/>
      <w:bCs/>
      <w:sz w:val="32"/>
      <w:szCs w:val="32"/>
    </w:rPr>
  </w:style>
  <w:style w:type="table" w:customStyle="1" w:styleId="1381">
    <w:name w:val="网格型2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82">
    <w:name w:val="hei141"/>
    <w:qFormat/>
    <w:uiPriority w:val="0"/>
    <w:rPr>
      <w:color w:val="000000"/>
      <w:sz w:val="21"/>
      <w:szCs w:val="21"/>
    </w:rPr>
  </w:style>
  <w:style w:type="character" w:customStyle="1" w:styleId="1383">
    <w:name w:val="报告书正文 Char2"/>
    <w:qFormat/>
    <w:uiPriority w:val="0"/>
  </w:style>
  <w:style w:type="paragraph" w:customStyle="1" w:styleId="1384">
    <w:name w:val="0714正文"/>
    <w:basedOn w:val="31"/>
    <w:qFormat/>
    <w:uiPriority w:val="0"/>
    <w:pPr>
      <w:widowControl w:val="0"/>
      <w:adjustRightInd/>
      <w:snapToGrid/>
      <w:jc w:val="both"/>
    </w:pPr>
    <w:rPr>
      <w:rFonts w:ascii="Times New Roman" w:hAnsi="Times New Roman" w:cs="Times New Roman"/>
      <w:kern w:val="2"/>
    </w:rPr>
  </w:style>
  <w:style w:type="paragraph" w:customStyle="1" w:styleId="1385">
    <w:name w:val="标题1使用"/>
    <w:basedOn w:val="3"/>
    <w:next w:val="1"/>
    <w:qFormat/>
    <w:uiPriority w:val="0"/>
    <w:pPr>
      <w:tabs>
        <w:tab w:val="clear" w:pos="1287"/>
      </w:tabs>
      <w:spacing w:before="120" w:beforeLines="50" w:beforeAutospacing="0" w:after="240" w:afterAutospacing="0"/>
      <w:jc w:val="center"/>
    </w:pPr>
    <w:rPr>
      <w:rFonts w:eastAsia="宋体" w:cs="宋体"/>
      <w:sz w:val="44"/>
      <w:szCs w:val="44"/>
    </w:rPr>
  </w:style>
  <w:style w:type="paragraph" w:customStyle="1" w:styleId="1386">
    <w:name w:val="标题2使用中"/>
    <w:basedOn w:val="6"/>
    <w:qFormat/>
    <w:uiPriority w:val="0"/>
    <w:pPr>
      <w:spacing w:before="0" w:after="0" w:line="360" w:lineRule="auto"/>
    </w:pPr>
    <w:rPr>
      <w:rFonts w:ascii="Times New Roman" w:hAnsi="Times New Roman"/>
      <w:sz w:val="32"/>
      <w:szCs w:val="32"/>
    </w:rPr>
  </w:style>
  <w:style w:type="paragraph" w:customStyle="1" w:styleId="1387">
    <w:name w:val="样式 样式 样式 标题 3 + 段前: 0.5 行 + 段前: 0.5 行1 + 段前: 0.2 行 段后: 0.2 行"/>
    <w:basedOn w:val="1"/>
    <w:qFormat/>
    <w:uiPriority w:val="0"/>
    <w:pPr>
      <w:keepNext/>
      <w:keepLines/>
      <w:snapToGrid w:val="0"/>
      <w:spacing w:beforeLines="50"/>
      <w:jc w:val="left"/>
      <w:outlineLvl w:val="2"/>
    </w:pPr>
    <w:rPr>
      <w:rFonts w:ascii="宋体" w:hAnsi="宋体"/>
      <w:b/>
      <w:bCs/>
      <w:kern w:val="0"/>
      <w:szCs w:val="28"/>
    </w:rPr>
  </w:style>
  <w:style w:type="paragraph" w:customStyle="1" w:styleId="1388">
    <w:name w:val="Char Char Char1 Char Char Char Char Char Char Char Char Char Char Char Char1 Char"/>
    <w:basedOn w:val="1"/>
    <w:qFormat/>
    <w:uiPriority w:val="0"/>
    <w:pPr>
      <w:ind w:firstLine="200" w:firstLineChars="200"/>
    </w:pPr>
    <w:rPr>
      <w:rFonts w:ascii="宋体" w:hAnsi="宋体" w:cs="宋体"/>
      <w:sz w:val="24"/>
      <w:szCs w:val="24"/>
    </w:rPr>
  </w:style>
  <w:style w:type="character" w:customStyle="1" w:styleId="1389">
    <w:name w:val="t11"/>
    <w:qFormat/>
    <w:uiPriority w:val="0"/>
    <w:rPr>
      <w:b/>
      <w:bCs/>
      <w:shd w:val="clear" w:color="auto" w:fill="FFFFFF"/>
    </w:rPr>
  </w:style>
  <w:style w:type="character" w:customStyle="1" w:styleId="1390">
    <w:name w:val="arr1"/>
    <w:qFormat/>
    <w:uiPriority w:val="0"/>
  </w:style>
  <w:style w:type="paragraph" w:customStyle="1" w:styleId="1391">
    <w:name w:val="WPS Plain"/>
    <w:qFormat/>
    <w:uiPriority w:val="0"/>
    <w:rPr>
      <w:rFonts w:ascii="Times New Roman" w:hAnsi="Times New Roman" w:eastAsia="宋体" w:cs="Times New Roman"/>
      <w:lang w:val="en-US" w:eastAsia="zh-CN" w:bidi="ar-SA"/>
    </w:rPr>
  </w:style>
  <w:style w:type="character" w:customStyle="1" w:styleId="1392">
    <w:name w:val="正文首行缩进 2 Char1"/>
    <w:semiHidden/>
    <w:qFormat/>
    <w:uiPriority w:val="99"/>
    <w:rPr>
      <w:rFonts w:ascii="Times New Roman" w:hAnsi="Times New Roman"/>
      <w:sz w:val="21"/>
    </w:rPr>
  </w:style>
  <w:style w:type="character" w:customStyle="1" w:styleId="1393">
    <w:name w:val="HTML 预设格式 Char1"/>
    <w:semiHidden/>
    <w:qFormat/>
    <w:uiPriority w:val="99"/>
    <w:rPr>
      <w:rFonts w:ascii="Courier New" w:hAnsi="Courier New" w:cs="Courier New"/>
    </w:rPr>
  </w:style>
  <w:style w:type="character" w:customStyle="1" w:styleId="1394">
    <w:name w:val="报告书正文 Char Char1"/>
    <w:qFormat/>
    <w:uiPriority w:val="0"/>
  </w:style>
  <w:style w:type="paragraph" w:customStyle="1" w:styleId="1395">
    <w:name w:val="Char Char Char2 Char Char Char Char1"/>
    <w:basedOn w:val="1"/>
    <w:qFormat/>
    <w:uiPriority w:val="0"/>
    <w:pPr>
      <w:ind w:firstLine="200" w:firstLineChars="200"/>
    </w:pPr>
    <w:rPr>
      <w:rFonts w:ascii="宋体" w:hAnsi="宋体" w:cs="宋体"/>
      <w:sz w:val="24"/>
      <w:szCs w:val="24"/>
    </w:rPr>
  </w:style>
  <w:style w:type="character" w:customStyle="1" w:styleId="1396">
    <w:name w:val="明显强调1"/>
    <w:qFormat/>
    <w:uiPriority w:val="0"/>
    <w:rPr>
      <w:b/>
      <w:bCs/>
      <w:i/>
      <w:iCs/>
      <w:color w:val="4F81BD"/>
    </w:rPr>
  </w:style>
  <w:style w:type="character" w:customStyle="1" w:styleId="1397">
    <w:name w:val="line1"/>
    <w:qFormat/>
    <w:uiPriority w:val="0"/>
  </w:style>
  <w:style w:type="paragraph" w:customStyle="1" w:styleId="1398">
    <w:name w:val="Char Char Char Char1 Char Char Char Char Char Char"/>
    <w:basedOn w:val="1"/>
    <w:qFormat/>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399">
    <w:name w:val="评估内容"/>
    <w:qFormat/>
    <w:uiPriority w:val="0"/>
    <w:pPr>
      <w:widowControl w:val="0"/>
      <w:adjustRightInd w:val="0"/>
      <w:snapToGrid w:val="0"/>
      <w:spacing w:line="360" w:lineRule="auto"/>
      <w:ind w:firstLine="461" w:firstLineChars="192"/>
      <w:jc w:val="both"/>
    </w:pPr>
    <w:rPr>
      <w:rFonts w:ascii="Times New Roman" w:hAnsi="Times New Roman" w:eastAsia="宋体" w:cs="Times New Roman"/>
      <w:color w:val="FF0000"/>
      <w:kern w:val="21"/>
      <w:sz w:val="24"/>
      <w:szCs w:val="24"/>
      <w:lang w:val="en-US" w:eastAsia="zh-CN" w:bidi="ar-SA"/>
    </w:rPr>
  </w:style>
  <w:style w:type="paragraph" w:customStyle="1" w:styleId="1400">
    <w:name w:val="Char1 Char Char Char Char Char Char"/>
    <w:basedOn w:val="1"/>
    <w:next w:val="1"/>
    <w:qFormat/>
    <w:uiPriority w:val="0"/>
    <w:pPr>
      <w:spacing w:line="240" w:lineRule="auto"/>
    </w:pPr>
    <w:rPr>
      <w:rFonts w:ascii="Times New Roman" w:hAnsi="Times New Roman"/>
      <w:sz w:val="21"/>
      <w:szCs w:val="24"/>
    </w:rPr>
  </w:style>
  <w:style w:type="character" w:customStyle="1" w:styleId="1401">
    <w:name w:val="Char12 Char Char3"/>
    <w:qFormat/>
    <w:uiPriority w:val="0"/>
    <w:rPr>
      <w:rFonts w:ascii="Times New Roman" w:hAnsi="Times New Roman"/>
      <w:b/>
      <w:bCs/>
    </w:rPr>
  </w:style>
  <w:style w:type="character" w:customStyle="1" w:styleId="1402">
    <w:name w:val="dfgdfg Char Char"/>
    <w:qFormat/>
    <w:uiPriority w:val="0"/>
    <w:rPr>
      <w:rFonts w:ascii="Arial" w:hAnsi="Arial" w:eastAsia="黑体"/>
      <w:sz w:val="21"/>
      <w:szCs w:val="21"/>
    </w:rPr>
  </w:style>
  <w:style w:type="character" w:customStyle="1" w:styleId="1403">
    <w:name w:val="正文文本1 Char1 Char Char Char Char Char Char Char5"/>
    <w:qFormat/>
    <w:uiPriority w:val="0"/>
    <w:rPr>
      <w:sz w:val="18"/>
      <w:szCs w:val="18"/>
    </w:rPr>
  </w:style>
  <w:style w:type="character" w:customStyle="1" w:styleId="1404">
    <w:name w:val="Char10 Char Char3"/>
    <w:qFormat/>
    <w:uiPriority w:val="0"/>
    <w:rPr>
      <w:rFonts w:hAnsi="Times New Roman"/>
      <w:sz w:val="21"/>
      <w:szCs w:val="18"/>
    </w:rPr>
  </w:style>
  <w:style w:type="character" w:customStyle="1" w:styleId="1405">
    <w:name w:val="Char8 Char Char Char3"/>
    <w:qFormat/>
    <w:uiPriority w:val="0"/>
    <w:rPr>
      <w:rFonts w:ascii="Times New Roman" w:hAnsi="Times New Roman" w:cs="Times New Roman"/>
      <w:szCs w:val="20"/>
    </w:rPr>
  </w:style>
  <w:style w:type="character" w:customStyle="1" w:styleId="1406">
    <w:name w:val="Char9 Char Char3"/>
    <w:semiHidden/>
    <w:qFormat/>
    <w:uiPriority w:val="0"/>
    <w:rPr>
      <w:rFonts w:ascii="Times New Roman" w:hAnsi="Times New Roman" w:cs="Times New Roman"/>
      <w:kern w:val="0"/>
      <w:sz w:val="18"/>
      <w:szCs w:val="18"/>
    </w:rPr>
  </w:style>
  <w:style w:type="character" w:customStyle="1" w:styleId="1407">
    <w:name w:val="Char3 Char Char3"/>
    <w:qFormat/>
    <w:uiPriority w:val="0"/>
    <w:rPr>
      <w:rFonts w:ascii="Times New Roman" w:hAnsi="Times New Roman"/>
      <w:sz w:val="18"/>
      <w:szCs w:val="18"/>
    </w:rPr>
  </w:style>
  <w:style w:type="character" w:customStyle="1" w:styleId="1408">
    <w:name w:val="Char7 Char Char3"/>
    <w:qFormat/>
    <w:uiPriority w:val="0"/>
    <w:rPr>
      <w:rFonts w:hAnsi="Times New Roman"/>
      <w:snapToGrid w:val="0"/>
      <w:kern w:val="24"/>
      <w:szCs w:val="21"/>
    </w:rPr>
  </w:style>
  <w:style w:type="character" w:customStyle="1" w:styleId="1409">
    <w:name w:val="报告书正文 Char3"/>
    <w:qFormat/>
    <w:uiPriority w:val="0"/>
  </w:style>
  <w:style w:type="character" w:customStyle="1" w:styleId="1410">
    <w:name w:val="Char12 Char Char4"/>
    <w:qFormat/>
    <w:uiPriority w:val="0"/>
    <w:rPr>
      <w:rFonts w:ascii="Times New Roman" w:hAnsi="Times New Roman"/>
      <w:b/>
      <w:bCs/>
    </w:rPr>
  </w:style>
  <w:style w:type="character" w:customStyle="1" w:styleId="1411">
    <w:name w:val="图表名称 Char2"/>
    <w:qFormat/>
    <w:uiPriority w:val="0"/>
    <w:rPr>
      <w:rFonts w:ascii="Arial" w:hAnsi="Arial" w:eastAsia="黑体"/>
    </w:rPr>
  </w:style>
  <w:style w:type="character" w:customStyle="1" w:styleId="1412">
    <w:name w:val="dfgdfg Char Char2"/>
    <w:qFormat/>
    <w:uiPriority w:val="0"/>
    <w:rPr>
      <w:rFonts w:ascii="Arial" w:hAnsi="Arial" w:eastAsia="黑体"/>
      <w:sz w:val="21"/>
      <w:szCs w:val="21"/>
    </w:rPr>
  </w:style>
  <w:style w:type="character" w:customStyle="1" w:styleId="1413">
    <w:name w:val="正文文本1 Char1 Char Char Char Char Char Char Char6"/>
    <w:qFormat/>
    <w:uiPriority w:val="0"/>
    <w:rPr>
      <w:sz w:val="18"/>
      <w:szCs w:val="18"/>
    </w:rPr>
  </w:style>
  <w:style w:type="character" w:customStyle="1" w:styleId="1414">
    <w:name w:val="Char10 Char Char4"/>
    <w:qFormat/>
    <w:uiPriority w:val="0"/>
    <w:rPr>
      <w:rFonts w:hAnsi="Times New Roman"/>
      <w:sz w:val="21"/>
      <w:szCs w:val="18"/>
    </w:rPr>
  </w:style>
  <w:style w:type="character" w:customStyle="1" w:styleId="1415">
    <w:name w:val="Char8 Char Char Char4"/>
    <w:qFormat/>
    <w:uiPriority w:val="0"/>
    <w:rPr>
      <w:rFonts w:ascii="Times New Roman" w:hAnsi="Times New Roman" w:cs="Times New Roman"/>
      <w:szCs w:val="20"/>
    </w:rPr>
  </w:style>
  <w:style w:type="character" w:customStyle="1" w:styleId="1416">
    <w:name w:val="Char9 Char Char4"/>
    <w:semiHidden/>
    <w:qFormat/>
    <w:uiPriority w:val="0"/>
    <w:rPr>
      <w:rFonts w:ascii="Times New Roman" w:hAnsi="Times New Roman" w:cs="Times New Roman"/>
      <w:kern w:val="0"/>
      <w:sz w:val="18"/>
      <w:szCs w:val="18"/>
    </w:rPr>
  </w:style>
  <w:style w:type="character" w:customStyle="1" w:styleId="1417">
    <w:name w:val="正文文字缩进 3 Char4"/>
    <w:qFormat/>
    <w:uiPriority w:val="0"/>
    <w:rPr>
      <w:rFonts w:ascii="Times New Roman" w:hAnsi="Times New Roman"/>
      <w:spacing w:val="6"/>
    </w:rPr>
  </w:style>
  <w:style w:type="character" w:customStyle="1" w:styleId="1418">
    <w:name w:val="Char3 Char Char4"/>
    <w:qFormat/>
    <w:uiPriority w:val="0"/>
    <w:rPr>
      <w:rFonts w:ascii="Times New Roman" w:hAnsi="Times New Roman"/>
      <w:sz w:val="18"/>
      <w:szCs w:val="18"/>
    </w:rPr>
  </w:style>
  <w:style w:type="character" w:customStyle="1" w:styleId="1419">
    <w:name w:val="正文文字 2 Char3"/>
    <w:qFormat/>
    <w:uiPriority w:val="0"/>
    <w:rPr>
      <w:rFonts w:ascii="Times New Roman" w:hAnsi="Times New Roman"/>
      <w:sz w:val="21"/>
    </w:rPr>
  </w:style>
  <w:style w:type="character" w:customStyle="1" w:styleId="1420">
    <w:name w:val="Char6 Char1"/>
    <w:qFormat/>
    <w:uiPriority w:val="0"/>
    <w:rPr>
      <w:rFonts w:ascii="Times New Roman" w:hAnsi="Times New Roman"/>
      <w:sz w:val="21"/>
    </w:rPr>
  </w:style>
  <w:style w:type="character" w:customStyle="1" w:styleId="1421">
    <w:name w:val="Char7 Char Char4"/>
    <w:qFormat/>
    <w:uiPriority w:val="0"/>
    <w:rPr>
      <w:rFonts w:hAnsi="Times New Roman"/>
      <w:snapToGrid w:val="0"/>
      <w:kern w:val="24"/>
      <w:szCs w:val="21"/>
    </w:rPr>
  </w:style>
  <w:style w:type="character" w:customStyle="1" w:styleId="1422">
    <w:name w:val="正文文字 3 Char4"/>
    <w:qFormat/>
    <w:uiPriority w:val="0"/>
    <w:rPr>
      <w:rFonts w:ascii="Times New Roman" w:hAnsi="Times New Roman"/>
      <w:b/>
      <w:sz w:val="18"/>
      <w:szCs w:val="16"/>
    </w:rPr>
  </w:style>
  <w:style w:type="character" w:customStyle="1" w:styleId="1423">
    <w:name w:val="HTML 预先格式化 Char4"/>
    <w:qFormat/>
    <w:uiPriority w:val="0"/>
    <w:rPr>
      <w:rFonts w:ascii="Courier New" w:hAnsi="Courier New" w:cs="Courier New"/>
    </w:rPr>
  </w:style>
  <w:style w:type="paragraph" w:customStyle="1" w:styleId="1424">
    <w:name w:val="7表格(治)"/>
    <w:qFormat/>
    <w:uiPriority w:val="0"/>
    <w:pPr>
      <w:jc w:val="center"/>
    </w:pPr>
    <w:rPr>
      <w:rFonts w:ascii="Arial" w:hAnsi="Arial" w:eastAsia="楷体_GB2312" w:cs="Times New Roman"/>
      <w:sz w:val="21"/>
      <w:lang w:val="en-US" w:eastAsia="zh-CN" w:bidi="ar-SA"/>
    </w:rPr>
  </w:style>
  <w:style w:type="paragraph" w:customStyle="1" w:styleId="1425">
    <w:name w:val="5文章(治)"/>
    <w:basedOn w:val="1"/>
    <w:link w:val="1426"/>
    <w:qFormat/>
    <w:uiPriority w:val="0"/>
    <w:pPr>
      <w:ind w:firstLine="480" w:firstLineChars="200"/>
    </w:pPr>
    <w:rPr>
      <w:rFonts w:ascii="Arial" w:hAnsi="Arial" w:cs="Tahoma"/>
      <w:snapToGrid w:val="0"/>
      <w:kern w:val="0"/>
      <w:sz w:val="24"/>
      <w:szCs w:val="21"/>
    </w:rPr>
  </w:style>
  <w:style w:type="character" w:customStyle="1" w:styleId="1426">
    <w:name w:val="5文章(治) Char"/>
    <w:link w:val="1425"/>
    <w:qFormat/>
    <w:uiPriority w:val="0"/>
    <w:rPr>
      <w:rFonts w:ascii="Arial" w:hAnsi="Arial" w:eastAsia="宋体" w:cs="Tahoma"/>
      <w:snapToGrid w:val="0"/>
      <w:kern w:val="0"/>
      <w:sz w:val="24"/>
      <w:szCs w:val="21"/>
    </w:rPr>
  </w:style>
  <w:style w:type="paragraph" w:customStyle="1" w:styleId="1427">
    <w:name w:val="T正文"/>
    <w:qFormat/>
    <w:uiPriority w:val="0"/>
    <w:pPr>
      <w:widowControl w:val="0"/>
      <w:ind w:firstLine="480" w:firstLineChars="200"/>
      <w:jc w:val="both"/>
    </w:pPr>
    <w:rPr>
      <w:rFonts w:ascii="Times New Roman" w:hAnsi="Times New Roman" w:eastAsia="宋体" w:cs="Times New Roman"/>
      <w:sz w:val="24"/>
      <w:lang w:val="en-US" w:eastAsia="zh-CN" w:bidi="ar-SA"/>
    </w:rPr>
  </w:style>
  <w:style w:type="paragraph" w:customStyle="1" w:styleId="1428">
    <w:name w:val="T表头"/>
    <w:next w:val="1"/>
    <w:uiPriority w:val="0"/>
    <w:pPr>
      <w:keepLines/>
      <w:jc w:val="center"/>
    </w:pPr>
    <w:rPr>
      <w:rFonts w:ascii="Times New Roman" w:hAnsi="Times New Roman" w:eastAsia="宋体" w:cs="Times New Roman"/>
      <w:b/>
      <w:sz w:val="24"/>
      <w:szCs w:val="24"/>
      <w:lang w:val="en-US" w:eastAsia="zh-CN" w:bidi="ar-SA"/>
    </w:rPr>
  </w:style>
  <w:style w:type="paragraph" w:customStyle="1" w:styleId="1429">
    <w:name w:val="6表(图)头(治)"/>
    <w:next w:val="1"/>
    <w:uiPriority w:val="0"/>
    <w:pPr>
      <w:widowControl w:val="0"/>
      <w:jc w:val="center"/>
    </w:pPr>
    <w:rPr>
      <w:rFonts w:ascii="Times New Roman" w:hAnsi="宋体" w:eastAsia="宋体" w:cs="Times New Roman"/>
      <w:b/>
      <w:color w:val="000000"/>
      <w:sz w:val="21"/>
      <w:szCs w:val="21"/>
      <w:lang w:val="en-US" w:eastAsia="zh-CN" w:bidi="ar-SA"/>
    </w:rPr>
  </w:style>
  <w:style w:type="paragraph" w:customStyle="1" w:styleId="1430">
    <w:name w:val="4标题(治)"/>
    <w:basedOn w:val="1"/>
    <w:next w:val="1"/>
    <w:uiPriority w:val="0"/>
    <w:pPr>
      <w:adjustRightInd w:val="0"/>
      <w:snapToGrid w:val="0"/>
      <w:textAlignment w:val="baseline"/>
      <w:outlineLvl w:val="3"/>
    </w:pPr>
    <w:rPr>
      <w:rFonts w:ascii="Times New Roman" w:hAnsi="Times New Roman"/>
      <w:b/>
      <w:kern w:val="0"/>
      <w:sz w:val="24"/>
      <w:szCs w:val="24"/>
    </w:rPr>
  </w:style>
  <w:style w:type="paragraph" w:customStyle="1" w:styleId="1431">
    <w:name w:val="a表格"/>
    <w:basedOn w:val="1"/>
    <w:qFormat/>
    <w:uiPriority w:val="0"/>
    <w:pPr>
      <w:snapToGrid w:val="0"/>
      <w:spacing w:line="240" w:lineRule="auto"/>
      <w:jc w:val="center"/>
    </w:pPr>
    <w:rPr>
      <w:rFonts w:ascii="Times New Roman" w:hAnsi="宋体"/>
      <w:bCs/>
      <w:kern w:val="0"/>
      <w:sz w:val="21"/>
      <w:szCs w:val="21"/>
    </w:rPr>
  </w:style>
  <w:style w:type="paragraph" w:customStyle="1" w:styleId="1432">
    <w:name w:val="Char Char Char1 Char Char Char1 Char Char Char Char"/>
    <w:basedOn w:val="1"/>
    <w:qFormat/>
    <w:uiPriority w:val="0"/>
    <w:pPr>
      <w:ind w:firstLine="200" w:firstLineChars="200"/>
    </w:pPr>
    <w:rPr>
      <w:rFonts w:ascii="宋体" w:hAnsi="宋体" w:cs="宋体"/>
      <w:sz w:val="24"/>
      <w:szCs w:val="24"/>
    </w:rPr>
  </w:style>
  <w:style w:type="character" w:customStyle="1" w:styleId="1433">
    <w:name w:val="正文文字缩进 3 Char Char"/>
    <w:qFormat/>
    <w:uiPriority w:val="0"/>
  </w:style>
  <w:style w:type="paragraph" w:customStyle="1" w:styleId="1434">
    <w:name w:val="表格居中"/>
    <w:basedOn w:val="1"/>
    <w:uiPriority w:val="0"/>
    <w:pPr>
      <w:tabs>
        <w:tab w:val="left" w:pos="4144"/>
      </w:tabs>
      <w:overflowPunct w:val="0"/>
      <w:spacing w:line="240" w:lineRule="auto"/>
      <w:jc w:val="center"/>
    </w:pPr>
    <w:rPr>
      <w:rFonts w:ascii="宋体" w:hAnsi="宋体"/>
      <w:kern w:val="0"/>
      <w:sz w:val="18"/>
      <w:szCs w:val="18"/>
    </w:rPr>
  </w:style>
  <w:style w:type="character" w:customStyle="1" w:styleId="1435">
    <w:name w:val="p"/>
    <w:uiPriority w:val="0"/>
  </w:style>
  <w:style w:type="paragraph" w:customStyle="1" w:styleId="1436">
    <w:name w:val="Char Char Char Char Char Char1 Char Char Char1 Char"/>
    <w:basedOn w:val="1"/>
    <w:uiPriority w:val="0"/>
    <w:pPr>
      <w:adjustRightInd w:val="0"/>
      <w:snapToGrid w:val="0"/>
      <w:ind w:firstLine="200" w:firstLineChars="200"/>
      <w:jc w:val="left"/>
    </w:pPr>
    <w:rPr>
      <w:rFonts w:ascii="仿宋_GB2312" w:hAnsi="仿宋_GB2312" w:eastAsia="仿宋_GB2312" w:cs="宋体"/>
      <w:sz w:val="24"/>
      <w:szCs w:val="24"/>
    </w:rPr>
  </w:style>
  <w:style w:type="character" w:customStyle="1" w:styleId="1437">
    <w:name w:val="正文文字 3 Char Char"/>
    <w:qFormat/>
    <w:uiPriority w:val="0"/>
    <w:rPr>
      <w:sz w:val="16"/>
      <w:szCs w:val="16"/>
    </w:rPr>
  </w:style>
  <w:style w:type="character" w:customStyle="1" w:styleId="1438">
    <w:name w:val="HTML 预先格式化 Char Char"/>
    <w:qFormat/>
    <w:uiPriority w:val="0"/>
    <w:rPr>
      <w:rFonts w:ascii="Courier New" w:hAnsi="Courier New" w:cs="Courier New"/>
    </w:rPr>
  </w:style>
  <w:style w:type="character" w:customStyle="1" w:styleId="1439">
    <w:name w:val="表格 Char Char Char"/>
    <w:qFormat/>
    <w:uiPriority w:val="0"/>
    <w:rPr>
      <w:rFonts w:ascii="黑体" w:eastAsia="黑体"/>
      <w:kern w:val="2"/>
      <w:sz w:val="24"/>
      <w:szCs w:val="24"/>
      <w:lang w:val="en-US" w:eastAsia="zh-CN" w:bidi="ar-SA"/>
    </w:rPr>
  </w:style>
  <w:style w:type="character" w:customStyle="1" w:styleId="1440">
    <w:name w:val="图 Char Char"/>
    <w:qFormat/>
    <w:uiPriority w:val="0"/>
    <w:rPr>
      <w:rFonts w:ascii="黑体" w:eastAsia="黑体"/>
      <w:b/>
    </w:rPr>
  </w:style>
  <w:style w:type="paragraph" w:customStyle="1" w:styleId="1441">
    <w:name w:val="样式 宋体 小四 行距: 固定值 25 磅 Char Char Char"/>
    <w:basedOn w:val="1"/>
    <w:link w:val="1442"/>
    <w:uiPriority w:val="0"/>
    <w:pPr>
      <w:ind w:firstLine="540" w:firstLineChars="225"/>
    </w:pPr>
    <w:rPr>
      <w:rFonts w:ascii="宋体" w:hAnsi="宋体" w:cs="宋体"/>
      <w:sz w:val="24"/>
      <w:szCs w:val="24"/>
    </w:rPr>
  </w:style>
  <w:style w:type="character" w:customStyle="1" w:styleId="1442">
    <w:name w:val="样式 宋体 小四 行距: 固定值 25 磅 Char Char Char Char"/>
    <w:link w:val="1441"/>
    <w:uiPriority w:val="0"/>
    <w:rPr>
      <w:rFonts w:ascii="宋体" w:hAnsi="宋体" w:eastAsia="宋体" w:cs="宋体"/>
      <w:sz w:val="24"/>
      <w:szCs w:val="24"/>
    </w:rPr>
  </w:style>
  <w:style w:type="paragraph" w:customStyle="1" w:styleId="1443">
    <w:name w:val="Char Char Char Char Char Char Char Char Char Char Char Char Char Char Char Char Char Char Char"/>
    <w:basedOn w:val="1"/>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444">
    <w:name w:val="Char Char Char Char Char Char Char Char Char Char Char"/>
    <w:basedOn w:val="1"/>
    <w:uiPriority w:val="0"/>
    <w:pPr>
      <w:adjustRightInd w:val="0"/>
      <w:snapToGrid w:val="0"/>
      <w:ind w:firstLine="200" w:firstLineChars="200"/>
      <w:jc w:val="left"/>
    </w:pPr>
    <w:rPr>
      <w:rFonts w:ascii="仿宋_GB2312" w:hAnsi="仿宋_GB2312" w:eastAsia="仿宋_GB2312" w:cs="宋体"/>
      <w:sz w:val="24"/>
      <w:szCs w:val="24"/>
    </w:rPr>
  </w:style>
  <w:style w:type="character" w:customStyle="1" w:styleId="1445">
    <w:name w:val="标题 4XW Char Char"/>
    <w:uiPriority w:val="0"/>
    <w:rPr>
      <w:rFonts w:ascii="Arial" w:hAnsi="Arial" w:eastAsia="黑体"/>
      <w:b/>
      <w:bCs/>
      <w:sz w:val="28"/>
      <w:szCs w:val="28"/>
    </w:rPr>
  </w:style>
  <w:style w:type="paragraph" w:customStyle="1" w:styleId="1446">
    <w:name w:val="style2"/>
    <w:basedOn w:val="1"/>
    <w:qFormat/>
    <w:uiPriority w:val="0"/>
    <w:pPr>
      <w:widowControl/>
      <w:spacing w:before="100" w:beforeAutospacing="1" w:after="100" w:afterAutospacing="1" w:line="525" w:lineRule="atLeast"/>
      <w:jc w:val="left"/>
    </w:pPr>
    <w:rPr>
      <w:rFonts w:ascii="宋体" w:hAnsi="宋体" w:cs="宋体"/>
      <w:kern w:val="0"/>
      <w:sz w:val="24"/>
      <w:szCs w:val="24"/>
    </w:rPr>
  </w:style>
  <w:style w:type="character" w:customStyle="1" w:styleId="1447">
    <w:name w:val="cj"/>
    <w:uiPriority w:val="0"/>
  </w:style>
  <w:style w:type="character" w:customStyle="1" w:styleId="1448">
    <w:name w:val="cja1"/>
    <w:qFormat/>
    <w:uiPriority w:val="0"/>
    <w:rPr>
      <w:sz w:val="20"/>
      <w:szCs w:val="20"/>
      <w:u w:val="none"/>
    </w:rPr>
  </w:style>
  <w:style w:type="character" w:customStyle="1" w:styleId="1449">
    <w:name w:val="txt141"/>
    <w:qFormat/>
    <w:uiPriority w:val="0"/>
    <w:rPr>
      <w:sz w:val="21"/>
      <w:szCs w:val="21"/>
      <w:u w:val="none"/>
    </w:rPr>
  </w:style>
  <w:style w:type="character" w:customStyle="1" w:styleId="1450">
    <w:name w:val="B Head Char Char"/>
    <w:qFormat/>
    <w:uiPriority w:val="0"/>
    <w:rPr>
      <w:rFonts w:ascii="黑体" w:eastAsia="黑体"/>
      <w:b/>
      <w:bCs/>
      <w:szCs w:val="32"/>
    </w:rPr>
  </w:style>
  <w:style w:type="paragraph" w:customStyle="1" w:styleId="1451">
    <w:name w:val="p29"/>
    <w:basedOn w:val="1"/>
    <w:qFormat/>
    <w:uiPriority w:val="0"/>
    <w:pPr>
      <w:widowControl/>
      <w:spacing w:before="100" w:beforeAutospacing="1" w:after="100" w:afterAutospacing="1" w:line="315" w:lineRule="atLeast"/>
      <w:ind w:firstLine="420"/>
      <w:jc w:val="left"/>
    </w:pPr>
    <w:rPr>
      <w:rFonts w:ascii="宋体" w:hAnsi="宋体" w:cs="宋体"/>
      <w:color w:val="000000"/>
      <w:kern w:val="0"/>
      <w:sz w:val="24"/>
      <w:szCs w:val="24"/>
    </w:rPr>
  </w:style>
  <w:style w:type="paragraph" w:customStyle="1" w:styleId="1452">
    <w:name w:val="Char Char Char Char Char Char Char Char Char Char Char Char"/>
    <w:basedOn w:val="1"/>
    <w:qFormat/>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453">
    <w:name w:val="Char Char Char Char Char Char Char Char Char Char Char Char Char Char Char1 Char Char Char1 Char Char Char Char Char Char Char"/>
    <w:basedOn w:val="1"/>
    <w:qFormat/>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454">
    <w:name w:val="Char Char Char Char Char Char Char Char"/>
    <w:basedOn w:val="1"/>
    <w:qFormat/>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455">
    <w:name w:val="Char Char Char2 Char Char Char Char Char Char Char"/>
    <w:basedOn w:val="1"/>
    <w:qFormat/>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456">
    <w:name w:val="Char Char Char Char Char Char Char Char Char Char Char Char Char Char Char1"/>
    <w:basedOn w:val="1"/>
    <w:qFormat/>
    <w:uiPriority w:val="0"/>
    <w:pPr>
      <w:adjustRightInd w:val="0"/>
      <w:snapToGrid w:val="0"/>
      <w:ind w:firstLine="200" w:firstLineChars="200"/>
      <w:jc w:val="left"/>
    </w:pPr>
    <w:rPr>
      <w:rFonts w:ascii="仿宋_GB2312" w:hAnsi="仿宋_GB2312" w:eastAsia="仿宋_GB2312" w:cs="宋体"/>
      <w:sz w:val="24"/>
      <w:szCs w:val="24"/>
    </w:rPr>
  </w:style>
  <w:style w:type="paragraph" w:customStyle="1" w:styleId="1457">
    <w:name w:val="Char Char Char Char Char Char Char Char Char Char Char Char Char"/>
    <w:basedOn w:val="1"/>
    <w:qFormat/>
    <w:uiPriority w:val="0"/>
    <w:pPr>
      <w:adjustRightInd w:val="0"/>
      <w:snapToGrid w:val="0"/>
      <w:ind w:firstLine="200" w:firstLineChars="200"/>
      <w:jc w:val="left"/>
    </w:pPr>
    <w:rPr>
      <w:rFonts w:ascii="仿宋_GB2312" w:hAnsi="仿宋_GB2312" w:eastAsia="仿宋_GB2312" w:cs="宋体"/>
      <w:sz w:val="24"/>
      <w:szCs w:val="24"/>
    </w:rPr>
  </w:style>
  <w:style w:type="character" w:customStyle="1" w:styleId="1458">
    <w:name w:val="标题 7 Char Char Char Char Char Char Char Char Char"/>
    <w:qFormat/>
    <w:uiPriority w:val="0"/>
    <w:rPr>
      <w:b/>
      <w:bCs/>
    </w:rPr>
  </w:style>
  <w:style w:type="character" w:customStyle="1" w:styleId="1459">
    <w:name w:val="目标题 1) Char Char"/>
    <w:qFormat/>
    <w:uiPriority w:val="0"/>
    <w:rPr>
      <w:rFonts w:ascii="Arial" w:hAnsi="Arial" w:eastAsia="黑体"/>
    </w:rPr>
  </w:style>
  <w:style w:type="character" w:customStyle="1" w:styleId="1460">
    <w:name w:val="干标题(a) Char Char"/>
    <w:uiPriority w:val="0"/>
    <w:rPr>
      <w:rFonts w:ascii="Arial" w:hAnsi="Arial" w:eastAsia="黑体"/>
      <w:sz w:val="21"/>
      <w:szCs w:val="21"/>
    </w:rPr>
  </w:style>
  <w:style w:type="paragraph" w:customStyle="1" w:styleId="1461">
    <w:name w:val="3标题(治)"/>
    <w:basedOn w:val="4"/>
    <w:qFormat/>
    <w:uiPriority w:val="0"/>
    <w:pPr>
      <w:spacing w:before="0" w:after="0" w:line="360" w:lineRule="auto"/>
      <w:textAlignment w:val="baseline"/>
      <w:outlineLvl w:val="1"/>
    </w:pPr>
    <w:rPr>
      <w:rFonts w:ascii="Times New Roman" w:hAnsi="华文中宋" w:eastAsia="黑体"/>
      <w:b w:val="0"/>
      <w:kern w:val="0"/>
      <w:sz w:val="28"/>
    </w:rPr>
  </w:style>
  <w:style w:type="paragraph" w:customStyle="1" w:styleId="1462">
    <w:name w:val="z正文"/>
    <w:basedOn w:val="32"/>
    <w:qFormat/>
    <w:uiPriority w:val="0"/>
    <w:pPr>
      <w:autoSpaceDE w:val="0"/>
      <w:autoSpaceDN w:val="0"/>
      <w:adjustRightInd w:val="0"/>
      <w:snapToGrid w:val="0"/>
      <w:spacing w:after="0"/>
      <w:ind w:left="0" w:leftChars="0" w:firstLine="200" w:firstLineChars="200"/>
      <w:textAlignment w:val="baseline"/>
    </w:pPr>
  </w:style>
  <w:style w:type="paragraph" w:customStyle="1" w:styleId="1463">
    <w:name w:val="2标题(治)"/>
    <w:basedOn w:val="3"/>
    <w:qFormat/>
    <w:uiPriority w:val="0"/>
    <w:pPr>
      <w:tabs>
        <w:tab w:val="clear" w:pos="1287"/>
      </w:tabs>
      <w:spacing w:before="120" w:beforeAutospacing="0" w:after="0" w:afterAutospacing="0"/>
      <w:outlineLvl w:val="0"/>
    </w:pPr>
    <w:rPr>
      <w:sz w:val="32"/>
      <w:szCs w:val="32"/>
    </w:rPr>
  </w:style>
  <w:style w:type="paragraph" w:customStyle="1" w:styleId="1464">
    <w:name w:val="1章(治)"/>
    <w:basedOn w:val="1"/>
    <w:next w:val="1"/>
    <w:qFormat/>
    <w:uiPriority w:val="0"/>
    <w:pPr>
      <w:jc w:val="center"/>
      <w:outlineLvl w:val="0"/>
    </w:pPr>
    <w:rPr>
      <w:rFonts w:ascii="Times New Roman" w:hAnsi="Times New Roman" w:eastAsia="黑体"/>
      <w:b/>
      <w:sz w:val="44"/>
      <w:szCs w:val="20"/>
    </w:rPr>
  </w:style>
  <w:style w:type="paragraph" w:customStyle="1" w:styleId="1465">
    <w:name w:val="1文章"/>
    <w:basedOn w:val="1"/>
    <w:qFormat/>
    <w:uiPriority w:val="0"/>
    <w:pPr>
      <w:snapToGrid w:val="0"/>
      <w:ind w:firstLine="573"/>
    </w:pPr>
    <w:rPr>
      <w:rFonts w:ascii="Times New Roman" w:hAnsi="Times New Roman"/>
      <w:sz w:val="24"/>
      <w:szCs w:val="20"/>
    </w:rPr>
  </w:style>
  <w:style w:type="paragraph" w:customStyle="1" w:styleId="1466">
    <w:name w:val="a1"/>
    <w:basedOn w:val="1"/>
    <w:qFormat/>
    <w:uiPriority w:val="0"/>
    <w:pPr>
      <w:spacing w:beforeLines="50" w:afterLines="50"/>
      <w:jc w:val="left"/>
      <w:outlineLvl w:val="0"/>
    </w:pPr>
    <w:rPr>
      <w:rFonts w:ascii="黑体" w:hAnsi="宋体" w:eastAsia="黑体"/>
      <w:sz w:val="24"/>
      <w:szCs w:val="24"/>
    </w:rPr>
  </w:style>
  <w:style w:type="character" w:customStyle="1" w:styleId="1467">
    <w:name w:val="5文章(治) Char Char"/>
    <w:uiPriority w:val="0"/>
    <w:rPr>
      <w:color w:val="000000"/>
    </w:rPr>
  </w:style>
  <w:style w:type="paragraph" w:customStyle="1" w:styleId="1468">
    <w:name w:val="a4"/>
    <w:basedOn w:val="1"/>
    <w:qFormat/>
    <w:uiPriority w:val="0"/>
    <w:pPr>
      <w:suppressAutoHyphens/>
      <w:jc w:val="left"/>
      <w:outlineLvl w:val="3"/>
    </w:pPr>
    <w:rPr>
      <w:rFonts w:ascii="Times New Roman" w:hAnsi="Times New Roman"/>
      <w:b/>
      <w:kern w:val="24"/>
      <w:szCs w:val="24"/>
    </w:rPr>
  </w:style>
  <w:style w:type="paragraph" w:customStyle="1" w:styleId="1469">
    <w:name w:val="Title.3"/>
    <w:next w:val="1"/>
    <w:qFormat/>
    <w:uiPriority w:val="0"/>
    <w:pPr>
      <w:keepNext/>
      <w:keepLines/>
      <w:spacing w:before="156" w:after="156"/>
      <w:outlineLvl w:val="2"/>
    </w:pPr>
    <w:rPr>
      <w:rFonts w:ascii="Times New Roman" w:hAnsi="Times New Roman" w:eastAsia="宋体" w:cs="Times New Roman"/>
      <w:b/>
      <w:sz w:val="30"/>
      <w:lang w:val="en-US" w:eastAsia="zh-CN" w:bidi="ar-SA"/>
    </w:rPr>
  </w:style>
  <w:style w:type="paragraph" w:customStyle="1" w:styleId="1470">
    <w:name w:val="az"/>
    <w:basedOn w:val="1"/>
    <w:qFormat/>
    <w:uiPriority w:val="0"/>
    <w:pPr>
      <w:spacing w:line="240" w:lineRule="auto"/>
      <w:ind w:firstLine="480" w:firstLineChars="200"/>
    </w:pPr>
    <w:rPr>
      <w:rFonts w:ascii="Times New Roman" w:hAnsi="Times New Roman"/>
      <w:sz w:val="24"/>
      <w:szCs w:val="24"/>
    </w:rPr>
  </w:style>
  <w:style w:type="character" w:customStyle="1" w:styleId="1471">
    <w:name w:val="样式 小四3"/>
    <w:qFormat/>
    <w:uiPriority w:val="0"/>
  </w:style>
  <w:style w:type="paragraph" w:customStyle="1" w:styleId="1472">
    <w:name w:val="Title.4"/>
    <w:next w:val="1"/>
    <w:qFormat/>
    <w:uiPriority w:val="0"/>
    <w:pPr>
      <w:keepNext/>
      <w:keepLines/>
      <w:outlineLvl w:val="3"/>
    </w:pPr>
    <w:rPr>
      <w:rFonts w:ascii="Times New Roman" w:hAnsi="Times New Roman" w:eastAsia="宋体" w:cs="Times New Roman"/>
      <w:b/>
      <w:sz w:val="24"/>
      <w:lang w:val="en-US" w:eastAsia="zh-CN" w:bidi="ar-SA"/>
    </w:rPr>
  </w:style>
  <w:style w:type="paragraph" w:customStyle="1" w:styleId="1473">
    <w:name w:val="凯里"/>
    <w:basedOn w:val="151"/>
    <w:qFormat/>
    <w:uiPriority w:val="0"/>
    <w:pPr>
      <w:ind w:firstLine="200" w:firstLineChars="200"/>
    </w:pPr>
  </w:style>
  <w:style w:type="paragraph" w:customStyle="1" w:styleId="1474">
    <w:name w:val="凯里2"/>
    <w:basedOn w:val="151"/>
    <w:qFormat/>
    <w:uiPriority w:val="0"/>
    <w:pPr>
      <w:ind w:firstLine="480" w:firstLineChars="200"/>
    </w:pPr>
    <w:rPr>
      <w:rFonts w:eastAsia="Times New Roman"/>
    </w:rPr>
  </w:style>
  <w:style w:type="paragraph" w:customStyle="1" w:styleId="1475">
    <w:name w:val="Char Char Char4 Char Char Char Char"/>
    <w:basedOn w:val="1"/>
    <w:qFormat/>
    <w:uiPriority w:val="0"/>
    <w:pPr>
      <w:ind w:firstLine="200" w:firstLineChars="200"/>
    </w:pPr>
    <w:rPr>
      <w:rFonts w:ascii="宋体" w:hAnsi="宋体" w:cs="宋体"/>
      <w:sz w:val="24"/>
      <w:szCs w:val="24"/>
    </w:rPr>
  </w:style>
  <w:style w:type="character" w:customStyle="1" w:styleId="1476">
    <w:name w:val="search_content1"/>
    <w:qFormat/>
    <w:uiPriority w:val="0"/>
    <w:rPr>
      <w:sz w:val="20"/>
      <w:szCs w:val="20"/>
    </w:rPr>
  </w:style>
  <w:style w:type="paragraph" w:customStyle="1" w:styleId="1477">
    <w:name w:val="样式 标题 4款标题1.1.1.1标题 4 Char[三级节名]h4H4条 2[三级节名]1[三级节名]2四...2"/>
    <w:basedOn w:val="5"/>
    <w:qFormat/>
    <w:uiPriority w:val="0"/>
    <w:pPr>
      <w:tabs>
        <w:tab w:val="left" w:pos="0"/>
      </w:tabs>
      <w:spacing w:before="80" w:after="80" w:line="360" w:lineRule="auto"/>
    </w:pPr>
    <w:rPr>
      <w:rFonts w:ascii="Times New Roman" w:hAnsi="Times New Roman" w:eastAsia="楷体_GB2312" w:cs="宋体"/>
      <w:szCs w:val="20"/>
    </w:rPr>
  </w:style>
  <w:style w:type="paragraph" w:customStyle="1" w:styleId="1478">
    <w:name w:val="pvc1.1"/>
    <w:basedOn w:val="3"/>
    <w:next w:val="3"/>
    <w:semiHidden/>
    <w:qFormat/>
    <w:uiPriority w:val="0"/>
    <w:pPr>
      <w:tabs>
        <w:tab w:val="left" w:pos="576"/>
        <w:tab w:val="left" w:pos="768"/>
        <w:tab w:val="clear" w:pos="1287"/>
      </w:tabs>
      <w:adjustRightInd w:val="0"/>
      <w:spacing w:beforeLines="100" w:beforeAutospacing="0" w:afterLines="100" w:afterAutospacing="0" w:line="324" w:lineRule="auto"/>
      <w:ind w:left="576" w:hanging="576"/>
    </w:pPr>
    <w:rPr>
      <w:rFonts w:ascii="黑体" w:hAnsi="Arial" w:eastAsia="华文中宋" w:cs="宋体"/>
      <w:b w:val="0"/>
      <w:bCs w:val="0"/>
      <w:sz w:val="44"/>
      <w:szCs w:val="44"/>
    </w:rPr>
  </w:style>
  <w:style w:type="paragraph" w:customStyle="1" w:styleId="1479">
    <w:name w:val="样式 标题 4款标题1.1.1.1标题 4 Char[三级节名]h4H4条 2[三级节名]1[三级节名]2四...3"/>
    <w:basedOn w:val="5"/>
    <w:qFormat/>
    <w:uiPriority w:val="0"/>
    <w:pPr>
      <w:tabs>
        <w:tab w:val="left" w:pos="0"/>
      </w:tabs>
      <w:spacing w:before="80" w:after="80" w:line="360" w:lineRule="auto"/>
    </w:pPr>
    <w:rPr>
      <w:rFonts w:ascii="Times New Roman" w:hAnsi="Times New Roman" w:eastAsia="楷体_GB2312" w:cs="宋体"/>
      <w:szCs w:val="20"/>
    </w:rPr>
  </w:style>
  <w:style w:type="paragraph" w:customStyle="1" w:styleId="1480">
    <w:name w:val="Char Char Char Char3"/>
    <w:basedOn w:val="26"/>
    <w:qFormat/>
    <w:uiPriority w:val="0"/>
    <w:pPr>
      <w:shd w:val="clear" w:color="auto" w:fill="000080"/>
      <w:adjustRightInd w:val="0"/>
      <w:spacing w:line="436" w:lineRule="exact"/>
      <w:ind w:left="357"/>
      <w:jc w:val="left"/>
      <w:outlineLvl w:val="3"/>
    </w:pPr>
    <w:rPr>
      <w:rFonts w:ascii="Times New Roman" w:hAnsi="Times New Roman"/>
      <w:sz w:val="21"/>
      <w:szCs w:val="24"/>
    </w:rPr>
  </w:style>
  <w:style w:type="paragraph" w:customStyle="1" w:styleId="1481">
    <w:name w:val="p0"/>
    <w:basedOn w:val="1"/>
    <w:uiPriority w:val="0"/>
    <w:pPr>
      <w:widowControl/>
      <w:ind w:firstLine="420"/>
    </w:pPr>
    <w:rPr>
      <w:rFonts w:ascii="宋体" w:hAnsi="宋体" w:cs="宋体"/>
      <w:kern w:val="0"/>
      <w:sz w:val="24"/>
      <w:szCs w:val="24"/>
    </w:rPr>
  </w:style>
  <w:style w:type="paragraph" w:customStyle="1" w:styleId="1482">
    <w:name w:val="a标准 Char"/>
    <w:qFormat/>
    <w:uiPriority w:val="0"/>
    <w:pPr>
      <w:spacing w:line="360" w:lineRule="auto"/>
      <w:ind w:firstLine="200" w:firstLineChars="200"/>
    </w:pPr>
    <w:rPr>
      <w:rFonts w:ascii="Times New Roman" w:hAnsi="Times New Roman" w:eastAsia="宋体" w:cs="Times New Roman"/>
      <w:sz w:val="24"/>
      <w:szCs w:val="40"/>
      <w:lang w:val="en-US" w:eastAsia="zh-CN" w:bidi="ar-SA"/>
    </w:rPr>
  </w:style>
  <w:style w:type="character" w:customStyle="1" w:styleId="1483">
    <w:name w:val="1表格 Char"/>
    <w:link w:val="1484"/>
    <w:qFormat/>
    <w:uiPriority w:val="0"/>
    <w:rPr>
      <w:rFonts w:eastAsia="仿宋_GB2312"/>
    </w:rPr>
  </w:style>
  <w:style w:type="paragraph" w:customStyle="1" w:styleId="1484">
    <w:name w:val="1表格"/>
    <w:basedOn w:val="1"/>
    <w:link w:val="1483"/>
    <w:qFormat/>
    <w:uiPriority w:val="0"/>
    <w:pPr>
      <w:snapToGrid w:val="0"/>
      <w:spacing w:line="160" w:lineRule="atLeast"/>
      <w:jc w:val="center"/>
    </w:pPr>
    <w:rPr>
      <w:rFonts w:eastAsia="仿宋_GB2312" w:asciiTheme="minorHAnsi" w:hAnsiTheme="minorHAnsi" w:cstheme="minorBidi"/>
      <w:sz w:val="21"/>
    </w:rPr>
  </w:style>
  <w:style w:type="table" w:customStyle="1" w:styleId="1485">
    <w:name w:val="网格型12"/>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486">
    <w:name w:val="网格型1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87">
    <w:name w:val="style61"/>
    <w:qFormat/>
    <w:uiPriority w:val="0"/>
    <w:rPr>
      <w:sz w:val="36"/>
      <w:szCs w:val="36"/>
    </w:rPr>
  </w:style>
  <w:style w:type="paragraph" w:customStyle="1" w:styleId="1488">
    <w:name w:val="pic-info"/>
    <w:basedOn w:val="1"/>
    <w:uiPriority w:val="0"/>
    <w:pPr>
      <w:widowControl/>
      <w:spacing w:before="100" w:beforeAutospacing="1" w:after="100" w:afterAutospacing="1" w:line="240" w:lineRule="auto"/>
      <w:jc w:val="left"/>
    </w:pPr>
    <w:rPr>
      <w:rFonts w:ascii="宋体" w:hAnsi="宋体" w:cs="宋体"/>
      <w:kern w:val="0"/>
      <w:sz w:val="24"/>
      <w:szCs w:val="24"/>
    </w:rPr>
  </w:style>
  <w:style w:type="table" w:customStyle="1" w:styleId="1489">
    <w:name w:val="网格型14"/>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90">
    <w:name w:val="网格型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91">
    <w:name w:val="网格型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92">
    <w:name w:val="网格型4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93">
    <w:name w:val="网格型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94">
    <w:name w:val="表格主题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95">
    <w:name w:val="网格型 1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1496">
    <w:name w:val="Char Char Char Char Char Char Char3"/>
    <w:basedOn w:val="1"/>
    <w:qFormat/>
    <w:uiPriority w:val="0"/>
    <w:pPr>
      <w:spacing w:line="240" w:lineRule="auto"/>
    </w:pPr>
    <w:rPr>
      <w:rFonts w:ascii="Times New Roman" w:hAnsi="Times New Roman"/>
      <w:sz w:val="21"/>
      <w:szCs w:val="20"/>
    </w:rPr>
  </w:style>
  <w:style w:type="paragraph" w:customStyle="1" w:styleId="1497">
    <w:name w:val="ordinary-output"/>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character" w:customStyle="1" w:styleId="1498">
    <w:name w:val="apple-converted-space"/>
    <w:qFormat/>
    <w:uiPriority w:val="0"/>
  </w:style>
  <w:style w:type="table" w:customStyle="1" w:styleId="1499">
    <w:name w:val="网格型1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00">
    <w:name w:val="网格型1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01">
    <w:name w:val="网格型17"/>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02">
    <w:name w:val="网格型18"/>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03">
    <w:name w:val="网格型19"/>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04">
    <w:name w:val="网格型20"/>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505">
    <w:name w:val="Char Char Char Char Char Char Char Char Char Char Char Char Char Char Char Char Char Char1 Char Char Char Char Char Char Char"/>
    <w:basedOn w:val="1"/>
    <w:qFormat/>
    <w:uiPriority w:val="0"/>
    <w:pPr>
      <w:spacing w:line="240" w:lineRule="auto"/>
    </w:pPr>
    <w:rPr>
      <w:rFonts w:ascii="Times New Roman" w:hAnsi="Times New Roman"/>
      <w:sz w:val="21"/>
      <w:szCs w:val="24"/>
    </w:rPr>
  </w:style>
  <w:style w:type="character" w:customStyle="1" w:styleId="1506">
    <w:name w:val="0 Char Char"/>
    <w:link w:val="1095"/>
    <w:qFormat/>
    <w:uiPriority w:val="0"/>
    <w:rPr>
      <w:rFonts w:ascii="Times New Roman" w:hAnsi="Times New Roman" w:eastAsia="宋体" w:cs="Times New Roman"/>
      <w:kern w:val="0"/>
      <w:szCs w:val="21"/>
    </w:rPr>
  </w:style>
  <w:style w:type="paragraph" w:customStyle="1" w:styleId="1507">
    <w:name w:val="content"/>
    <w:basedOn w:val="1"/>
    <w:qFormat/>
    <w:uiPriority w:val="0"/>
    <w:pPr>
      <w:widowControl/>
      <w:spacing w:line="240" w:lineRule="auto"/>
      <w:jc w:val="left"/>
    </w:pPr>
    <w:rPr>
      <w:rFonts w:ascii="宋体" w:hAnsi="宋体" w:cs="宋体"/>
      <w:kern w:val="0"/>
      <w:sz w:val="24"/>
      <w:szCs w:val="24"/>
    </w:rPr>
  </w:style>
  <w:style w:type="character" w:customStyle="1" w:styleId="1508">
    <w:name w:val="text_edit"/>
    <w:qFormat/>
    <w:uiPriority w:val="0"/>
  </w:style>
  <w:style w:type="character" w:customStyle="1" w:styleId="1509">
    <w:name w:val="headline-content"/>
    <w:uiPriority w:val="0"/>
  </w:style>
  <w:style w:type="character" w:customStyle="1" w:styleId="1510">
    <w:name w:val="1.1 Char Char"/>
    <w:link w:val="1511"/>
    <w:qFormat/>
    <w:uiPriority w:val="0"/>
    <w:rPr>
      <w:rFonts w:ascii="黑体" w:hAnsi="宋体" w:eastAsia="黑体"/>
      <w:b/>
      <w:color w:val="000000"/>
      <w:spacing w:val="14"/>
      <w:sz w:val="28"/>
      <w:szCs w:val="28"/>
    </w:rPr>
  </w:style>
  <w:style w:type="paragraph" w:customStyle="1" w:styleId="1511">
    <w:name w:val="1.1"/>
    <w:basedOn w:val="1"/>
    <w:link w:val="1510"/>
    <w:qFormat/>
    <w:uiPriority w:val="0"/>
    <w:pPr>
      <w:adjustRightInd w:val="0"/>
      <w:snapToGrid w:val="0"/>
      <w:spacing w:line="520" w:lineRule="atLeast"/>
      <w:outlineLvl w:val="1"/>
    </w:pPr>
    <w:rPr>
      <w:rFonts w:ascii="黑体" w:hAnsi="宋体" w:eastAsia="黑体" w:cstheme="minorBidi"/>
      <w:b/>
      <w:color w:val="000000"/>
      <w:spacing w:val="14"/>
      <w:szCs w:val="28"/>
    </w:rPr>
  </w:style>
  <w:style w:type="paragraph" w:customStyle="1" w:styleId="1512">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513">
    <w:name w:val="图头"/>
    <w:basedOn w:val="1"/>
    <w:qFormat/>
    <w:uiPriority w:val="0"/>
    <w:pPr>
      <w:spacing w:after="156" w:afterLines="50" w:line="240" w:lineRule="auto"/>
      <w:jc w:val="center"/>
    </w:pPr>
    <w:rPr>
      <w:rFonts w:ascii="Times New Roman" w:hAnsi="Times New Roman"/>
      <w:b/>
      <w:sz w:val="21"/>
      <w:szCs w:val="21"/>
    </w:rPr>
  </w:style>
  <w:style w:type="character" w:customStyle="1" w:styleId="1514">
    <w:name w:val="1.1.1 Char Char"/>
    <w:link w:val="996"/>
    <w:qFormat/>
    <w:uiPriority w:val="0"/>
    <w:rPr>
      <w:rFonts w:ascii="宋体" w:hAnsi="Times New Roman" w:eastAsia="宋体" w:cs="Times New Roman"/>
      <w:b/>
      <w:spacing w:val="4"/>
      <w:kern w:val="0"/>
      <w:sz w:val="24"/>
      <w:szCs w:val="20"/>
    </w:rPr>
  </w:style>
  <w:style w:type="paragraph" w:customStyle="1" w:styleId="1515">
    <w:name w:val="表（杨）"/>
    <w:basedOn w:val="1"/>
    <w:qFormat/>
    <w:uiPriority w:val="0"/>
    <w:pPr>
      <w:overflowPunct w:val="0"/>
      <w:autoSpaceDE w:val="0"/>
      <w:autoSpaceDN w:val="0"/>
      <w:spacing w:line="240" w:lineRule="auto"/>
      <w:jc w:val="center"/>
    </w:pPr>
    <w:rPr>
      <w:rFonts w:ascii="宋体" w:hAnsi="宋体"/>
      <w:kern w:val="0"/>
      <w:sz w:val="21"/>
      <w:szCs w:val="24"/>
    </w:rPr>
  </w:style>
  <w:style w:type="character" w:customStyle="1" w:styleId="1516">
    <w:name w:val="纯文本 Char3"/>
    <w:link w:val="416"/>
    <w:uiPriority w:val="0"/>
    <w:rPr>
      <w:rFonts w:ascii="宋体" w:hAnsi="Times New Roman" w:eastAsia="宋体" w:cs="Times New Roman"/>
      <w:kern w:val="0"/>
      <w:szCs w:val="20"/>
    </w:rPr>
  </w:style>
  <w:style w:type="table" w:customStyle="1" w:styleId="1517">
    <w:name w:val="网格型23"/>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18">
    <w:name w:val="表格 Char Char Char Char"/>
    <w:qFormat/>
    <w:uiPriority w:val="0"/>
    <w:rPr>
      <w:rFonts w:eastAsia="宋体" w:cs="Courier New"/>
      <w:szCs w:val="21"/>
    </w:rPr>
  </w:style>
  <w:style w:type="table" w:customStyle="1" w:styleId="1519">
    <w:name w:val="网格型171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0">
    <w:name w:val="网格型171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1">
    <w:name w:val="网格型171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2">
    <w:name w:val="网格型1717"/>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3">
    <w:name w:val="网格型1718"/>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4">
    <w:name w:val="网格型1719"/>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5">
    <w:name w:val="网格型17110"/>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6">
    <w:name w:val="网格型171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7">
    <w:name w:val="网格型171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8">
    <w:name w:val="网格型1711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29">
    <w:name w:val="网格型1711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0">
    <w:name w:val="网格型1711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1">
    <w:name w:val="网格型1711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2">
    <w:name w:val="网格型17117"/>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3">
    <w:name w:val="网格型17118"/>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4">
    <w:name w:val="网格型17119"/>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5">
    <w:name w:val="网格型17120"/>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6">
    <w:name w:val="网格型171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7">
    <w:name w:val="网格型171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8">
    <w:name w:val="网格型1712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39">
    <w:name w:val="网格型1712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0">
    <w:name w:val="网格型1712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1">
    <w:name w:val="网格型1712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2">
    <w:name w:val="网格型17127"/>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3">
    <w:name w:val="网格型17128"/>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4">
    <w:name w:val="网格型17129"/>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5">
    <w:name w:val="网格型17130"/>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6">
    <w:name w:val="网格型171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7">
    <w:name w:val="网格型171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8">
    <w:name w:val="网格型1713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49">
    <w:name w:val="网格型1713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50">
    <w:name w:val="网格型1713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51">
    <w:name w:val="网格型1713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52">
    <w:name w:val="font71"/>
    <w:qFormat/>
    <w:uiPriority w:val="0"/>
    <w:rPr>
      <w:rFonts w:hint="eastAsia" w:ascii="宋体" w:hAnsi="宋体" w:eastAsia="宋体" w:cs="宋体"/>
      <w:b/>
      <w:color w:val="000000"/>
      <w:sz w:val="21"/>
      <w:szCs w:val="21"/>
    </w:rPr>
  </w:style>
  <w:style w:type="character" w:customStyle="1" w:styleId="1553">
    <w:name w:val="font91"/>
    <w:qFormat/>
    <w:uiPriority w:val="0"/>
    <w:rPr>
      <w:rFonts w:hint="eastAsia" w:ascii="宋体" w:hAnsi="宋体" w:eastAsia="宋体" w:cs="宋体"/>
      <w:color w:val="000000"/>
      <w:sz w:val="21"/>
      <w:szCs w:val="21"/>
    </w:rPr>
  </w:style>
  <w:style w:type="character" w:customStyle="1" w:styleId="1554">
    <w:name w:val="font41"/>
    <w:uiPriority w:val="0"/>
    <w:rPr>
      <w:rFonts w:hint="eastAsia" w:ascii="Times New Roman" w:hAnsi="Times New Roman" w:cs="Times New Roman"/>
      <w:color w:val="000000"/>
      <w:sz w:val="21"/>
      <w:szCs w:val="21"/>
    </w:rPr>
  </w:style>
  <w:style w:type="character" w:customStyle="1" w:styleId="1555">
    <w:name w:val="lemmatitleh1"/>
    <w:uiPriority w:val="0"/>
  </w:style>
  <w:style w:type="paragraph" w:customStyle="1" w:styleId="1556">
    <w:name w:val="Char Char Char1 Char2"/>
    <w:basedOn w:val="1"/>
    <w:uiPriority w:val="0"/>
    <w:pPr>
      <w:spacing w:line="240" w:lineRule="auto"/>
    </w:pPr>
    <w:rPr>
      <w:rFonts w:ascii="Times New Roman" w:hAnsi="Times New Roman"/>
      <w:sz w:val="24"/>
      <w:szCs w:val="24"/>
    </w:rPr>
  </w:style>
  <w:style w:type="table" w:customStyle="1" w:styleId="1557">
    <w:name w:val="网格型24"/>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58">
    <w:name w:val="font31"/>
    <w:qFormat/>
    <w:uiPriority w:val="0"/>
    <w:rPr>
      <w:rFonts w:hint="eastAsia" w:ascii="Times New Roman" w:hAnsi="Times New Roman" w:cs="Times New Roman"/>
      <w:b/>
      <w:color w:val="000000"/>
      <w:sz w:val="21"/>
      <w:szCs w:val="21"/>
    </w:rPr>
  </w:style>
  <w:style w:type="table" w:customStyle="1" w:styleId="1559">
    <w:name w:val="网格型25"/>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0">
    <w:name w:val="网格型110"/>
    <w:basedOn w:val="90"/>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1">
    <w:name w:val="网格型2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2">
    <w:name w:val="网格型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3">
    <w:name w:val="网格型4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4">
    <w:name w:val="网格型5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5">
    <w:name w:val="表格主题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6">
    <w:name w:val="网格型 13"/>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567">
    <w:name w:val="专业网格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8">
    <w:name w:val="网格型6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69">
    <w:name w:val="网格型7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0">
    <w:name w:val="网格型8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1">
    <w:name w:val="网格型9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2">
    <w:name w:val="网格型10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3">
    <w:name w:val="专业网格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4">
    <w:name w:val="网格型 51"/>
    <w:basedOn w:val="90"/>
    <w:semiHidden/>
    <w:qFormat/>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575">
    <w:name w:val="表格主题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6">
    <w:name w:val="简明型 11"/>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577">
    <w:name w:val="网格型11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78">
    <w:name w:val="典雅型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1579">
    <w:name w:val="网格型 71"/>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580">
    <w:name w:val="网格型 11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581">
    <w:name w:val="8表格格式1"/>
    <w:basedOn w:val="90"/>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1582">
    <w:name w:val="专业型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583">
    <w:name w:val="网格型21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84">
    <w:name w:val="网格型121"/>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585">
    <w:name w:val="网格型1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86">
    <w:name w:val="网格型14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87">
    <w:name w:val="网格型2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88">
    <w:name w:val="网格型3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89">
    <w:name w:val="网格型4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0">
    <w:name w:val="网格型51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1">
    <w:name w:val="表格主题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2">
    <w:name w:val="网格型 12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593">
    <w:name w:val="网格型1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4">
    <w:name w:val="网格型16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5">
    <w:name w:val="网格型17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6">
    <w:name w:val="网格型18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7">
    <w:name w:val="网格型19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8">
    <w:name w:val="网格型20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599">
    <w:name w:val="网格型23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0">
    <w:name w:val="网格型171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1">
    <w:name w:val="网格型171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2">
    <w:name w:val="网格型1716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3">
    <w:name w:val="网格型1717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4">
    <w:name w:val="网格型1718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5">
    <w:name w:val="网格型1719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6">
    <w:name w:val="网格型17110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7">
    <w:name w:val="网格型1711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8">
    <w:name w:val="网格型1711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09">
    <w:name w:val="网格型1711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0">
    <w:name w:val="网格型1711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1">
    <w:name w:val="网格型1711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2">
    <w:name w:val="网格型17116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3">
    <w:name w:val="网格型17117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4">
    <w:name w:val="网格型17118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5">
    <w:name w:val="网格型17119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6">
    <w:name w:val="网格型17120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7">
    <w:name w:val="网格型1712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8">
    <w:name w:val="网格型1712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19">
    <w:name w:val="网格型1712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0">
    <w:name w:val="网格型1712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1">
    <w:name w:val="网格型1712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2">
    <w:name w:val="网格型17126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3">
    <w:name w:val="网格型17127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4">
    <w:name w:val="网格型17128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5">
    <w:name w:val="网格型17129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6">
    <w:name w:val="网格型17130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7">
    <w:name w:val="网格型1713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8">
    <w:name w:val="网格型1713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29">
    <w:name w:val="网格型1713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0">
    <w:name w:val="网格型1713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1">
    <w:name w:val="网格型1713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2">
    <w:name w:val="网格型17136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3">
    <w:name w:val="网格型24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4">
    <w:name w:val="网格型27"/>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5">
    <w:name w:val="网格型11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6">
    <w:name w:val="网格型28"/>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7">
    <w:name w:val="网格型3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8">
    <w:name w:val="网格型4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39">
    <w:name w:val="网格型5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0">
    <w:name w:val="表格主题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1">
    <w:name w:val="网格型 14"/>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642">
    <w:name w:val="专业网格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3">
    <w:name w:val="网格型6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4">
    <w:name w:val="网格型7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5">
    <w:name w:val="网格型8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6">
    <w:name w:val="网格型9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7">
    <w:name w:val="网格型10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8">
    <w:name w:val="专业网格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49">
    <w:name w:val="网格型 52"/>
    <w:basedOn w:val="90"/>
    <w:semiHidden/>
    <w:qFormat/>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650">
    <w:name w:val="表格主题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51">
    <w:name w:val="简明型 12"/>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652">
    <w:name w:val="网格型113"/>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53">
    <w:name w:val="典雅型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1654">
    <w:name w:val="网格型 72"/>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655">
    <w:name w:val="网格型 11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656">
    <w:name w:val="8表格格式2"/>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1657">
    <w:name w:val="专业型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658">
    <w:name w:val="网格型21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59">
    <w:name w:val="网格型122"/>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660">
    <w:name w:val="网格型1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1">
    <w:name w:val="网格型142"/>
    <w:basedOn w:val="90"/>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2">
    <w:name w:val="网格型2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3">
    <w:name w:val="网格型31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4">
    <w:name w:val="网格型41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5">
    <w:name w:val="网格型5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6">
    <w:name w:val="表格主题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7">
    <w:name w:val="网格型 12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668">
    <w:name w:val="网格型15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9">
    <w:name w:val="网格型16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0">
    <w:name w:val="网格型17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1">
    <w:name w:val="网格型18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2">
    <w:name w:val="网格型19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3">
    <w:name w:val="网格型20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4">
    <w:name w:val="网格型232"/>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5">
    <w:name w:val="网格型171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6">
    <w:name w:val="网格型1715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7">
    <w:name w:val="网格型1716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8">
    <w:name w:val="网格型1717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9">
    <w:name w:val="网格型1718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0">
    <w:name w:val="网格型1719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1">
    <w:name w:val="网格型17110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2">
    <w:name w:val="网格型1711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3">
    <w:name w:val="网格型1711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4">
    <w:name w:val="网格型1711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5">
    <w:name w:val="网格型1711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6">
    <w:name w:val="网格型17115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7">
    <w:name w:val="网格型17116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8">
    <w:name w:val="网格型17117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9">
    <w:name w:val="网格型17118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0">
    <w:name w:val="网格型17119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1">
    <w:name w:val="网格型17120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2">
    <w:name w:val="网格型1712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3">
    <w:name w:val="网格型1712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4">
    <w:name w:val="网格型1712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5">
    <w:name w:val="网格型1712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6">
    <w:name w:val="网格型17125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7">
    <w:name w:val="网格型17126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8">
    <w:name w:val="网格型17127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99">
    <w:name w:val="网格型17128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0">
    <w:name w:val="网格型17129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1">
    <w:name w:val="网格型17130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2">
    <w:name w:val="网格型1713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3">
    <w:name w:val="网格型1713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4">
    <w:name w:val="网格型1713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5">
    <w:name w:val="网格型1713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6">
    <w:name w:val="网格型17135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7">
    <w:name w:val="网格型17136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8">
    <w:name w:val="网格型242"/>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09">
    <w:name w:val="网格型29"/>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0">
    <w:name w:val="网格型114"/>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1">
    <w:name w:val="网格型210"/>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2">
    <w:name w:val="网格型34"/>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3">
    <w:name w:val="网格型44"/>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4">
    <w:name w:val="网格型54"/>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5">
    <w:name w:val="表格主题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6">
    <w:name w:val="网格型 15"/>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717">
    <w:name w:val="专业网格1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8">
    <w:name w:val="网格型6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19">
    <w:name w:val="网格型7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0">
    <w:name w:val="网格型8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1">
    <w:name w:val="网格型9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2">
    <w:name w:val="网格型10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3">
    <w:name w:val="专业网格2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4">
    <w:name w:val="网格型 53"/>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725">
    <w:name w:val="表格主题1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6">
    <w:name w:val="简明型 13"/>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727">
    <w:name w:val="网格型115"/>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28">
    <w:name w:val="典雅型3"/>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1729">
    <w:name w:val="网格型 73"/>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730">
    <w:name w:val="网格型 113"/>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731">
    <w:name w:val="8表格格式3"/>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1732">
    <w:name w:val="专业型3"/>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733">
    <w:name w:val="网格型213"/>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34">
    <w:name w:val="网格型123"/>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735">
    <w:name w:val="网格型13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36">
    <w:name w:val="网格型143"/>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37">
    <w:name w:val="网格型22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38">
    <w:name w:val="网格型31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39">
    <w:name w:val="网格型41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0">
    <w:name w:val="网格型51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1">
    <w:name w:val="表格主题2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2">
    <w:name w:val="网格型 123"/>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743">
    <w:name w:val="网格型15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4">
    <w:name w:val="网格型163"/>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5">
    <w:name w:val="网格型17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6">
    <w:name w:val="网格型18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7">
    <w:name w:val="网格型19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8">
    <w:name w:val="网格型203"/>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49">
    <w:name w:val="网格型233"/>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0">
    <w:name w:val="网格型1714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1">
    <w:name w:val="网格型1715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2">
    <w:name w:val="网格型1716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3">
    <w:name w:val="网格型1717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4">
    <w:name w:val="网格型1718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5">
    <w:name w:val="网格型1719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6">
    <w:name w:val="网格型17110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7">
    <w:name w:val="网格型17111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8">
    <w:name w:val="网格型17112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59">
    <w:name w:val="网格型17113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0">
    <w:name w:val="网格型17114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1">
    <w:name w:val="网格型17115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2">
    <w:name w:val="网格型17116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3">
    <w:name w:val="网格型17117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4">
    <w:name w:val="网格型17118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5">
    <w:name w:val="网格型17119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6">
    <w:name w:val="网格型17120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7">
    <w:name w:val="网格型17121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8">
    <w:name w:val="网格型17122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69">
    <w:name w:val="网格型17123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0">
    <w:name w:val="网格型17124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1">
    <w:name w:val="网格型17125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2">
    <w:name w:val="网格型17126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3">
    <w:name w:val="网格型17127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4">
    <w:name w:val="网格型17128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5">
    <w:name w:val="网格型17129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6">
    <w:name w:val="网格型17130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7">
    <w:name w:val="网格型17131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8">
    <w:name w:val="网格型17132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79">
    <w:name w:val="网格型17133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80">
    <w:name w:val="网格型17134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81">
    <w:name w:val="网格型171353"/>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82">
    <w:name w:val="网格型171363"/>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83">
    <w:name w:val="网格型243"/>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84">
    <w:name w:val="占位符文本1"/>
    <w:qFormat/>
    <w:uiPriority w:val="99"/>
    <w:rPr>
      <w:color w:val="808080"/>
    </w:rPr>
  </w:style>
  <w:style w:type="character" w:customStyle="1" w:styleId="1785">
    <w:name w:val="明显强调11"/>
    <w:qFormat/>
    <w:uiPriority w:val="0"/>
    <w:rPr>
      <w:b/>
      <w:bCs/>
      <w:i/>
      <w:iCs/>
      <w:color w:val="4F81BD"/>
    </w:rPr>
  </w:style>
  <w:style w:type="paragraph" w:customStyle="1" w:styleId="1786">
    <w:name w:val="z-窗体顶端11"/>
    <w:basedOn w:val="1"/>
    <w:next w:val="1"/>
    <w:qFormat/>
    <w:uiPriority w:val="0"/>
    <w:pPr>
      <w:widowControl/>
      <w:pBdr>
        <w:bottom w:val="single" w:color="auto" w:sz="6" w:space="1"/>
      </w:pBdr>
      <w:spacing w:line="480" w:lineRule="exact"/>
      <w:jc w:val="center"/>
    </w:pPr>
    <w:rPr>
      <w:rFonts w:ascii="Arial" w:hAnsi="Arial" w:cs="Arial"/>
      <w:vanish/>
      <w:kern w:val="0"/>
      <w:sz w:val="16"/>
      <w:szCs w:val="16"/>
    </w:rPr>
  </w:style>
  <w:style w:type="paragraph" w:customStyle="1" w:styleId="1787">
    <w:name w:val="z-窗体底端11"/>
    <w:basedOn w:val="1"/>
    <w:next w:val="1"/>
    <w:qFormat/>
    <w:uiPriority w:val="0"/>
    <w:pPr>
      <w:widowControl/>
      <w:pBdr>
        <w:top w:val="single" w:color="auto" w:sz="6" w:space="1"/>
      </w:pBdr>
      <w:spacing w:line="480" w:lineRule="exact"/>
      <w:jc w:val="center"/>
    </w:pPr>
    <w:rPr>
      <w:rFonts w:ascii="Arial" w:hAnsi="Arial" w:cs="Arial"/>
      <w:vanish/>
      <w:kern w:val="0"/>
      <w:sz w:val="16"/>
      <w:szCs w:val="16"/>
    </w:rPr>
  </w:style>
  <w:style w:type="paragraph" w:customStyle="1" w:styleId="1788">
    <w:name w:val="修订11"/>
    <w:qFormat/>
    <w:uiPriority w:val="0"/>
    <w:rPr>
      <w:rFonts w:ascii="Times New Roman" w:hAnsi="Times New Roman" w:eastAsia="宋体" w:cs="Times New Roman"/>
      <w:kern w:val="2"/>
      <w:sz w:val="21"/>
      <w:szCs w:val="24"/>
      <w:lang w:val="en-US" w:eastAsia="zh-CN" w:bidi="ar-SA"/>
    </w:rPr>
  </w:style>
  <w:style w:type="paragraph" w:customStyle="1" w:styleId="1789">
    <w:name w:val="列出段落1"/>
    <w:basedOn w:val="1"/>
    <w:qFormat/>
    <w:uiPriority w:val="34"/>
    <w:pPr>
      <w:spacing w:line="240" w:lineRule="auto"/>
      <w:ind w:firstLine="420" w:firstLineChars="200"/>
    </w:pPr>
    <w:rPr>
      <w:sz w:val="21"/>
    </w:rPr>
  </w:style>
  <w:style w:type="paragraph" w:customStyle="1" w:styleId="1790">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table" w:customStyle="1" w:styleId="1791">
    <w:name w:val="网格型30"/>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92">
    <w:name w:val="表格主题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793">
    <w:name w:val="典雅型4"/>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StylePr>
  </w:style>
  <w:style w:type="table" w:customStyle="1" w:styleId="1794">
    <w:name w:val="简明型 14"/>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95">
    <w:name w:val="网格型 16"/>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96">
    <w:name w:val="网格型 54"/>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97">
    <w:name w:val="网格型 74"/>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98">
    <w:name w:val="专业型4"/>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799">
    <w:name w:val="网格型171324"/>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0">
    <w:name w:val="网格型17133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1">
    <w:name w:val="网格型171254"/>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2">
    <w:name w:val="网格型17134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3">
    <w:name w:val="网格型17135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4">
    <w:name w:val="网格型171274"/>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5">
    <w:name w:val="网格型116"/>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6">
    <w:name w:val="网格型214"/>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7">
    <w:name w:val="网格型35"/>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8">
    <w:name w:val="网格型4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09">
    <w:name w:val="网格型5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0">
    <w:name w:val="专业网格14"/>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1">
    <w:name w:val="网格型6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2">
    <w:name w:val="网格型74"/>
    <w:basedOn w:val="90"/>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3">
    <w:name w:val="网格型8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4">
    <w:name w:val="网格型9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5">
    <w:name w:val="网格型104"/>
    <w:basedOn w:val="90"/>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6">
    <w:name w:val="专业网格2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7">
    <w:name w:val="表格主题14"/>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8">
    <w:name w:val="网格型117"/>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19">
    <w:name w:val="网格型 114"/>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20">
    <w:name w:val="8表格格式4"/>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1821">
    <w:name w:val="网格型215"/>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2">
    <w:name w:val="网格型124"/>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823">
    <w:name w:val="网格型134"/>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4">
    <w:name w:val="网格型144"/>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5">
    <w:name w:val="网格型224"/>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6">
    <w:name w:val="网格型314"/>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7">
    <w:name w:val="网格型414"/>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8">
    <w:name w:val="网格型514"/>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29">
    <w:name w:val="表格主题2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0">
    <w:name w:val="网格型 124"/>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31">
    <w:name w:val="网格型15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2">
    <w:name w:val="网格型16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3">
    <w:name w:val="网格型17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4">
    <w:name w:val="网格型18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5">
    <w:name w:val="网格型19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6">
    <w:name w:val="网格型204"/>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7">
    <w:name w:val="网格型234"/>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8">
    <w:name w:val="网格型1714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39">
    <w:name w:val="网格型1715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0">
    <w:name w:val="网格型1716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1">
    <w:name w:val="网格型1717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2">
    <w:name w:val="网格型1718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3">
    <w:name w:val="网格型1719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4">
    <w:name w:val="网格型17110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5">
    <w:name w:val="网格型17111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6">
    <w:name w:val="网格型17112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7">
    <w:name w:val="网格型17113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8">
    <w:name w:val="网格型17114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49">
    <w:name w:val="网格型17115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0">
    <w:name w:val="网格型17116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1">
    <w:name w:val="网格型17117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2">
    <w:name w:val="网格型17118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3">
    <w:name w:val="网格型17119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4">
    <w:name w:val="网格型17120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5">
    <w:name w:val="网格型17121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6">
    <w:name w:val="网格型17122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7">
    <w:name w:val="网格型17123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8">
    <w:name w:val="网格型17124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9">
    <w:name w:val="网格型17126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60">
    <w:name w:val="网格型17128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61">
    <w:name w:val="网格型17129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62">
    <w:name w:val="网格型17130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63">
    <w:name w:val="网格型17131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64">
    <w:name w:val="网格型171364"/>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65">
    <w:name w:val="网格型244"/>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866">
    <w:name w:val="Char Char Char Char Char Char Char Char Char Char Char Char Char Char Char Char Char Char1 Char Char Char Char Char Char Char1"/>
    <w:basedOn w:val="1"/>
    <w:qFormat/>
    <w:uiPriority w:val="0"/>
    <w:pPr>
      <w:spacing w:line="240" w:lineRule="auto"/>
    </w:pPr>
    <w:rPr>
      <w:rFonts w:ascii="Times New Roman" w:hAnsi="Times New Roman"/>
      <w:sz w:val="21"/>
      <w:szCs w:val="24"/>
    </w:rPr>
  </w:style>
  <w:style w:type="character" w:customStyle="1" w:styleId="1867">
    <w:name w:val="使用0713 Char Char"/>
    <w:qFormat/>
    <w:uiPriority w:val="0"/>
    <w:rPr>
      <w:rFonts w:eastAsia="宋体" w:cs="宋体"/>
      <w:kern w:val="2"/>
      <w:sz w:val="24"/>
      <w:szCs w:val="24"/>
      <w:lang w:val="en-US" w:eastAsia="zh-CN" w:bidi="ar-SA"/>
    </w:rPr>
  </w:style>
  <w:style w:type="character" w:customStyle="1" w:styleId="1868">
    <w:name w:val="脚注文本 Char1"/>
    <w:semiHidden/>
    <w:qFormat/>
    <w:uiPriority w:val="99"/>
    <w:rPr>
      <w:rFonts w:ascii="Times New Roman" w:hAnsi="Times New Roman" w:eastAsia="宋体" w:cs="Times New Roman"/>
      <w:sz w:val="18"/>
      <w:szCs w:val="18"/>
    </w:rPr>
  </w:style>
  <w:style w:type="character" w:customStyle="1" w:styleId="1869">
    <w:name w:val="日期 Char1"/>
    <w:semiHidden/>
    <w:qFormat/>
    <w:uiPriority w:val="99"/>
    <w:rPr>
      <w:rFonts w:ascii="Times New Roman" w:hAnsi="Times New Roman" w:eastAsia="宋体" w:cs="Times New Roman"/>
      <w:sz w:val="24"/>
    </w:rPr>
  </w:style>
  <w:style w:type="character" w:customStyle="1" w:styleId="1870">
    <w:name w:val="66 Char Char"/>
    <w:link w:val="1871"/>
    <w:qFormat/>
    <w:uiPriority w:val="0"/>
    <w:rPr>
      <w:sz w:val="24"/>
      <w:szCs w:val="24"/>
    </w:rPr>
  </w:style>
  <w:style w:type="paragraph" w:customStyle="1" w:styleId="1871">
    <w:name w:val="66"/>
    <w:basedOn w:val="51"/>
    <w:link w:val="1870"/>
    <w:qFormat/>
    <w:uiPriority w:val="0"/>
    <w:pPr>
      <w:spacing w:after="0" w:line="360" w:lineRule="auto"/>
      <w:ind w:left="0" w:leftChars="0" w:firstLine="200"/>
    </w:pPr>
    <w:rPr>
      <w:rFonts w:asciiTheme="minorHAnsi" w:hAnsiTheme="minorHAnsi"/>
      <w:sz w:val="24"/>
      <w:szCs w:val="24"/>
    </w:rPr>
  </w:style>
  <w:style w:type="paragraph" w:styleId="1872">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1873">
    <w:name w:val="使用0713"/>
    <w:basedOn w:val="1"/>
    <w:next w:val="1"/>
    <w:qFormat/>
    <w:uiPriority w:val="0"/>
    <w:pPr>
      <w:spacing w:line="400" w:lineRule="exact"/>
      <w:ind w:firstLine="200" w:firstLineChars="200"/>
    </w:pPr>
    <w:rPr>
      <w:rFonts w:ascii="Times New Roman" w:hAnsi="Times New Roman" w:cs="宋体"/>
      <w:sz w:val="24"/>
      <w:szCs w:val="24"/>
    </w:rPr>
  </w:style>
  <w:style w:type="paragraph" w:customStyle="1" w:styleId="1874">
    <w:name w:val="样式48"/>
    <w:basedOn w:val="1"/>
    <w:link w:val="1875"/>
    <w:qFormat/>
    <w:uiPriority w:val="0"/>
    <w:pPr>
      <w:widowControl/>
      <w:ind w:right="11" w:firstLine="480" w:firstLineChars="200"/>
      <w:jc w:val="left"/>
    </w:pPr>
    <w:rPr>
      <w:rFonts w:ascii="宋体" w:hAnsi="宋体" w:cs="宋体"/>
      <w:kern w:val="0"/>
      <w:sz w:val="24"/>
      <w:szCs w:val="24"/>
    </w:rPr>
  </w:style>
  <w:style w:type="character" w:customStyle="1" w:styleId="1875">
    <w:name w:val="样式48 Char"/>
    <w:link w:val="1874"/>
    <w:qFormat/>
    <w:uiPriority w:val="0"/>
    <w:rPr>
      <w:rFonts w:ascii="宋体" w:hAnsi="宋体" w:eastAsia="宋体" w:cs="宋体"/>
      <w:kern w:val="0"/>
      <w:sz w:val="24"/>
      <w:szCs w:val="24"/>
    </w:rPr>
  </w:style>
  <w:style w:type="character" w:customStyle="1" w:styleId="1876">
    <w:name w:val="正文文字1 Char"/>
    <w:link w:val="1088"/>
    <w:qFormat/>
    <w:uiPriority w:val="0"/>
    <w:rPr>
      <w:rFonts w:ascii="Times New Roman" w:hAnsi="Times New Roman" w:eastAsia="宋体" w:cs="Times New Roman"/>
      <w:szCs w:val="24"/>
    </w:rPr>
  </w:style>
  <w:style w:type="character" w:customStyle="1" w:styleId="1877">
    <w:name w:val="表/图标题 Char"/>
    <w:link w:val="1878"/>
    <w:qFormat/>
    <w:uiPriority w:val="0"/>
    <w:rPr>
      <w:rFonts w:ascii="Times New Roman" w:hAnsi="Times New Roman"/>
      <w:b/>
      <w:szCs w:val="24"/>
    </w:rPr>
  </w:style>
  <w:style w:type="paragraph" w:customStyle="1" w:styleId="1878">
    <w:name w:val="表/图标题"/>
    <w:basedOn w:val="766"/>
    <w:link w:val="1877"/>
    <w:qFormat/>
    <w:uiPriority w:val="0"/>
    <w:pPr>
      <w:spacing w:line="240" w:lineRule="auto"/>
      <w:ind w:firstLine="0" w:firstLineChars="0"/>
      <w:jc w:val="center"/>
    </w:pPr>
    <w:rPr>
      <w:rFonts w:cstheme="minorBidi"/>
      <w:b/>
      <w:sz w:val="21"/>
      <w:szCs w:val="24"/>
    </w:rPr>
  </w:style>
  <w:style w:type="character" w:customStyle="1" w:styleId="1879">
    <w:name w:val="【表头】 Char Char"/>
    <w:link w:val="1880"/>
    <w:qFormat/>
    <w:uiPriority w:val="0"/>
    <w:rPr>
      <w:rFonts w:ascii="Times New Roman" w:hAnsi="Times New Roman" w:eastAsia="黑体"/>
      <w:color w:val="000000"/>
      <w:sz w:val="24"/>
      <w:szCs w:val="24"/>
    </w:rPr>
  </w:style>
  <w:style w:type="paragraph" w:customStyle="1" w:styleId="1880">
    <w:name w:val="【表头】"/>
    <w:link w:val="1879"/>
    <w:qFormat/>
    <w:uiPriority w:val="0"/>
    <w:pPr>
      <w:jc w:val="center"/>
    </w:pPr>
    <w:rPr>
      <w:rFonts w:ascii="Times New Roman" w:hAnsi="Times New Roman" w:eastAsia="黑体" w:cstheme="minorBidi"/>
      <w:color w:val="000000"/>
      <w:kern w:val="2"/>
      <w:sz w:val="24"/>
      <w:szCs w:val="24"/>
      <w:lang w:val="en-US" w:eastAsia="zh-CN" w:bidi="ar-SA"/>
    </w:rPr>
  </w:style>
  <w:style w:type="character" w:customStyle="1" w:styleId="1881">
    <w:name w:val="0正文 Char"/>
    <w:link w:val="766"/>
    <w:qFormat/>
    <w:uiPriority w:val="0"/>
    <w:rPr>
      <w:rFonts w:ascii="Times New Roman" w:hAnsi="Times New Roman" w:cs="宋体"/>
      <w:sz w:val="24"/>
    </w:rPr>
  </w:style>
  <w:style w:type="character" w:customStyle="1" w:styleId="1882">
    <w:name w:val="font61"/>
    <w:qFormat/>
    <w:uiPriority w:val="0"/>
    <w:rPr>
      <w:rFonts w:hint="default" w:ascii="Times New Roman" w:hAnsi="Times New Roman" w:cs="Times New Roman"/>
      <w:color w:val="000000"/>
      <w:sz w:val="21"/>
      <w:szCs w:val="21"/>
      <w:u w:val="none"/>
    </w:rPr>
  </w:style>
  <w:style w:type="character" w:customStyle="1" w:styleId="1883">
    <w:name w:val="font51"/>
    <w:qFormat/>
    <w:uiPriority w:val="0"/>
    <w:rPr>
      <w:rFonts w:hint="eastAsia" w:ascii="宋体" w:hAnsi="宋体" w:eastAsia="宋体"/>
      <w:color w:val="000000"/>
      <w:sz w:val="21"/>
      <w:szCs w:val="21"/>
      <w:u w:val="none"/>
    </w:rPr>
  </w:style>
  <w:style w:type="character" w:customStyle="1" w:styleId="1884">
    <w:name w:val="description"/>
    <w:qFormat/>
    <w:uiPriority w:val="0"/>
  </w:style>
  <w:style w:type="character" w:customStyle="1" w:styleId="1885">
    <w:name w:val="德胜表格内容 Char"/>
    <w:link w:val="1886"/>
    <w:qFormat/>
    <w:uiPriority w:val="0"/>
    <w:rPr>
      <w:rFonts w:cs="宋体"/>
      <w:color w:val="0000FF"/>
      <w:szCs w:val="21"/>
    </w:rPr>
  </w:style>
  <w:style w:type="paragraph" w:customStyle="1" w:styleId="1886">
    <w:name w:val="德胜表格内容"/>
    <w:basedOn w:val="1"/>
    <w:link w:val="1885"/>
    <w:qFormat/>
    <w:uiPriority w:val="0"/>
    <w:pPr>
      <w:adjustRightInd w:val="0"/>
      <w:snapToGrid w:val="0"/>
      <w:spacing w:line="240" w:lineRule="auto"/>
      <w:jc w:val="center"/>
    </w:pPr>
    <w:rPr>
      <w:rFonts w:cs="宋体" w:asciiTheme="minorHAnsi" w:hAnsiTheme="minorHAnsi" w:eastAsiaTheme="minorEastAsia"/>
      <w:color w:val="0000FF"/>
      <w:sz w:val="21"/>
      <w:szCs w:val="21"/>
    </w:rPr>
  </w:style>
  <w:style w:type="character" w:customStyle="1" w:styleId="1887">
    <w:name w:val="题注 Char"/>
    <w:link w:val="23"/>
    <w:qFormat/>
    <w:uiPriority w:val="0"/>
    <w:rPr>
      <w:rFonts w:ascii="Arial" w:hAnsi="Arial" w:eastAsia="黑体" w:cs="Times New Roman"/>
      <w:sz w:val="28"/>
      <w:szCs w:val="20"/>
    </w:rPr>
  </w:style>
  <w:style w:type="character" w:customStyle="1" w:styleId="1888">
    <w:name w:val="表文 Char2"/>
    <w:link w:val="116"/>
    <w:qFormat/>
    <w:uiPriority w:val="0"/>
    <w:rPr>
      <w:rFonts w:ascii="Times New Roman" w:hAnsi="Times New Roman" w:eastAsia="宋体" w:cs="Times New Roman"/>
      <w:color w:val="4F81BD"/>
      <w:szCs w:val="20"/>
    </w:rPr>
  </w:style>
  <w:style w:type="paragraph" w:customStyle="1" w:styleId="1889">
    <w:name w:val="表号文字"/>
    <w:basedOn w:val="1"/>
    <w:link w:val="1891"/>
    <w:qFormat/>
    <w:uiPriority w:val="0"/>
    <w:pPr>
      <w:adjustRightInd w:val="0"/>
      <w:snapToGrid w:val="0"/>
      <w:spacing w:before="120" w:line="300" w:lineRule="auto"/>
      <w:jc w:val="left"/>
    </w:pPr>
    <w:rPr>
      <w:rFonts w:ascii="Times New Roman" w:hAnsi="Times New Roman" w:eastAsia="黑体"/>
      <w:sz w:val="21"/>
      <w:szCs w:val="24"/>
    </w:rPr>
  </w:style>
  <w:style w:type="character" w:customStyle="1" w:styleId="1890">
    <w:name w:val="表格文字 Char Char"/>
    <w:qFormat/>
    <w:uiPriority w:val="0"/>
    <w:rPr>
      <w:rFonts w:ascii="宋体" w:hAnsi="宋体" w:eastAsia="宋体" w:cs="Times New Roman"/>
      <w:kern w:val="0"/>
      <w:szCs w:val="20"/>
    </w:rPr>
  </w:style>
  <w:style w:type="character" w:customStyle="1" w:styleId="1891">
    <w:name w:val="表号文字 Char Char"/>
    <w:link w:val="1889"/>
    <w:qFormat/>
    <w:uiPriority w:val="0"/>
    <w:rPr>
      <w:rFonts w:ascii="Times New Roman" w:hAnsi="Times New Roman" w:eastAsia="黑体" w:cs="Times New Roman"/>
      <w:szCs w:val="24"/>
    </w:rPr>
  </w:style>
  <w:style w:type="paragraph" w:customStyle="1" w:styleId="1892">
    <w:name w:val="CM167"/>
    <w:basedOn w:val="110"/>
    <w:next w:val="110"/>
    <w:qFormat/>
    <w:uiPriority w:val="99"/>
    <w:rPr>
      <w:rFonts w:ascii="黑体" w:hAnsi="Calibri" w:eastAsia="黑体" w:cs="Times New Roman"/>
      <w:color w:val="auto"/>
    </w:rPr>
  </w:style>
  <w:style w:type="paragraph" w:customStyle="1" w:styleId="1893">
    <w:name w:val="0表/图标题"/>
    <w:basedOn w:val="766"/>
    <w:link w:val="1894"/>
    <w:qFormat/>
    <w:uiPriority w:val="0"/>
    <w:pPr>
      <w:spacing w:line="240" w:lineRule="auto"/>
      <w:ind w:firstLine="0" w:firstLineChars="0"/>
      <w:jc w:val="center"/>
    </w:pPr>
    <w:rPr>
      <w:rFonts w:cs="Times New Roman"/>
      <w:b/>
      <w:sz w:val="21"/>
      <w:szCs w:val="24"/>
      <w:lang w:val="zh-CN"/>
    </w:rPr>
  </w:style>
  <w:style w:type="character" w:customStyle="1" w:styleId="1894">
    <w:name w:val="0表/图标题 Char"/>
    <w:link w:val="1893"/>
    <w:uiPriority w:val="0"/>
    <w:rPr>
      <w:rFonts w:ascii="Times New Roman" w:hAnsi="Times New Roman" w:cs="Times New Roman"/>
      <w:b/>
      <w:szCs w:val="24"/>
      <w:lang w:val="zh-CN" w:eastAsia="zh-CN"/>
    </w:rPr>
  </w:style>
  <w:style w:type="paragraph" w:customStyle="1" w:styleId="1895">
    <w:name w:val="0 表格"/>
    <w:basedOn w:val="766"/>
    <w:link w:val="1896"/>
    <w:qFormat/>
    <w:uiPriority w:val="0"/>
    <w:pPr>
      <w:spacing w:line="240" w:lineRule="auto"/>
      <w:ind w:firstLine="0" w:firstLineChars="0"/>
      <w:jc w:val="center"/>
    </w:pPr>
    <w:rPr>
      <w:rFonts w:cs="Times New Roman"/>
      <w:sz w:val="21"/>
      <w:szCs w:val="21"/>
      <w:lang w:val="zh-CN"/>
    </w:rPr>
  </w:style>
  <w:style w:type="character" w:customStyle="1" w:styleId="1896">
    <w:name w:val="0 表格 Char"/>
    <w:link w:val="1895"/>
    <w:uiPriority w:val="0"/>
    <w:rPr>
      <w:rFonts w:ascii="Times New Roman" w:hAnsi="Times New Roman" w:cs="Times New Roman"/>
      <w:szCs w:val="21"/>
      <w:lang w:val="zh-CN" w:eastAsia="zh-CN"/>
    </w:rPr>
  </w:style>
  <w:style w:type="table" w:customStyle="1" w:styleId="1897">
    <w:name w:val="网格型36"/>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98">
    <w:name w:val="网格型118"/>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99">
    <w:name w:val="网格型216"/>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0">
    <w:name w:val="网格型37"/>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1">
    <w:name w:val="网格型4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2">
    <w:name w:val="网格型5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3">
    <w:name w:val="表格主题7"/>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4">
    <w:name w:val="网格型 17"/>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905">
    <w:name w:val="专业网格15"/>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6">
    <w:name w:val="网格型65"/>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7">
    <w:name w:val="网格型75"/>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8">
    <w:name w:val="网格型8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09">
    <w:name w:val="网格型95"/>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10">
    <w:name w:val="网格型10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11">
    <w:name w:val="专业网格2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12">
    <w:name w:val="网格型 55"/>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913">
    <w:name w:val="表格主题1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14">
    <w:name w:val="简明型 15"/>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15">
    <w:name w:val="网格型119"/>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16">
    <w:name w:val="典雅型5"/>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1917">
    <w:name w:val="网格型 75"/>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918">
    <w:name w:val="网格型 115"/>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919">
    <w:name w:val="8表格格式5"/>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1920">
    <w:name w:val="专业型5"/>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921">
    <w:name w:val="网格型217"/>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2">
    <w:name w:val="网格型125"/>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923">
    <w:name w:val="网格型13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4">
    <w:name w:val="网格型145"/>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5">
    <w:name w:val="网格型22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6">
    <w:name w:val="网格型31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7">
    <w:name w:val="网格型41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8">
    <w:name w:val="网格型51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29">
    <w:name w:val="表格主题2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0">
    <w:name w:val="网格型 125"/>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931">
    <w:name w:val="网格型15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2">
    <w:name w:val="网格型16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3">
    <w:name w:val="网格型17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4">
    <w:name w:val="网格型185"/>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5">
    <w:name w:val="网格型19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6">
    <w:name w:val="网格型205"/>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7">
    <w:name w:val="网格型235"/>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8">
    <w:name w:val="网格型1714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39">
    <w:name w:val="网格型1715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0">
    <w:name w:val="网格型1716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1">
    <w:name w:val="网格型1717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2">
    <w:name w:val="网格型17185"/>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3">
    <w:name w:val="网格型1719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4">
    <w:name w:val="网格型17110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5">
    <w:name w:val="网格型17111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6">
    <w:name w:val="网格型17112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7">
    <w:name w:val="网格型17113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8">
    <w:name w:val="网格型17114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49">
    <w:name w:val="网格型17115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0">
    <w:name w:val="网格型17116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1">
    <w:name w:val="网格型17117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2">
    <w:name w:val="网格型17118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3">
    <w:name w:val="网格型17119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4">
    <w:name w:val="网格型17120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5">
    <w:name w:val="网格型17121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6">
    <w:name w:val="网格型171225"/>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7">
    <w:name w:val="网格型17123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8">
    <w:name w:val="网格型17124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59">
    <w:name w:val="网格型17125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0">
    <w:name w:val="网格型17126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1">
    <w:name w:val="网格型17127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2">
    <w:name w:val="网格型17128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3">
    <w:name w:val="网格型17129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4">
    <w:name w:val="网格型17130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5">
    <w:name w:val="网格型17131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6">
    <w:name w:val="网格型17132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7">
    <w:name w:val="网格型17133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8">
    <w:name w:val="网格型17134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69">
    <w:name w:val="网格型17135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0">
    <w:name w:val="网格型171365"/>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1">
    <w:name w:val="网格型245"/>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2">
    <w:name w:val="网格型25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3">
    <w:name w:val="网格型1101"/>
    <w:basedOn w:val="90"/>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4">
    <w:name w:val="网格型26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5">
    <w:name w:val="网格型3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6">
    <w:name w:val="网格型4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7">
    <w:name w:val="网格型5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8">
    <w:name w:val="表格主题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79">
    <w:name w:val="网格型 13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980">
    <w:name w:val="专业网格1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1">
    <w:name w:val="网格型61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2">
    <w:name w:val="网格型7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3">
    <w:name w:val="网格型81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4">
    <w:name w:val="网格型9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5">
    <w:name w:val="网格型101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6">
    <w:name w:val="专业网格2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7">
    <w:name w:val="网格型 511"/>
    <w:basedOn w:val="90"/>
    <w:semiHidden/>
    <w:qFormat/>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1988">
    <w:name w:val="表格主题1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9">
    <w:name w:val="简明型 111"/>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90">
    <w:name w:val="网格型111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91">
    <w:name w:val="典雅型1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1992">
    <w:name w:val="网格型 711"/>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1993">
    <w:name w:val="网格型 111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994">
    <w:name w:val="8表格格式11"/>
    <w:basedOn w:val="90"/>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1995">
    <w:name w:val="专业型1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996">
    <w:name w:val="网格型211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97">
    <w:name w:val="网格型1211"/>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1998">
    <w:name w:val="网格型13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99">
    <w:name w:val="网格型141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0">
    <w:name w:val="网格型22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1">
    <w:name w:val="网格型31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2">
    <w:name w:val="网格型41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3">
    <w:name w:val="网格型511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4">
    <w:name w:val="表格主题2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5">
    <w:name w:val="网格型 121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006">
    <w:name w:val="网格型15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7">
    <w:name w:val="网格型16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8">
    <w:name w:val="网格型17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09">
    <w:name w:val="网格型18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0">
    <w:name w:val="网格型19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1">
    <w:name w:val="网格型20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2">
    <w:name w:val="网格型231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3">
    <w:name w:val="网格型1714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4">
    <w:name w:val="网格型1715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5">
    <w:name w:val="网格型1716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6">
    <w:name w:val="网格型1717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7">
    <w:name w:val="网格型1718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8">
    <w:name w:val="网格型1719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19">
    <w:name w:val="网格型17110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0">
    <w:name w:val="网格型17111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1">
    <w:name w:val="网格型17112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2">
    <w:name w:val="网格型17113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3">
    <w:name w:val="网格型17114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4">
    <w:name w:val="网格型17115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5">
    <w:name w:val="网格型17116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6">
    <w:name w:val="网格型17117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7">
    <w:name w:val="网格型17118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8">
    <w:name w:val="网格型17119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29">
    <w:name w:val="网格型17120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0">
    <w:name w:val="网格型17121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1">
    <w:name w:val="网格型17122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2">
    <w:name w:val="网格型17123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3">
    <w:name w:val="网格型17124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4">
    <w:name w:val="网格型17125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5">
    <w:name w:val="网格型17126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6">
    <w:name w:val="网格型17127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7">
    <w:name w:val="网格型17128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8">
    <w:name w:val="网格型17129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9">
    <w:name w:val="网格型17130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0">
    <w:name w:val="网格型17131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1">
    <w:name w:val="网格型17132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2">
    <w:name w:val="网格型17133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3">
    <w:name w:val="网格型17134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4">
    <w:name w:val="网格型171351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5">
    <w:name w:val="网格型171361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6">
    <w:name w:val="网格型241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7">
    <w:name w:val="网格型27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8">
    <w:name w:val="网格型112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9">
    <w:name w:val="网格型28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0">
    <w:name w:val="网格型3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1">
    <w:name w:val="网格型4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2">
    <w:name w:val="网格型5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3">
    <w:name w:val="表格主题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4">
    <w:name w:val="网格型 14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055">
    <w:name w:val="专业网格1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6">
    <w:name w:val="网格型6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7">
    <w:name w:val="网格型7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8">
    <w:name w:val="网格型82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59">
    <w:name w:val="网格型9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60">
    <w:name w:val="网格型102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61">
    <w:name w:val="专业网格2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62">
    <w:name w:val="网格型 521"/>
    <w:basedOn w:val="90"/>
    <w:semiHidden/>
    <w:qFormat/>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063">
    <w:name w:val="表格主题1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64">
    <w:name w:val="简明型 121"/>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065">
    <w:name w:val="网格型113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66">
    <w:name w:val="典雅型2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067">
    <w:name w:val="网格型 721"/>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068">
    <w:name w:val="网格型 112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069">
    <w:name w:val="8表格格式21"/>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070">
    <w:name w:val="专业型2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071">
    <w:name w:val="网格型212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2">
    <w:name w:val="网格型1221"/>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073">
    <w:name w:val="网格型13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4">
    <w:name w:val="网格型1421"/>
    <w:basedOn w:val="90"/>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5">
    <w:name w:val="网格型22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6">
    <w:name w:val="网格型312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7">
    <w:name w:val="网格型412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8">
    <w:name w:val="网格型51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79">
    <w:name w:val="表格主题2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0">
    <w:name w:val="网格型 122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081">
    <w:name w:val="网格型15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2">
    <w:name w:val="网格型162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3">
    <w:name w:val="网格型17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4">
    <w:name w:val="网格型18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5">
    <w:name w:val="网格型192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6">
    <w:name w:val="网格型202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7">
    <w:name w:val="网格型2321"/>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8">
    <w:name w:val="网格型1714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89">
    <w:name w:val="网格型1715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0">
    <w:name w:val="网格型1716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1">
    <w:name w:val="网格型1717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2">
    <w:name w:val="网格型1718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3">
    <w:name w:val="网格型1719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4">
    <w:name w:val="网格型17110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5">
    <w:name w:val="网格型17111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6">
    <w:name w:val="网格型17112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7">
    <w:name w:val="网格型17113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8">
    <w:name w:val="网格型17114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99">
    <w:name w:val="网格型17115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0">
    <w:name w:val="网格型17116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1">
    <w:name w:val="网格型17117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2">
    <w:name w:val="网格型17118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3">
    <w:name w:val="网格型17119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4">
    <w:name w:val="网格型17120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5">
    <w:name w:val="网格型17121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6">
    <w:name w:val="网格型17122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7">
    <w:name w:val="网格型17123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8">
    <w:name w:val="网格型17124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09">
    <w:name w:val="网格型17125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0">
    <w:name w:val="网格型17126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1">
    <w:name w:val="网格型17127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2">
    <w:name w:val="网格型17128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3">
    <w:name w:val="网格型17129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4">
    <w:name w:val="网格型17130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5">
    <w:name w:val="网格型17131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6">
    <w:name w:val="网格型17132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7">
    <w:name w:val="网格型17133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8">
    <w:name w:val="网格型17134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19">
    <w:name w:val="网格型171352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0">
    <w:name w:val="网格型171362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1">
    <w:name w:val="网格型2421"/>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2">
    <w:name w:val="网格型29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3">
    <w:name w:val="网格型114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4">
    <w:name w:val="网格型210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5">
    <w:name w:val="网格型34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6">
    <w:name w:val="网格型44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7">
    <w:name w:val="网格型54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8">
    <w:name w:val="表格主题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29">
    <w:name w:val="网格型 15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130">
    <w:name w:val="专业网格1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1">
    <w:name w:val="网格型6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2">
    <w:name w:val="网格型7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3">
    <w:name w:val="网格型8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4">
    <w:name w:val="网格型9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5">
    <w:name w:val="网格型10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6">
    <w:name w:val="专业网格2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7">
    <w:name w:val="网格型 531"/>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138">
    <w:name w:val="表格主题1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39">
    <w:name w:val="简明型 131"/>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140">
    <w:name w:val="网格型115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41">
    <w:name w:val="典雅型3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142">
    <w:name w:val="网格型 731"/>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143">
    <w:name w:val="网格型 113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144">
    <w:name w:val="8表格格式31"/>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145">
    <w:name w:val="专业型3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46">
    <w:name w:val="网格型213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47">
    <w:name w:val="网格型1231"/>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148">
    <w:name w:val="网格型13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49">
    <w:name w:val="网格型143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0">
    <w:name w:val="网格型22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1">
    <w:name w:val="网格型31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2">
    <w:name w:val="网格型41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3">
    <w:name w:val="网格型51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4">
    <w:name w:val="表格主题2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5">
    <w:name w:val="网格型 123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156">
    <w:name w:val="网格型15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7">
    <w:name w:val="网格型163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8">
    <w:name w:val="网格型17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59">
    <w:name w:val="网格型18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0">
    <w:name w:val="网格型19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1">
    <w:name w:val="网格型203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2">
    <w:name w:val="网格型2331"/>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3">
    <w:name w:val="网格型1714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4">
    <w:name w:val="网格型1715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5">
    <w:name w:val="网格型1716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6">
    <w:name w:val="网格型1717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7">
    <w:name w:val="网格型1718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8">
    <w:name w:val="网格型1719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69">
    <w:name w:val="网格型17110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0">
    <w:name w:val="网格型17111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1">
    <w:name w:val="网格型17112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2">
    <w:name w:val="网格型17113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3">
    <w:name w:val="网格型17114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4">
    <w:name w:val="网格型17115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5">
    <w:name w:val="网格型17116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6">
    <w:name w:val="网格型17117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7">
    <w:name w:val="网格型17118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8">
    <w:name w:val="网格型17119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79">
    <w:name w:val="网格型17120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0">
    <w:name w:val="网格型17121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1">
    <w:name w:val="网格型17122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2">
    <w:name w:val="网格型17123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3">
    <w:name w:val="网格型17124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4">
    <w:name w:val="网格型17125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5">
    <w:name w:val="网格型17126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6">
    <w:name w:val="网格型17127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7">
    <w:name w:val="网格型17128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8">
    <w:name w:val="网格型17129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89">
    <w:name w:val="网格型17130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0">
    <w:name w:val="网格型17131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1">
    <w:name w:val="网格型17132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2">
    <w:name w:val="网格型17133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3">
    <w:name w:val="网格型17134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4">
    <w:name w:val="网格型171353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5">
    <w:name w:val="网格型171363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6">
    <w:name w:val="网格型243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7">
    <w:name w:val="网格型30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8">
    <w:name w:val="表格主题6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199">
    <w:name w:val="典雅型4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StylePr>
  </w:style>
  <w:style w:type="table" w:customStyle="1" w:styleId="2200">
    <w:name w:val="简明型 141"/>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01">
    <w:name w:val="网格型 16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02">
    <w:name w:val="网格型 541"/>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03">
    <w:name w:val="网格型 741"/>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04">
    <w:name w:val="专业型4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205">
    <w:name w:val="网格型17132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06">
    <w:name w:val="网格型17133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07">
    <w:name w:val="网格型17125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08">
    <w:name w:val="网格型17134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09">
    <w:name w:val="网格型17135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0">
    <w:name w:val="网格型17127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1">
    <w:name w:val="网格型116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2">
    <w:name w:val="网格型214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3">
    <w:name w:val="网格型35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4">
    <w:name w:val="网格型4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5">
    <w:name w:val="网格型5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6">
    <w:name w:val="专业网格1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7">
    <w:name w:val="网格型6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8">
    <w:name w:val="网格型741"/>
    <w:basedOn w:val="90"/>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19">
    <w:name w:val="网格型8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0">
    <w:name w:val="网格型9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1">
    <w:name w:val="网格型1041"/>
    <w:basedOn w:val="90"/>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2">
    <w:name w:val="专业网格2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3">
    <w:name w:val="表格主题1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4">
    <w:name w:val="网格型117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5">
    <w:name w:val="网格型 114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26">
    <w:name w:val="8表格格式41"/>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227">
    <w:name w:val="网格型215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28">
    <w:name w:val="网格型1241"/>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229">
    <w:name w:val="网格型134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0">
    <w:name w:val="网格型144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1">
    <w:name w:val="网格型224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2">
    <w:name w:val="网格型314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3">
    <w:name w:val="网格型414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4">
    <w:name w:val="网格型514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5">
    <w:name w:val="表格主题2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6">
    <w:name w:val="网格型 124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7">
    <w:name w:val="网格型15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8">
    <w:name w:val="网格型16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39">
    <w:name w:val="网格型17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0">
    <w:name w:val="网格型18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1">
    <w:name w:val="网格型19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2">
    <w:name w:val="网格型2041"/>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3">
    <w:name w:val="网格型234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4">
    <w:name w:val="网格型1714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5">
    <w:name w:val="网格型1715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6">
    <w:name w:val="网格型1716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7">
    <w:name w:val="网格型1717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8">
    <w:name w:val="网格型1718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49">
    <w:name w:val="网格型1719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0">
    <w:name w:val="网格型17110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1">
    <w:name w:val="网格型17111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2">
    <w:name w:val="网格型17112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3">
    <w:name w:val="网格型17113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4">
    <w:name w:val="网格型17114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5">
    <w:name w:val="网格型17115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6">
    <w:name w:val="网格型17116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7">
    <w:name w:val="网格型17117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8">
    <w:name w:val="网格型17118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59">
    <w:name w:val="网格型17119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0">
    <w:name w:val="网格型17120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1">
    <w:name w:val="网格型17121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2">
    <w:name w:val="网格型17122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3">
    <w:name w:val="网格型17123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4">
    <w:name w:val="网格型17124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5">
    <w:name w:val="网格型17126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6">
    <w:name w:val="网格型17128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7">
    <w:name w:val="网格型17129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8">
    <w:name w:val="网格型17130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69">
    <w:name w:val="网格型17131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0">
    <w:name w:val="网格型171364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1">
    <w:name w:val="网格型244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2">
    <w:name w:val="网格型516"/>
    <w:basedOn w:val="9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3">
    <w:name w:val="网格型38"/>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4">
    <w:name w:val="网格型120"/>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5">
    <w:name w:val="网格型218"/>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6">
    <w:name w:val="网格型39"/>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7">
    <w:name w:val="网格型47"/>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8">
    <w:name w:val="网格型57"/>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79">
    <w:name w:val="表格主题8"/>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0">
    <w:name w:val="网格型 18"/>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81">
    <w:name w:val="专业网格16"/>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2">
    <w:name w:val="网格型66"/>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3">
    <w:name w:val="网格型76"/>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4">
    <w:name w:val="网格型8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5">
    <w:name w:val="网格型96"/>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6">
    <w:name w:val="网格型10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7">
    <w:name w:val="专业网格2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88">
    <w:name w:val="网格型 56"/>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89">
    <w:name w:val="表格主题1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90">
    <w:name w:val="简明型 16"/>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91">
    <w:name w:val="网格型1110"/>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92">
    <w:name w:val="典雅型6"/>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293">
    <w:name w:val="网格型 76"/>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294">
    <w:name w:val="网格型 116"/>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95">
    <w:name w:val="8表格格式6"/>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296">
    <w:name w:val="专业型6"/>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97">
    <w:name w:val="网格型219"/>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298">
    <w:name w:val="网格型126"/>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299">
    <w:name w:val="网格型13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0">
    <w:name w:val="网格型146"/>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1">
    <w:name w:val="网格型22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2">
    <w:name w:val="网格型31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3">
    <w:name w:val="网格型41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4">
    <w:name w:val="网格型517"/>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5">
    <w:name w:val="表格主题2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6">
    <w:name w:val="网格型 126"/>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07">
    <w:name w:val="网格型15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8">
    <w:name w:val="网格型16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09">
    <w:name w:val="网格型17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0">
    <w:name w:val="网格型186"/>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1">
    <w:name w:val="网格型19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2">
    <w:name w:val="网格型206"/>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3">
    <w:name w:val="网格型236"/>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4">
    <w:name w:val="网格型1714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5">
    <w:name w:val="网格型1715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6">
    <w:name w:val="网格型1716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7">
    <w:name w:val="网格型1717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8">
    <w:name w:val="网格型17186"/>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19">
    <w:name w:val="网格型1719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0">
    <w:name w:val="网格型17110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1">
    <w:name w:val="网格型17111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2">
    <w:name w:val="网格型17112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3">
    <w:name w:val="网格型17113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4">
    <w:name w:val="网格型17114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5">
    <w:name w:val="网格型17115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6">
    <w:name w:val="网格型17116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7">
    <w:name w:val="网格型17117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8">
    <w:name w:val="网格型17118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29">
    <w:name w:val="网格型17119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0">
    <w:name w:val="网格型17120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1">
    <w:name w:val="网格型17121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2">
    <w:name w:val="网格型171226"/>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3">
    <w:name w:val="网格型17123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4">
    <w:name w:val="网格型17124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5">
    <w:name w:val="网格型17125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6">
    <w:name w:val="网格型17126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7">
    <w:name w:val="网格型17127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8">
    <w:name w:val="网格型17128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39">
    <w:name w:val="网格型17129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0">
    <w:name w:val="网格型17130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1">
    <w:name w:val="网格型17131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2">
    <w:name w:val="网格型17132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3">
    <w:name w:val="网格型17133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4">
    <w:name w:val="网格型17134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5">
    <w:name w:val="网格型17135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6">
    <w:name w:val="网格型171366"/>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7">
    <w:name w:val="网格型246"/>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8">
    <w:name w:val="网格型25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49">
    <w:name w:val="网格型1102"/>
    <w:basedOn w:val="90"/>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0">
    <w:name w:val="网格型26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1">
    <w:name w:val="网格型3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2">
    <w:name w:val="网格型4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3">
    <w:name w:val="网格型5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4">
    <w:name w:val="表格主题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5">
    <w:name w:val="网格型 13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56">
    <w:name w:val="专业网格1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7">
    <w:name w:val="网格型61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8">
    <w:name w:val="网格型7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59">
    <w:name w:val="网格型81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0">
    <w:name w:val="网格型9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1">
    <w:name w:val="网格型101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2">
    <w:name w:val="专业网格2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3">
    <w:name w:val="网格型 512"/>
    <w:basedOn w:val="90"/>
    <w:semiHidden/>
    <w:qFormat/>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64">
    <w:name w:val="表格主题1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5">
    <w:name w:val="简明型 112"/>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66">
    <w:name w:val="网格型1112"/>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67">
    <w:name w:val="典雅型12"/>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368">
    <w:name w:val="网格型 712"/>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69">
    <w:name w:val="网格型 111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70">
    <w:name w:val="8表格格式12"/>
    <w:basedOn w:val="90"/>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371">
    <w:name w:val="专业型1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72">
    <w:name w:val="网格型2112"/>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3">
    <w:name w:val="网格型1212"/>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374">
    <w:name w:val="网格型13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5">
    <w:name w:val="网格型141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6">
    <w:name w:val="网格型22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7">
    <w:name w:val="网格型31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8">
    <w:name w:val="网格型41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79">
    <w:name w:val="网格型511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0">
    <w:name w:val="表格主题2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1">
    <w:name w:val="网格型 121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82">
    <w:name w:val="网格型15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3">
    <w:name w:val="网格型16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4">
    <w:name w:val="网格型17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5">
    <w:name w:val="网格型18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6">
    <w:name w:val="网格型19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7">
    <w:name w:val="网格型201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8">
    <w:name w:val="网格型2312"/>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89">
    <w:name w:val="网格型1714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0">
    <w:name w:val="网格型1715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1">
    <w:name w:val="网格型1716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2">
    <w:name w:val="网格型1717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3">
    <w:name w:val="网格型1718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4">
    <w:name w:val="网格型1719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5">
    <w:name w:val="网格型17110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6">
    <w:name w:val="网格型17111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7">
    <w:name w:val="网格型17112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8">
    <w:name w:val="网格型17113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399">
    <w:name w:val="网格型17114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0">
    <w:name w:val="网格型17115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1">
    <w:name w:val="网格型17116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2">
    <w:name w:val="网格型17117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3">
    <w:name w:val="网格型17118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4">
    <w:name w:val="网格型17119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5">
    <w:name w:val="网格型17120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6">
    <w:name w:val="网格型17121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7">
    <w:name w:val="网格型17122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8">
    <w:name w:val="网格型17123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09">
    <w:name w:val="网格型17124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0">
    <w:name w:val="网格型17125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1">
    <w:name w:val="网格型17126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2">
    <w:name w:val="网格型17127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3">
    <w:name w:val="网格型17128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4">
    <w:name w:val="网格型17129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5">
    <w:name w:val="网格型17130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6">
    <w:name w:val="网格型17131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7">
    <w:name w:val="网格型17132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8">
    <w:name w:val="网格型17133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19">
    <w:name w:val="网格型17134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0">
    <w:name w:val="网格型171351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1">
    <w:name w:val="网格型171361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2">
    <w:name w:val="网格型2412"/>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3">
    <w:name w:val="网格型27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4">
    <w:name w:val="网格型112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5">
    <w:name w:val="网格型28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6">
    <w:name w:val="网格型3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7">
    <w:name w:val="网格型4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8">
    <w:name w:val="网格型5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29">
    <w:name w:val="表格主题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0">
    <w:name w:val="网格型 14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31">
    <w:name w:val="专业网格1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2">
    <w:name w:val="网格型6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3">
    <w:name w:val="网格型7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4">
    <w:name w:val="网格型82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5">
    <w:name w:val="网格型9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6">
    <w:name w:val="网格型102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7">
    <w:name w:val="专业网格2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38">
    <w:name w:val="网格型 522"/>
    <w:basedOn w:val="90"/>
    <w:semiHidden/>
    <w:qFormat/>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39">
    <w:name w:val="表格主题1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40">
    <w:name w:val="简明型 122"/>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41">
    <w:name w:val="网格型113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42">
    <w:name w:val="典雅型2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443">
    <w:name w:val="网格型 722"/>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444">
    <w:name w:val="网格型 112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45">
    <w:name w:val="8表格格式22"/>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446">
    <w:name w:val="专业型2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447">
    <w:name w:val="网格型212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48">
    <w:name w:val="网格型1222"/>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449">
    <w:name w:val="网格型13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0">
    <w:name w:val="网格型1422"/>
    <w:basedOn w:val="90"/>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1">
    <w:name w:val="网格型22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2">
    <w:name w:val="网格型312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3">
    <w:name w:val="网格型412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4">
    <w:name w:val="网格型51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5">
    <w:name w:val="表格主题2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6">
    <w:name w:val="网格型 122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57">
    <w:name w:val="网格型15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8">
    <w:name w:val="网格型162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59">
    <w:name w:val="网格型17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0">
    <w:name w:val="网格型18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1">
    <w:name w:val="网格型192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2">
    <w:name w:val="网格型202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3">
    <w:name w:val="网格型2322"/>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4">
    <w:name w:val="网格型1714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5">
    <w:name w:val="网格型1715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6">
    <w:name w:val="网格型1716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7">
    <w:name w:val="网格型1717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8">
    <w:name w:val="网格型1718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9">
    <w:name w:val="网格型1719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0">
    <w:name w:val="网格型17110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1">
    <w:name w:val="网格型17111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2">
    <w:name w:val="网格型17112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3">
    <w:name w:val="网格型17113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4">
    <w:name w:val="网格型17114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5">
    <w:name w:val="网格型17115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6">
    <w:name w:val="网格型17116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7">
    <w:name w:val="网格型17117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8">
    <w:name w:val="网格型17118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9">
    <w:name w:val="网格型17119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0">
    <w:name w:val="网格型17120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1">
    <w:name w:val="网格型17121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2">
    <w:name w:val="网格型17122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3">
    <w:name w:val="网格型17123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4">
    <w:name w:val="网格型17124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5">
    <w:name w:val="网格型17125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6">
    <w:name w:val="网格型17126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7">
    <w:name w:val="网格型17127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8">
    <w:name w:val="网格型17128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9">
    <w:name w:val="网格型17129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0">
    <w:name w:val="网格型17130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1">
    <w:name w:val="网格型17131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2">
    <w:name w:val="网格型17132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3">
    <w:name w:val="网格型17133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4">
    <w:name w:val="网格型17134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5">
    <w:name w:val="网格型171352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6">
    <w:name w:val="网格型171362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7">
    <w:name w:val="网格型2422"/>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8">
    <w:name w:val="网格型29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9">
    <w:name w:val="网格型114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0">
    <w:name w:val="网格型210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1">
    <w:name w:val="网格型34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2">
    <w:name w:val="网格型44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3">
    <w:name w:val="网格型54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4">
    <w:name w:val="表格主题5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5">
    <w:name w:val="网格型 15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06">
    <w:name w:val="专业网格1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7">
    <w:name w:val="网格型6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8">
    <w:name w:val="网格型7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9">
    <w:name w:val="网格型8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0">
    <w:name w:val="网格型9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1">
    <w:name w:val="网格型10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2">
    <w:name w:val="专业网格2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3">
    <w:name w:val="网格型 532"/>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514">
    <w:name w:val="表格主题1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5">
    <w:name w:val="简明型 132"/>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516">
    <w:name w:val="网格型115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7">
    <w:name w:val="典雅型32"/>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518">
    <w:name w:val="网格型 732"/>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519">
    <w:name w:val="网格型 113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20">
    <w:name w:val="8表格格式32"/>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521">
    <w:name w:val="专业型3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522">
    <w:name w:val="网格型2132"/>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3">
    <w:name w:val="网格型1232"/>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524">
    <w:name w:val="网格型13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5">
    <w:name w:val="网格型143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6">
    <w:name w:val="网格型22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7">
    <w:name w:val="网格型31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8">
    <w:name w:val="网格型41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9">
    <w:name w:val="网格型51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0">
    <w:name w:val="表格主题2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1">
    <w:name w:val="网格型 123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32">
    <w:name w:val="网格型15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3">
    <w:name w:val="网格型163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4">
    <w:name w:val="网格型17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5">
    <w:name w:val="网格型18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6">
    <w:name w:val="网格型19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7">
    <w:name w:val="网格型203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8">
    <w:name w:val="网格型2332"/>
    <w:basedOn w:val="90"/>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9">
    <w:name w:val="网格型1714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0">
    <w:name w:val="网格型1715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1">
    <w:name w:val="网格型1716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2">
    <w:name w:val="网格型1717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3">
    <w:name w:val="网格型1718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4">
    <w:name w:val="网格型1719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5">
    <w:name w:val="网格型17110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6">
    <w:name w:val="网格型17111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7">
    <w:name w:val="网格型17112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8">
    <w:name w:val="网格型17113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9">
    <w:name w:val="网格型17114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0">
    <w:name w:val="网格型17115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1">
    <w:name w:val="网格型17116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2">
    <w:name w:val="网格型17117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3">
    <w:name w:val="网格型17118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4">
    <w:name w:val="网格型17119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5">
    <w:name w:val="网格型17120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6">
    <w:name w:val="网格型17121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7">
    <w:name w:val="网格型17122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8">
    <w:name w:val="网格型17123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59">
    <w:name w:val="网格型17124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0">
    <w:name w:val="网格型17125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1">
    <w:name w:val="网格型17126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2">
    <w:name w:val="网格型17127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3">
    <w:name w:val="网格型17128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4">
    <w:name w:val="网格型17129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5">
    <w:name w:val="网格型17130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6">
    <w:name w:val="网格型17131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7">
    <w:name w:val="网格型17132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8">
    <w:name w:val="网格型17133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69">
    <w:name w:val="网格型17134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0">
    <w:name w:val="网格型171353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1">
    <w:name w:val="网格型171363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2">
    <w:name w:val="网格型2432"/>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3">
    <w:name w:val="网格型30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4">
    <w:name w:val="表格主题6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75">
    <w:name w:val="典雅型4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StylePr>
  </w:style>
  <w:style w:type="table" w:customStyle="1" w:styleId="2576">
    <w:name w:val="简明型 142"/>
    <w:basedOn w:val="90"/>
    <w:qFormat/>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577">
    <w:name w:val="网格型 162"/>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78">
    <w:name w:val="网格型 542"/>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79">
    <w:name w:val="网格型 742"/>
    <w:basedOn w:val="90"/>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80">
    <w:name w:val="专业型4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581">
    <w:name w:val="网格型17132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2">
    <w:name w:val="网格型17133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3">
    <w:name w:val="网格型17125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4">
    <w:name w:val="网格型17134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5">
    <w:name w:val="网格型17135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6">
    <w:name w:val="网格型17127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7">
    <w:name w:val="网格型116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8">
    <w:name w:val="网格型214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89">
    <w:name w:val="网格型35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0">
    <w:name w:val="网格型45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1">
    <w:name w:val="网格型55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2">
    <w:name w:val="专业网格1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3">
    <w:name w:val="网格型6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4">
    <w:name w:val="网格型742"/>
    <w:basedOn w:val="90"/>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5">
    <w:name w:val="网格型8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6">
    <w:name w:val="网格型9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7">
    <w:name w:val="网格型1042"/>
    <w:basedOn w:val="90"/>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8">
    <w:name w:val="专业网格2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99">
    <w:name w:val="表格主题1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0">
    <w:name w:val="网格型1172"/>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1">
    <w:name w:val="网格型 114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02">
    <w:name w:val="8表格格式42"/>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603">
    <w:name w:val="网格型2152"/>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4">
    <w:name w:val="网格型1242"/>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605">
    <w:name w:val="网格型1342"/>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6">
    <w:name w:val="网格型1442"/>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7">
    <w:name w:val="网格型224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8">
    <w:name w:val="网格型314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09">
    <w:name w:val="网格型4142"/>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0">
    <w:name w:val="网格型5142"/>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1">
    <w:name w:val="表格主题2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2">
    <w:name w:val="网格型 1242"/>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13">
    <w:name w:val="网格型15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4">
    <w:name w:val="网格型16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5">
    <w:name w:val="网格型17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6">
    <w:name w:val="网格型18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7">
    <w:name w:val="网格型19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8">
    <w:name w:val="网格型2042"/>
    <w:basedOn w:val="9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19">
    <w:name w:val="网格型2342"/>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0">
    <w:name w:val="网格型1714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1">
    <w:name w:val="网格型1715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2">
    <w:name w:val="网格型1716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3">
    <w:name w:val="网格型1717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4">
    <w:name w:val="网格型1718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5">
    <w:name w:val="网格型1719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6">
    <w:name w:val="网格型17110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7">
    <w:name w:val="网格型17111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8">
    <w:name w:val="网格型17112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29">
    <w:name w:val="网格型17113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0">
    <w:name w:val="网格型17114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1">
    <w:name w:val="网格型17115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2">
    <w:name w:val="网格型17116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3">
    <w:name w:val="网格型17117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4">
    <w:name w:val="网格型17118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5">
    <w:name w:val="网格型17119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6">
    <w:name w:val="网格型17120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7">
    <w:name w:val="网格型17121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8">
    <w:name w:val="网格型17122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39">
    <w:name w:val="网格型17123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0">
    <w:name w:val="网格型17124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1">
    <w:name w:val="网格型17126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2">
    <w:name w:val="网格型17128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3">
    <w:name w:val="网格型17129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4">
    <w:name w:val="网格型17130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5">
    <w:name w:val="网格型17131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6">
    <w:name w:val="网格型1713642"/>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7">
    <w:name w:val="网格型2442"/>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8">
    <w:name w:val="网格型36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49">
    <w:name w:val="网格型118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0">
    <w:name w:val="网格型216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1">
    <w:name w:val="网格型37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2">
    <w:name w:val="网格型46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3">
    <w:name w:val="网格型56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4">
    <w:name w:val="表格主题7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5">
    <w:name w:val="网格型 17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656">
    <w:name w:val="专业网格15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7">
    <w:name w:val="网格型65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8">
    <w:name w:val="网格型75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59">
    <w:name w:val="网格型8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60">
    <w:name w:val="网格型951"/>
    <w:basedOn w:val="90"/>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61">
    <w:name w:val="网格型10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62">
    <w:name w:val="专业网格2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63">
    <w:name w:val="网格型 551"/>
    <w:basedOn w:val="90"/>
    <w:semiHidden/>
    <w:uiPriority w:val="0"/>
    <w:pPr>
      <w:widowControl w:val="0"/>
      <w:ind w:firstLine="200" w:firstLineChars="20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664">
    <w:name w:val="表格主题1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65">
    <w:name w:val="简明型 151"/>
    <w:basedOn w:val="90"/>
    <w:uiPriority w:val="0"/>
    <w:pPr>
      <w:widowControl w:val="0"/>
      <w:jc w:val="both"/>
    </w:pPr>
    <w:rPr>
      <w:rFonts w:ascii="Times New Roman" w:hAnsi="Times New Roman" w:eastAsia="宋体" w:cs="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666">
    <w:name w:val="网格型119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67">
    <w:name w:val="典雅型51"/>
    <w:basedOn w:val="90"/>
    <w:uiPriority w:val="0"/>
    <w:pPr>
      <w:widowControl w:val="0"/>
      <w:adjustRightInd w:val="0"/>
      <w:spacing w:line="312" w:lineRule="atLeast"/>
      <w:jc w:val="both"/>
      <w:textAlignment w:val="baseline"/>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668">
    <w:name w:val="网格型 751"/>
    <w:basedOn w:val="90"/>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669">
    <w:name w:val="网格型 115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670">
    <w:name w:val="8表格格式51"/>
    <w:basedOn w:val="90"/>
    <w:qFormat/>
    <w:uiPriority w:val="0"/>
    <w:rPr>
      <w:rFonts w:ascii="Times New Roman" w:hAnsi="Times New Roman" w:eastAsia="宋体" w:cs="Times New Roman"/>
    </w:rPr>
    <w:tblPr>
      <w:tblLayout w:type="fixed"/>
      <w:tblCellMar>
        <w:top w:w="0" w:type="dxa"/>
        <w:left w:w="108" w:type="dxa"/>
        <w:bottom w:w="0" w:type="dxa"/>
        <w:right w:w="108" w:type="dxa"/>
      </w:tblCellMar>
    </w:tblPr>
  </w:style>
  <w:style w:type="table" w:customStyle="1" w:styleId="2671">
    <w:name w:val="专业型51"/>
    <w:basedOn w:val="90"/>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672">
    <w:name w:val="网格型2171"/>
    <w:basedOn w:val="90"/>
    <w:qFormat/>
    <w:uiPriority w:val="0"/>
    <w:pPr>
      <w:widowControl w:val="0"/>
      <w:adjustRightInd w:val="0"/>
      <w:spacing w:line="312" w:lineRule="atLeast"/>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73">
    <w:name w:val="网格型1251"/>
    <w:basedOn w:val="90"/>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674">
    <w:name w:val="网格型13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75">
    <w:name w:val="网格型1451"/>
    <w:basedOn w:val="9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76">
    <w:name w:val="网格型22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77">
    <w:name w:val="网格型31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78">
    <w:name w:val="网格型41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79">
    <w:name w:val="网格型51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0">
    <w:name w:val="表格主题2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1">
    <w:name w:val="网格型 1251"/>
    <w:basedOn w:val="90"/>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682">
    <w:name w:val="网格型15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3">
    <w:name w:val="网格型16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4">
    <w:name w:val="网格型17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5">
    <w:name w:val="网格型185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6">
    <w:name w:val="网格型19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7">
    <w:name w:val="网格型205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8">
    <w:name w:val="网格型235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89">
    <w:name w:val="网格型1714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0">
    <w:name w:val="网格型1715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1">
    <w:name w:val="网格型1716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2">
    <w:name w:val="网格型1717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3">
    <w:name w:val="网格型17185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4">
    <w:name w:val="网格型1719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5">
    <w:name w:val="网格型17110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6">
    <w:name w:val="网格型17111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7">
    <w:name w:val="网格型17112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8">
    <w:name w:val="网格型17113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99">
    <w:name w:val="网格型17114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0">
    <w:name w:val="网格型17115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1">
    <w:name w:val="网格型17116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2">
    <w:name w:val="网格型17117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3">
    <w:name w:val="网格型17118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4">
    <w:name w:val="网格型17119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5">
    <w:name w:val="网格型17120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6">
    <w:name w:val="网格型17121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7">
    <w:name w:val="网格型1712251"/>
    <w:basedOn w:val="90"/>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8">
    <w:name w:val="网格型17123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09">
    <w:name w:val="网格型17124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0">
    <w:name w:val="网格型17125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1">
    <w:name w:val="网格型17126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2">
    <w:name w:val="网格型17127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3">
    <w:name w:val="网格型17128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4">
    <w:name w:val="网格型17129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5">
    <w:name w:val="网格型17130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6">
    <w:name w:val="网格型17131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7">
    <w:name w:val="网格型17132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8">
    <w:name w:val="网格型17133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19">
    <w:name w:val="网格型17134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20">
    <w:name w:val="网格型17135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21">
    <w:name w:val="网格型1713651"/>
    <w:basedOn w:val="9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722">
    <w:name w:val="网格型2451"/>
    <w:basedOn w:val="9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emf"/><Relationship Id="rId44" Type="http://schemas.openxmlformats.org/officeDocument/2006/relationships/image" Target="media/image26.png"/><Relationship Id="rId43" Type="http://schemas.openxmlformats.org/officeDocument/2006/relationships/image" Target="media/image25.wmf"/><Relationship Id="rId42" Type="http://schemas.openxmlformats.org/officeDocument/2006/relationships/oleObject" Target="embeddings/oleObject7.bin"/><Relationship Id="rId41" Type="http://schemas.openxmlformats.org/officeDocument/2006/relationships/image" Target="media/image24.wmf"/><Relationship Id="rId40" Type="http://schemas.openxmlformats.org/officeDocument/2006/relationships/oleObject" Target="embeddings/oleObject6.bin"/><Relationship Id="rId4" Type="http://schemas.openxmlformats.org/officeDocument/2006/relationships/header" Target="header1.xml"/><Relationship Id="rId39" Type="http://schemas.openxmlformats.org/officeDocument/2006/relationships/image" Target="media/image23.wmf"/><Relationship Id="rId38" Type="http://schemas.openxmlformats.org/officeDocument/2006/relationships/oleObject" Target="embeddings/oleObject5.bin"/><Relationship Id="rId37" Type="http://schemas.openxmlformats.org/officeDocument/2006/relationships/image" Target="media/image22.wmf"/><Relationship Id="rId36" Type="http://schemas.openxmlformats.org/officeDocument/2006/relationships/oleObject" Target="embeddings/oleObject4.bin"/><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wmf"/><Relationship Id="rId32" Type="http://schemas.openxmlformats.org/officeDocument/2006/relationships/image" Target="media/image18.wmf"/><Relationship Id="rId31" Type="http://schemas.openxmlformats.org/officeDocument/2006/relationships/oleObject" Target="embeddings/oleObject3.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emf"/><Relationship Id="rId22" Type="http://schemas.openxmlformats.org/officeDocument/2006/relationships/oleObject" Target="embeddings/oleObject1.bin"/><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9"/>
    <customShpInfo spid="_x0000_s1030"/>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5CD474-C374-4355-9F78-C8805213C835}">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160</Pages>
  <Words>17228</Words>
  <Characters>98201</Characters>
  <Lines>818</Lines>
  <Paragraphs>230</Paragraphs>
  <TotalTime>1</TotalTime>
  <ScaleCrop>false</ScaleCrop>
  <LinksUpToDate>false</LinksUpToDate>
  <CharactersWithSpaces>115199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2019-05-28T02:16:00Z</dcterms:created>
  <dc:creator>Microsoft</dc:creator>
  <cp:lastModifiedBy>RODIN</cp:lastModifiedBy>
  <dcterms:modified xsi:type="dcterms:W3CDTF">2019-05-29T05:01:01Z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